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3D54" w14:textId="6C67E9F2" w:rsidR="009C2635" w:rsidRDefault="009C2635" w:rsidP="009C2635">
      <w:pPr>
        <w:rPr>
          <w:b/>
          <w:bCs/>
        </w:rPr>
      </w:pPr>
      <w:r>
        <w:rPr>
          <w:b/>
          <w:bCs/>
        </w:rPr>
        <w:t>Name: S</w:t>
      </w:r>
      <w:r w:rsidR="00283DF3">
        <w:rPr>
          <w:b/>
          <w:bCs/>
        </w:rPr>
        <w:t>umit Avinash Solanke</w:t>
      </w:r>
    </w:p>
    <w:p w14:paraId="40E69430" w14:textId="35A0DA48" w:rsidR="009C2635" w:rsidRDefault="009C2635" w:rsidP="009C2635">
      <w:pPr>
        <w:rPr>
          <w:b/>
          <w:bCs/>
        </w:rPr>
      </w:pPr>
      <w:r>
        <w:rPr>
          <w:b/>
          <w:bCs/>
        </w:rPr>
        <w:t>Roll No: TYITB</w:t>
      </w:r>
      <w:r w:rsidR="00283DF3">
        <w:rPr>
          <w:b/>
          <w:bCs/>
        </w:rPr>
        <w:t>121</w:t>
      </w:r>
    </w:p>
    <w:p w14:paraId="5BBC8B69" w14:textId="534F7C5F" w:rsidR="009C2635" w:rsidRPr="009C2635" w:rsidRDefault="009C2635" w:rsidP="009C2635">
      <w:r w:rsidRPr="009C2635">
        <w:rPr>
          <w:b/>
          <w:bCs/>
        </w:rPr>
        <w:t>Assignment No. 1</w:t>
      </w:r>
    </w:p>
    <w:p w14:paraId="6B3D2684" w14:textId="77777777" w:rsidR="009C2635" w:rsidRPr="009C2635" w:rsidRDefault="009C2635" w:rsidP="009C2635">
      <w:r w:rsidRPr="009C2635">
        <w:rPr>
          <w:b/>
          <w:bCs/>
        </w:rPr>
        <w:t>AIM:</w:t>
      </w:r>
      <w:r w:rsidRPr="009C2635">
        <w:t xml:space="preserve"> Exploring Data Analysis</w:t>
      </w:r>
    </w:p>
    <w:p w14:paraId="23FB7AF5" w14:textId="77777777" w:rsidR="009C2635" w:rsidRPr="009C2635" w:rsidRDefault="009C2635" w:rsidP="009C2635">
      <w:r w:rsidRPr="009C2635">
        <w:rPr>
          <w:b/>
          <w:bCs/>
        </w:rPr>
        <w:t>PREREQUISITE:</w:t>
      </w:r>
      <w:r w:rsidRPr="009C2635">
        <w:t xml:space="preserve"> Statistics and Python programming</w:t>
      </w:r>
    </w:p>
    <w:p w14:paraId="01A8DD27" w14:textId="77777777" w:rsidR="009C2635" w:rsidRPr="009C2635" w:rsidRDefault="00000000" w:rsidP="009C2635">
      <w:r>
        <w:pict w14:anchorId="6AF699F7">
          <v:rect id="_x0000_i1025" style="width:0;height:1.5pt" o:hralign="center" o:hrstd="t" o:hr="t" fillcolor="#a0a0a0" stroked="f"/>
        </w:pict>
      </w:r>
    </w:p>
    <w:p w14:paraId="4638D3F8" w14:textId="77777777" w:rsidR="009C2635" w:rsidRPr="009C2635" w:rsidRDefault="009C2635" w:rsidP="009C2635">
      <w:r w:rsidRPr="009C2635">
        <w:rPr>
          <w:b/>
          <w:bCs/>
        </w:rPr>
        <w:t>THEORY:</w:t>
      </w:r>
    </w:p>
    <w:p w14:paraId="0D28B0C8" w14:textId="77777777" w:rsidR="009C2635" w:rsidRPr="009C2635" w:rsidRDefault="009C2635" w:rsidP="009C2635">
      <w:r w:rsidRPr="009C2635">
        <w:t>Exploratory Data Analysis (EDA) is an essential initial step in data analysis that helps in understanding the underlying patterns, detecting anomalies, and summarizing the key characteristics of the dataset. The primary objectives of EDA include:</w:t>
      </w:r>
    </w:p>
    <w:p w14:paraId="6D12A5DF" w14:textId="77777777" w:rsidR="009C2635" w:rsidRPr="009C2635" w:rsidRDefault="009C2635" w:rsidP="009C2635">
      <w:pPr>
        <w:numPr>
          <w:ilvl w:val="0"/>
          <w:numId w:val="1"/>
        </w:numPr>
      </w:pPr>
      <w:r w:rsidRPr="009C2635">
        <w:t>Detecting mistakes in data collection and processing.</w:t>
      </w:r>
    </w:p>
    <w:p w14:paraId="7F724535" w14:textId="77777777" w:rsidR="009C2635" w:rsidRPr="009C2635" w:rsidRDefault="009C2635" w:rsidP="009C2635">
      <w:pPr>
        <w:numPr>
          <w:ilvl w:val="0"/>
          <w:numId w:val="1"/>
        </w:numPr>
      </w:pPr>
      <w:r w:rsidRPr="009C2635">
        <w:t>Checking assumptions related to data distribution and relationships.</w:t>
      </w:r>
    </w:p>
    <w:p w14:paraId="5DD6035B" w14:textId="77777777" w:rsidR="009C2635" w:rsidRPr="009C2635" w:rsidRDefault="009C2635" w:rsidP="009C2635">
      <w:pPr>
        <w:numPr>
          <w:ilvl w:val="0"/>
          <w:numId w:val="1"/>
        </w:numPr>
      </w:pPr>
      <w:r w:rsidRPr="009C2635">
        <w:t>Selecting appropriate statistical models.</w:t>
      </w:r>
    </w:p>
    <w:p w14:paraId="764B92B2" w14:textId="77777777" w:rsidR="009C2635" w:rsidRPr="009C2635" w:rsidRDefault="009C2635" w:rsidP="009C2635">
      <w:pPr>
        <w:numPr>
          <w:ilvl w:val="0"/>
          <w:numId w:val="1"/>
        </w:numPr>
      </w:pPr>
      <w:r w:rsidRPr="009C2635">
        <w:t>Identifying relationships between variables.</w:t>
      </w:r>
    </w:p>
    <w:p w14:paraId="4C47B24C" w14:textId="77777777" w:rsidR="009C2635" w:rsidRPr="009C2635" w:rsidRDefault="009C2635" w:rsidP="009C2635">
      <w:pPr>
        <w:numPr>
          <w:ilvl w:val="0"/>
          <w:numId w:val="1"/>
        </w:numPr>
      </w:pPr>
      <w:r w:rsidRPr="009C2635">
        <w:t>Assessing the size and direction of relationships between variables.</w:t>
      </w:r>
    </w:p>
    <w:p w14:paraId="758FDC5B" w14:textId="77777777" w:rsidR="009C2635" w:rsidRPr="009C2635" w:rsidRDefault="009C2635" w:rsidP="009C2635">
      <w:r w:rsidRPr="009C2635">
        <w:t>EDA primarily involves graphical and statistical methods, but it does not focus on formal statistical inference.</w:t>
      </w:r>
    </w:p>
    <w:p w14:paraId="2B058B97" w14:textId="77777777" w:rsidR="009C2635" w:rsidRPr="009C2635" w:rsidRDefault="009C2635" w:rsidP="009C2635">
      <w:pPr>
        <w:rPr>
          <w:b/>
          <w:bCs/>
        </w:rPr>
      </w:pPr>
      <w:r w:rsidRPr="009C2635">
        <w:rPr>
          <w:b/>
          <w:bCs/>
        </w:rPr>
        <w:t>Measures of Central Tendency</w:t>
      </w:r>
    </w:p>
    <w:p w14:paraId="0EC8F580" w14:textId="77777777" w:rsidR="009C2635" w:rsidRPr="009C2635" w:rsidRDefault="009C2635" w:rsidP="009C2635">
      <w:r w:rsidRPr="009C2635">
        <w:t>The central tendency of a dataset refers to its middle or typical values. The most commonly used measures of central tendency are:</w:t>
      </w:r>
    </w:p>
    <w:p w14:paraId="4E7EFA94" w14:textId="02892FD6" w:rsidR="009C2635" w:rsidRPr="009C2635" w:rsidRDefault="009C2635" w:rsidP="009C2635">
      <w:pPr>
        <w:numPr>
          <w:ilvl w:val="0"/>
          <w:numId w:val="2"/>
        </w:numPr>
      </w:pPr>
      <w:r w:rsidRPr="009C2635">
        <w:rPr>
          <w:b/>
          <w:bCs/>
        </w:rPr>
        <w:t>Mean:</w:t>
      </w:r>
      <w:r w:rsidRPr="009C2635">
        <w:t xml:space="preserve"> The arithmetic mean is calculated as the sum of all values divided by the number of observations</w:t>
      </w:r>
      <w:r>
        <w:t>.</w:t>
      </w:r>
    </w:p>
    <w:p w14:paraId="785FD9C0" w14:textId="77777777" w:rsidR="009C2635" w:rsidRPr="009C2635" w:rsidRDefault="009C2635" w:rsidP="009C2635">
      <w:pPr>
        <w:numPr>
          <w:ilvl w:val="0"/>
          <w:numId w:val="2"/>
        </w:numPr>
      </w:pPr>
      <w:r w:rsidRPr="009C2635">
        <w:rPr>
          <w:b/>
          <w:bCs/>
        </w:rPr>
        <w:t>Median:</w:t>
      </w:r>
      <w:r w:rsidRPr="009C2635">
        <w:t xml:space="preserve"> The median is the middle value in an ordered dataset. If the number of observations is even, the median is the average of the two middle values.</w:t>
      </w:r>
    </w:p>
    <w:p w14:paraId="1031A0BA" w14:textId="77777777" w:rsidR="009C2635" w:rsidRPr="009C2635" w:rsidRDefault="009C2635" w:rsidP="009C2635">
      <w:pPr>
        <w:numPr>
          <w:ilvl w:val="0"/>
          <w:numId w:val="2"/>
        </w:numPr>
      </w:pPr>
      <w:r w:rsidRPr="009C2635">
        <w:rPr>
          <w:b/>
          <w:bCs/>
        </w:rPr>
        <w:t>Mode:</w:t>
      </w:r>
      <w:r w:rsidRPr="009C2635">
        <w:t xml:space="preserve"> The mode is the most frequently occurring value in the dataset. A dataset may have one mode (unimodal), multiple modes (multimodal), or no mode at all.</w:t>
      </w:r>
    </w:p>
    <w:p w14:paraId="5AEFAA5A" w14:textId="77777777" w:rsidR="009C2635" w:rsidRPr="009C2635" w:rsidRDefault="009C2635" w:rsidP="009C2635">
      <w:r w:rsidRPr="009C2635">
        <w:t>In addition to these, specialized means like the geometric mean, harmonic mean, and trimmed mean are used in certain statistical applications.</w:t>
      </w:r>
    </w:p>
    <w:p w14:paraId="37673409" w14:textId="77777777" w:rsidR="009C2635" w:rsidRPr="009C2635" w:rsidRDefault="009C2635" w:rsidP="009C2635">
      <w:pPr>
        <w:rPr>
          <w:b/>
          <w:bCs/>
        </w:rPr>
      </w:pPr>
      <w:r w:rsidRPr="009C2635">
        <w:rPr>
          <w:b/>
          <w:bCs/>
        </w:rPr>
        <w:t>Measures of Variability</w:t>
      </w:r>
    </w:p>
    <w:p w14:paraId="0D4401FB" w14:textId="77777777" w:rsidR="009C2635" w:rsidRPr="009C2635" w:rsidRDefault="009C2635" w:rsidP="009C2635">
      <w:r w:rsidRPr="009C2635">
        <w:t>The variability or dispersion of a dataset indicates how spread out the values are. Some common measures include:</w:t>
      </w:r>
    </w:p>
    <w:p w14:paraId="050CC351" w14:textId="34786B3C" w:rsidR="009C2635" w:rsidRPr="009C2635" w:rsidRDefault="009C2635" w:rsidP="009C2635">
      <w:pPr>
        <w:numPr>
          <w:ilvl w:val="0"/>
          <w:numId w:val="3"/>
        </w:numPr>
      </w:pPr>
      <w:r w:rsidRPr="009C2635">
        <w:rPr>
          <w:b/>
          <w:bCs/>
        </w:rPr>
        <w:t>Variance (s²):</w:t>
      </w:r>
      <w:r w:rsidRPr="009C2635">
        <w:t xml:space="preserve"> Variance quantifies the average squared deviation from the mean:  It provides insight into how much the data points deviate from the central value.</w:t>
      </w:r>
    </w:p>
    <w:p w14:paraId="55ADB8B1" w14:textId="0AB6BF2E" w:rsidR="009C2635" w:rsidRPr="009C2635" w:rsidRDefault="009C2635" w:rsidP="009C2635">
      <w:pPr>
        <w:numPr>
          <w:ilvl w:val="0"/>
          <w:numId w:val="3"/>
        </w:numPr>
      </w:pPr>
      <w:r w:rsidRPr="009C2635">
        <w:rPr>
          <w:b/>
          <w:bCs/>
        </w:rPr>
        <w:lastRenderedPageBreak/>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49335F9" w14:textId="41FEBFA4" w:rsidR="009C2635" w:rsidRPr="009C2635" w:rsidRDefault="009C2635" w:rsidP="009C2635">
      <w:pPr>
        <w:numPr>
          <w:ilvl w:val="0"/>
          <w:numId w:val="3"/>
        </w:numPr>
      </w:pPr>
      <w:r w:rsidRPr="009C2635">
        <w:rPr>
          <w:b/>
          <w:bCs/>
        </w:rPr>
        <w:t>Interquartile Range (IQR):</w:t>
      </w:r>
      <w:r w:rsidRPr="009C2635">
        <w:t xml:space="preserve"> The IQR measures the spread of the middle 50% of the data and is calculated as: IQR=Q3−Q1</w:t>
      </w:r>
      <w:r>
        <w:t xml:space="preserve"> | </w:t>
      </w:r>
      <w:r w:rsidRPr="009C2635">
        <w:t>QR = Q3 - Q1 where Q1Q1 (first quartile) is the 25th percentile and Q3Q3 (third quartile) is the 75th percentile of the dataset. IQR is useful for identifying outliers and assessing skewness in the data.</w:t>
      </w:r>
    </w:p>
    <w:p w14:paraId="1E8A3281" w14:textId="77777777" w:rsidR="009C2635" w:rsidRPr="009C2635" w:rsidRDefault="009C2635" w:rsidP="009C2635">
      <w:pPr>
        <w:rPr>
          <w:b/>
          <w:bCs/>
        </w:rPr>
      </w:pPr>
      <w:r w:rsidRPr="009C2635">
        <w:rPr>
          <w:b/>
          <w:bCs/>
        </w:rPr>
        <w:t>Outlier Identification</w:t>
      </w:r>
    </w:p>
    <w:p w14:paraId="36C03650" w14:textId="77777777" w:rsidR="009C2635" w:rsidRPr="009C2635" w:rsidRDefault="009C2635" w:rsidP="009C2635">
      <w:r w:rsidRPr="009C2635">
        <w:t>Outliers are extreme values that differ significantly from the rest of the data. They can be detected using:</w:t>
      </w:r>
    </w:p>
    <w:p w14:paraId="06F05E6D" w14:textId="77777777" w:rsidR="009C2635" w:rsidRPr="009C2635" w:rsidRDefault="009C2635" w:rsidP="009C2635">
      <w:pPr>
        <w:numPr>
          <w:ilvl w:val="0"/>
          <w:numId w:val="4"/>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4E633A63" w14:textId="77777777" w:rsidR="009C2635" w:rsidRDefault="009C2635" w:rsidP="009C2635">
      <w:pPr>
        <w:numPr>
          <w:ilvl w:val="0"/>
          <w:numId w:val="4"/>
        </w:numPr>
      </w:pPr>
      <w:r w:rsidRPr="009C2635">
        <w:rPr>
          <w:b/>
          <w:bCs/>
        </w:rPr>
        <w:t>Z-Scores:</w:t>
      </w:r>
      <w:r w:rsidRPr="009C2635">
        <w:t xml:space="preserve"> Standardizing data points using Z-scores helps in identifying values that deviate significantly (typically beyond ±3 standard deviations from the mean).</w:t>
      </w:r>
    </w:p>
    <w:p w14:paraId="7409CEB1" w14:textId="77777777" w:rsidR="0023301D" w:rsidRDefault="0023301D" w:rsidP="0023301D"/>
    <w:p w14:paraId="6F945E90" w14:textId="77777777" w:rsidR="0023301D" w:rsidRPr="0023301D" w:rsidRDefault="0023301D" w:rsidP="0023301D">
      <w:pPr>
        <w:rPr>
          <w:b/>
          <w:bCs/>
        </w:rPr>
      </w:pPr>
      <w:r w:rsidRPr="0023301D">
        <w:rPr>
          <w:b/>
          <w:bCs/>
        </w:rPr>
        <w:t>Dataset Description:</w:t>
      </w:r>
    </w:p>
    <w:p w14:paraId="29FCA04B" w14:textId="77777777" w:rsidR="0023301D" w:rsidRPr="0023301D" w:rsidRDefault="0023301D" w:rsidP="0023301D">
      <w:r w:rsidRPr="0023301D">
        <w:rPr>
          <w:b/>
          <w:bCs/>
        </w:rPr>
        <w:t>Dataset Name:</w:t>
      </w:r>
      <w:r w:rsidRPr="0023301D">
        <w:t xml:space="preserve"> Employee_Salary_Dataset.csv</w:t>
      </w:r>
      <w:r w:rsidRPr="0023301D">
        <w:br/>
      </w:r>
      <w:r w:rsidRPr="0023301D">
        <w:rPr>
          <w:b/>
          <w:bCs/>
        </w:rPr>
        <w:t>Total Records:</w:t>
      </w:r>
      <w:r w:rsidRPr="0023301D">
        <w:t xml:space="preserve"> </w:t>
      </w:r>
      <w:r w:rsidRPr="0023301D">
        <w:rPr>
          <w:i/>
          <w:iCs/>
        </w:rPr>
        <w:t>(Example: 100 entries — you can update this based on your actual data)</w:t>
      </w:r>
      <w:r w:rsidRPr="0023301D">
        <w:br/>
      </w:r>
      <w:r w:rsidRPr="0023301D">
        <w:rPr>
          <w:b/>
          <w:bCs/>
        </w:rPr>
        <w:t>Purpose:</w:t>
      </w:r>
      <w:r w:rsidRPr="0023301D">
        <w:t xml:space="preserve"> To </w:t>
      </w:r>
      <w:proofErr w:type="spellStart"/>
      <w:r w:rsidRPr="0023301D">
        <w:t>analyze</w:t>
      </w:r>
      <w:proofErr w:type="spellEnd"/>
      <w:r w:rsidRPr="0023301D">
        <w:t xml:space="preserve"> the relationship between employee attributes like experience, age, gender, and their corresponding salary. This dataset is suitable for salary prediction and trend analysis.</w:t>
      </w:r>
    </w:p>
    <w:p w14:paraId="5B9E18F6" w14:textId="77777777" w:rsidR="0023301D" w:rsidRPr="0023301D" w:rsidRDefault="0023301D" w:rsidP="0023301D">
      <w:pPr>
        <w:rPr>
          <w:b/>
          <w:bCs/>
        </w:rPr>
      </w:pPr>
      <w:r w:rsidRPr="0023301D">
        <w:rPr>
          <w:b/>
          <w:bCs/>
        </w:rPr>
        <w:t>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054"/>
        <w:gridCol w:w="6339"/>
      </w:tblGrid>
      <w:tr w:rsidR="0023301D" w:rsidRPr="0023301D" w14:paraId="29D6EF79" w14:textId="77777777" w:rsidTr="0023301D">
        <w:trPr>
          <w:tblHeader/>
          <w:tblCellSpacing w:w="15" w:type="dxa"/>
        </w:trPr>
        <w:tc>
          <w:tcPr>
            <w:tcW w:w="0" w:type="auto"/>
            <w:vAlign w:val="center"/>
            <w:hideMark/>
          </w:tcPr>
          <w:p w14:paraId="5B308CA7" w14:textId="77777777" w:rsidR="0023301D" w:rsidRPr="0023301D" w:rsidRDefault="0023301D" w:rsidP="0023301D">
            <w:pPr>
              <w:rPr>
                <w:b/>
                <w:bCs/>
              </w:rPr>
            </w:pPr>
            <w:r w:rsidRPr="0023301D">
              <w:rPr>
                <w:b/>
                <w:bCs/>
              </w:rPr>
              <w:t>Column Name</w:t>
            </w:r>
          </w:p>
        </w:tc>
        <w:tc>
          <w:tcPr>
            <w:tcW w:w="0" w:type="auto"/>
            <w:vAlign w:val="center"/>
            <w:hideMark/>
          </w:tcPr>
          <w:p w14:paraId="7090C319" w14:textId="77777777" w:rsidR="0023301D" w:rsidRPr="0023301D" w:rsidRDefault="0023301D" w:rsidP="0023301D">
            <w:pPr>
              <w:rPr>
                <w:b/>
                <w:bCs/>
              </w:rPr>
            </w:pPr>
            <w:r w:rsidRPr="0023301D">
              <w:rPr>
                <w:b/>
                <w:bCs/>
              </w:rPr>
              <w:t>Data Type</w:t>
            </w:r>
          </w:p>
        </w:tc>
        <w:tc>
          <w:tcPr>
            <w:tcW w:w="0" w:type="auto"/>
            <w:vAlign w:val="center"/>
            <w:hideMark/>
          </w:tcPr>
          <w:p w14:paraId="7C998D84" w14:textId="77777777" w:rsidR="0023301D" w:rsidRPr="0023301D" w:rsidRDefault="0023301D" w:rsidP="0023301D">
            <w:pPr>
              <w:rPr>
                <w:b/>
                <w:bCs/>
              </w:rPr>
            </w:pPr>
            <w:r w:rsidRPr="0023301D">
              <w:rPr>
                <w:b/>
                <w:bCs/>
              </w:rPr>
              <w:t>Description</w:t>
            </w:r>
          </w:p>
        </w:tc>
      </w:tr>
      <w:tr w:rsidR="0023301D" w:rsidRPr="0023301D" w14:paraId="2A591D7A" w14:textId="77777777" w:rsidTr="0023301D">
        <w:trPr>
          <w:tblCellSpacing w:w="15" w:type="dxa"/>
        </w:trPr>
        <w:tc>
          <w:tcPr>
            <w:tcW w:w="0" w:type="auto"/>
            <w:vAlign w:val="center"/>
            <w:hideMark/>
          </w:tcPr>
          <w:p w14:paraId="35ADCBCD" w14:textId="77777777" w:rsidR="0023301D" w:rsidRPr="0023301D" w:rsidRDefault="0023301D" w:rsidP="0023301D">
            <w:r w:rsidRPr="0023301D">
              <w:t>ID</w:t>
            </w:r>
          </w:p>
        </w:tc>
        <w:tc>
          <w:tcPr>
            <w:tcW w:w="0" w:type="auto"/>
            <w:vAlign w:val="center"/>
            <w:hideMark/>
          </w:tcPr>
          <w:p w14:paraId="67703EF4" w14:textId="77777777" w:rsidR="0023301D" w:rsidRPr="0023301D" w:rsidRDefault="0023301D" w:rsidP="0023301D">
            <w:r w:rsidRPr="0023301D">
              <w:t>Integer</w:t>
            </w:r>
          </w:p>
        </w:tc>
        <w:tc>
          <w:tcPr>
            <w:tcW w:w="0" w:type="auto"/>
            <w:vAlign w:val="center"/>
            <w:hideMark/>
          </w:tcPr>
          <w:p w14:paraId="582BFB6B" w14:textId="77777777" w:rsidR="0023301D" w:rsidRPr="0023301D" w:rsidRDefault="0023301D" w:rsidP="0023301D">
            <w:r w:rsidRPr="0023301D">
              <w:t>Unique identifier for each employee</w:t>
            </w:r>
          </w:p>
        </w:tc>
      </w:tr>
      <w:tr w:rsidR="0023301D" w:rsidRPr="0023301D" w14:paraId="3B901337" w14:textId="77777777" w:rsidTr="0023301D">
        <w:trPr>
          <w:tblCellSpacing w:w="15" w:type="dxa"/>
        </w:trPr>
        <w:tc>
          <w:tcPr>
            <w:tcW w:w="0" w:type="auto"/>
            <w:vAlign w:val="center"/>
            <w:hideMark/>
          </w:tcPr>
          <w:p w14:paraId="37CC907C" w14:textId="77777777" w:rsidR="0023301D" w:rsidRPr="0023301D" w:rsidRDefault="0023301D" w:rsidP="0023301D">
            <w:proofErr w:type="spellStart"/>
            <w:r w:rsidRPr="0023301D">
              <w:t>Experience_Years</w:t>
            </w:r>
            <w:proofErr w:type="spellEnd"/>
          </w:p>
        </w:tc>
        <w:tc>
          <w:tcPr>
            <w:tcW w:w="0" w:type="auto"/>
            <w:vAlign w:val="center"/>
            <w:hideMark/>
          </w:tcPr>
          <w:p w14:paraId="3DCFC39B" w14:textId="77777777" w:rsidR="0023301D" w:rsidRPr="0023301D" w:rsidRDefault="0023301D" w:rsidP="0023301D">
            <w:r w:rsidRPr="0023301D">
              <w:t>Integer</w:t>
            </w:r>
          </w:p>
        </w:tc>
        <w:tc>
          <w:tcPr>
            <w:tcW w:w="0" w:type="auto"/>
            <w:vAlign w:val="center"/>
            <w:hideMark/>
          </w:tcPr>
          <w:p w14:paraId="668FF3FD" w14:textId="77777777" w:rsidR="0023301D" w:rsidRPr="0023301D" w:rsidRDefault="0023301D" w:rsidP="0023301D">
            <w:r w:rsidRPr="0023301D">
              <w:t>Total number of years of professional experience</w:t>
            </w:r>
          </w:p>
        </w:tc>
      </w:tr>
      <w:tr w:rsidR="0023301D" w:rsidRPr="0023301D" w14:paraId="5A3F6625" w14:textId="77777777" w:rsidTr="0023301D">
        <w:trPr>
          <w:tblCellSpacing w:w="15" w:type="dxa"/>
        </w:trPr>
        <w:tc>
          <w:tcPr>
            <w:tcW w:w="0" w:type="auto"/>
            <w:vAlign w:val="center"/>
            <w:hideMark/>
          </w:tcPr>
          <w:p w14:paraId="213E0ACF" w14:textId="77777777" w:rsidR="0023301D" w:rsidRPr="0023301D" w:rsidRDefault="0023301D" w:rsidP="0023301D">
            <w:r w:rsidRPr="0023301D">
              <w:t>Age</w:t>
            </w:r>
          </w:p>
        </w:tc>
        <w:tc>
          <w:tcPr>
            <w:tcW w:w="0" w:type="auto"/>
            <w:vAlign w:val="center"/>
            <w:hideMark/>
          </w:tcPr>
          <w:p w14:paraId="64317B44" w14:textId="77777777" w:rsidR="0023301D" w:rsidRPr="0023301D" w:rsidRDefault="0023301D" w:rsidP="0023301D">
            <w:r w:rsidRPr="0023301D">
              <w:t>Integer</w:t>
            </w:r>
          </w:p>
        </w:tc>
        <w:tc>
          <w:tcPr>
            <w:tcW w:w="0" w:type="auto"/>
            <w:vAlign w:val="center"/>
            <w:hideMark/>
          </w:tcPr>
          <w:p w14:paraId="5952D843" w14:textId="77777777" w:rsidR="0023301D" w:rsidRPr="0023301D" w:rsidRDefault="0023301D" w:rsidP="0023301D">
            <w:r w:rsidRPr="0023301D">
              <w:t>Current age of the employee in years</w:t>
            </w:r>
          </w:p>
        </w:tc>
      </w:tr>
      <w:tr w:rsidR="0023301D" w:rsidRPr="0023301D" w14:paraId="2A74F668" w14:textId="77777777" w:rsidTr="0023301D">
        <w:trPr>
          <w:tblCellSpacing w:w="15" w:type="dxa"/>
        </w:trPr>
        <w:tc>
          <w:tcPr>
            <w:tcW w:w="0" w:type="auto"/>
            <w:vAlign w:val="center"/>
            <w:hideMark/>
          </w:tcPr>
          <w:p w14:paraId="4D3E712F" w14:textId="77777777" w:rsidR="0023301D" w:rsidRPr="0023301D" w:rsidRDefault="0023301D" w:rsidP="0023301D">
            <w:r w:rsidRPr="0023301D">
              <w:t>Gender</w:t>
            </w:r>
          </w:p>
        </w:tc>
        <w:tc>
          <w:tcPr>
            <w:tcW w:w="0" w:type="auto"/>
            <w:vAlign w:val="center"/>
            <w:hideMark/>
          </w:tcPr>
          <w:p w14:paraId="6F88E672" w14:textId="77777777" w:rsidR="0023301D" w:rsidRPr="0023301D" w:rsidRDefault="0023301D" w:rsidP="0023301D">
            <w:r w:rsidRPr="0023301D">
              <w:t>Categorical</w:t>
            </w:r>
          </w:p>
        </w:tc>
        <w:tc>
          <w:tcPr>
            <w:tcW w:w="0" w:type="auto"/>
            <w:vAlign w:val="center"/>
            <w:hideMark/>
          </w:tcPr>
          <w:p w14:paraId="71FDA377" w14:textId="77777777" w:rsidR="0023301D" w:rsidRPr="0023301D" w:rsidRDefault="0023301D" w:rsidP="0023301D">
            <w:r w:rsidRPr="0023301D">
              <w:t>Gender of the employee (Male, Female, or other values if present)</w:t>
            </w:r>
          </w:p>
        </w:tc>
      </w:tr>
      <w:tr w:rsidR="0023301D" w:rsidRPr="0023301D" w14:paraId="75D91809" w14:textId="77777777" w:rsidTr="0023301D">
        <w:trPr>
          <w:tblCellSpacing w:w="15" w:type="dxa"/>
        </w:trPr>
        <w:tc>
          <w:tcPr>
            <w:tcW w:w="0" w:type="auto"/>
            <w:vAlign w:val="center"/>
            <w:hideMark/>
          </w:tcPr>
          <w:p w14:paraId="641DB617" w14:textId="77777777" w:rsidR="0023301D" w:rsidRPr="0023301D" w:rsidRDefault="0023301D" w:rsidP="0023301D">
            <w:r w:rsidRPr="0023301D">
              <w:t>Salary</w:t>
            </w:r>
          </w:p>
        </w:tc>
        <w:tc>
          <w:tcPr>
            <w:tcW w:w="0" w:type="auto"/>
            <w:vAlign w:val="center"/>
            <w:hideMark/>
          </w:tcPr>
          <w:p w14:paraId="62DF870A" w14:textId="77777777" w:rsidR="0023301D" w:rsidRPr="0023301D" w:rsidRDefault="0023301D" w:rsidP="0023301D">
            <w:r w:rsidRPr="0023301D">
              <w:t>Float</w:t>
            </w:r>
          </w:p>
        </w:tc>
        <w:tc>
          <w:tcPr>
            <w:tcW w:w="0" w:type="auto"/>
            <w:vAlign w:val="center"/>
            <w:hideMark/>
          </w:tcPr>
          <w:p w14:paraId="344C800C" w14:textId="77777777" w:rsidR="0023301D" w:rsidRPr="0023301D" w:rsidRDefault="0023301D" w:rsidP="0023301D">
            <w:r w:rsidRPr="0023301D">
              <w:t>Current annual salary of the employee in INR or USD (based on your dataset)</w:t>
            </w:r>
          </w:p>
        </w:tc>
      </w:tr>
    </w:tbl>
    <w:p w14:paraId="247BFCA5" w14:textId="77777777" w:rsidR="0023301D" w:rsidRPr="0023301D" w:rsidRDefault="0023301D" w:rsidP="0023301D">
      <w:pPr>
        <w:rPr>
          <w:b/>
          <w:bCs/>
        </w:rPr>
      </w:pPr>
      <w:r w:rsidRPr="0023301D">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1650"/>
        <w:gridCol w:w="407"/>
        <w:gridCol w:w="737"/>
        <w:gridCol w:w="1135"/>
      </w:tblGrid>
      <w:tr w:rsidR="0023301D" w:rsidRPr="0023301D" w14:paraId="29DDA508" w14:textId="77777777" w:rsidTr="0023301D">
        <w:trPr>
          <w:tblHeader/>
          <w:tblCellSpacing w:w="15" w:type="dxa"/>
        </w:trPr>
        <w:tc>
          <w:tcPr>
            <w:tcW w:w="0" w:type="auto"/>
            <w:vAlign w:val="center"/>
            <w:hideMark/>
          </w:tcPr>
          <w:p w14:paraId="439804A8" w14:textId="77777777" w:rsidR="0023301D" w:rsidRPr="0023301D" w:rsidRDefault="0023301D" w:rsidP="0023301D">
            <w:pPr>
              <w:rPr>
                <w:b/>
                <w:bCs/>
              </w:rPr>
            </w:pPr>
            <w:r w:rsidRPr="0023301D">
              <w:rPr>
                <w:b/>
                <w:bCs/>
              </w:rPr>
              <w:t>ID</w:t>
            </w:r>
          </w:p>
        </w:tc>
        <w:tc>
          <w:tcPr>
            <w:tcW w:w="0" w:type="auto"/>
            <w:vAlign w:val="center"/>
            <w:hideMark/>
          </w:tcPr>
          <w:p w14:paraId="39F77C25" w14:textId="77777777" w:rsidR="0023301D" w:rsidRPr="0023301D" w:rsidRDefault="0023301D" w:rsidP="0023301D">
            <w:pPr>
              <w:rPr>
                <w:b/>
                <w:bCs/>
              </w:rPr>
            </w:pPr>
            <w:proofErr w:type="spellStart"/>
            <w:r w:rsidRPr="0023301D">
              <w:rPr>
                <w:b/>
                <w:bCs/>
              </w:rPr>
              <w:t>Experience_Years</w:t>
            </w:r>
            <w:proofErr w:type="spellEnd"/>
          </w:p>
        </w:tc>
        <w:tc>
          <w:tcPr>
            <w:tcW w:w="0" w:type="auto"/>
            <w:vAlign w:val="center"/>
            <w:hideMark/>
          </w:tcPr>
          <w:p w14:paraId="66626C7C" w14:textId="77777777" w:rsidR="0023301D" w:rsidRPr="0023301D" w:rsidRDefault="0023301D" w:rsidP="0023301D">
            <w:pPr>
              <w:rPr>
                <w:b/>
                <w:bCs/>
              </w:rPr>
            </w:pPr>
            <w:r w:rsidRPr="0023301D">
              <w:rPr>
                <w:b/>
                <w:bCs/>
              </w:rPr>
              <w:t>Age</w:t>
            </w:r>
          </w:p>
        </w:tc>
        <w:tc>
          <w:tcPr>
            <w:tcW w:w="0" w:type="auto"/>
            <w:vAlign w:val="center"/>
            <w:hideMark/>
          </w:tcPr>
          <w:p w14:paraId="68E8B11A" w14:textId="77777777" w:rsidR="0023301D" w:rsidRPr="0023301D" w:rsidRDefault="0023301D" w:rsidP="0023301D">
            <w:pPr>
              <w:rPr>
                <w:b/>
                <w:bCs/>
              </w:rPr>
            </w:pPr>
            <w:r w:rsidRPr="0023301D">
              <w:rPr>
                <w:b/>
                <w:bCs/>
              </w:rPr>
              <w:t>Gender</w:t>
            </w:r>
          </w:p>
        </w:tc>
        <w:tc>
          <w:tcPr>
            <w:tcW w:w="0" w:type="auto"/>
            <w:vAlign w:val="center"/>
            <w:hideMark/>
          </w:tcPr>
          <w:p w14:paraId="41DF2D67" w14:textId="77777777" w:rsidR="0023301D" w:rsidRPr="0023301D" w:rsidRDefault="0023301D" w:rsidP="0023301D">
            <w:pPr>
              <w:rPr>
                <w:b/>
                <w:bCs/>
              </w:rPr>
            </w:pPr>
            <w:r w:rsidRPr="0023301D">
              <w:rPr>
                <w:b/>
                <w:bCs/>
              </w:rPr>
              <w:t>Salary</w:t>
            </w:r>
          </w:p>
        </w:tc>
      </w:tr>
      <w:tr w:rsidR="0023301D" w:rsidRPr="0023301D" w14:paraId="04974669" w14:textId="77777777" w:rsidTr="0023301D">
        <w:trPr>
          <w:tblCellSpacing w:w="15" w:type="dxa"/>
        </w:trPr>
        <w:tc>
          <w:tcPr>
            <w:tcW w:w="0" w:type="auto"/>
            <w:vAlign w:val="center"/>
            <w:hideMark/>
          </w:tcPr>
          <w:p w14:paraId="3710EADD" w14:textId="77777777" w:rsidR="0023301D" w:rsidRPr="0023301D" w:rsidRDefault="0023301D" w:rsidP="0023301D">
            <w:r w:rsidRPr="0023301D">
              <w:t>1</w:t>
            </w:r>
          </w:p>
        </w:tc>
        <w:tc>
          <w:tcPr>
            <w:tcW w:w="0" w:type="auto"/>
            <w:vAlign w:val="center"/>
            <w:hideMark/>
          </w:tcPr>
          <w:p w14:paraId="1F0EFAA7" w14:textId="77777777" w:rsidR="0023301D" w:rsidRPr="0023301D" w:rsidRDefault="0023301D" w:rsidP="0023301D">
            <w:r w:rsidRPr="0023301D">
              <w:t>3</w:t>
            </w:r>
          </w:p>
        </w:tc>
        <w:tc>
          <w:tcPr>
            <w:tcW w:w="0" w:type="auto"/>
            <w:vAlign w:val="center"/>
            <w:hideMark/>
          </w:tcPr>
          <w:p w14:paraId="1CB28E65" w14:textId="77777777" w:rsidR="0023301D" w:rsidRPr="0023301D" w:rsidRDefault="0023301D" w:rsidP="0023301D">
            <w:r w:rsidRPr="0023301D">
              <w:t>25</w:t>
            </w:r>
          </w:p>
        </w:tc>
        <w:tc>
          <w:tcPr>
            <w:tcW w:w="0" w:type="auto"/>
            <w:vAlign w:val="center"/>
            <w:hideMark/>
          </w:tcPr>
          <w:p w14:paraId="090D753D" w14:textId="77777777" w:rsidR="0023301D" w:rsidRPr="0023301D" w:rsidRDefault="0023301D" w:rsidP="0023301D">
            <w:r w:rsidRPr="0023301D">
              <w:t>Male</w:t>
            </w:r>
          </w:p>
        </w:tc>
        <w:tc>
          <w:tcPr>
            <w:tcW w:w="0" w:type="auto"/>
            <w:vAlign w:val="center"/>
            <w:hideMark/>
          </w:tcPr>
          <w:p w14:paraId="64574FA5" w14:textId="77777777" w:rsidR="0023301D" w:rsidRPr="0023301D" w:rsidRDefault="0023301D" w:rsidP="0023301D">
            <w:r w:rsidRPr="0023301D">
              <w:t>450000.00</w:t>
            </w:r>
          </w:p>
        </w:tc>
      </w:tr>
      <w:tr w:rsidR="0023301D" w:rsidRPr="0023301D" w14:paraId="469BB101" w14:textId="77777777" w:rsidTr="0023301D">
        <w:trPr>
          <w:tblCellSpacing w:w="15" w:type="dxa"/>
        </w:trPr>
        <w:tc>
          <w:tcPr>
            <w:tcW w:w="0" w:type="auto"/>
            <w:vAlign w:val="center"/>
            <w:hideMark/>
          </w:tcPr>
          <w:p w14:paraId="3A74D8FA" w14:textId="77777777" w:rsidR="0023301D" w:rsidRPr="0023301D" w:rsidRDefault="0023301D" w:rsidP="0023301D">
            <w:r w:rsidRPr="0023301D">
              <w:t>2</w:t>
            </w:r>
          </w:p>
        </w:tc>
        <w:tc>
          <w:tcPr>
            <w:tcW w:w="0" w:type="auto"/>
            <w:vAlign w:val="center"/>
            <w:hideMark/>
          </w:tcPr>
          <w:p w14:paraId="2FB4B674" w14:textId="77777777" w:rsidR="0023301D" w:rsidRPr="0023301D" w:rsidRDefault="0023301D" w:rsidP="0023301D">
            <w:r w:rsidRPr="0023301D">
              <w:t>7</w:t>
            </w:r>
          </w:p>
        </w:tc>
        <w:tc>
          <w:tcPr>
            <w:tcW w:w="0" w:type="auto"/>
            <w:vAlign w:val="center"/>
            <w:hideMark/>
          </w:tcPr>
          <w:p w14:paraId="42C84C7E" w14:textId="77777777" w:rsidR="0023301D" w:rsidRPr="0023301D" w:rsidRDefault="0023301D" w:rsidP="0023301D">
            <w:r w:rsidRPr="0023301D">
              <w:t>32</w:t>
            </w:r>
          </w:p>
        </w:tc>
        <w:tc>
          <w:tcPr>
            <w:tcW w:w="0" w:type="auto"/>
            <w:vAlign w:val="center"/>
            <w:hideMark/>
          </w:tcPr>
          <w:p w14:paraId="192B5B23" w14:textId="77777777" w:rsidR="0023301D" w:rsidRPr="0023301D" w:rsidRDefault="0023301D" w:rsidP="0023301D">
            <w:r w:rsidRPr="0023301D">
              <w:t>Female</w:t>
            </w:r>
          </w:p>
        </w:tc>
        <w:tc>
          <w:tcPr>
            <w:tcW w:w="0" w:type="auto"/>
            <w:vAlign w:val="center"/>
            <w:hideMark/>
          </w:tcPr>
          <w:p w14:paraId="2F540DA1" w14:textId="77777777" w:rsidR="0023301D" w:rsidRPr="0023301D" w:rsidRDefault="0023301D" w:rsidP="0023301D">
            <w:r w:rsidRPr="0023301D">
              <w:t>850000.00</w:t>
            </w:r>
          </w:p>
        </w:tc>
      </w:tr>
      <w:tr w:rsidR="0023301D" w:rsidRPr="0023301D" w14:paraId="45DC86A9" w14:textId="77777777" w:rsidTr="0023301D">
        <w:trPr>
          <w:tblCellSpacing w:w="15" w:type="dxa"/>
        </w:trPr>
        <w:tc>
          <w:tcPr>
            <w:tcW w:w="0" w:type="auto"/>
            <w:vAlign w:val="center"/>
            <w:hideMark/>
          </w:tcPr>
          <w:p w14:paraId="5DE25332" w14:textId="77777777" w:rsidR="0023301D" w:rsidRPr="0023301D" w:rsidRDefault="0023301D" w:rsidP="0023301D">
            <w:r w:rsidRPr="0023301D">
              <w:t>3</w:t>
            </w:r>
          </w:p>
        </w:tc>
        <w:tc>
          <w:tcPr>
            <w:tcW w:w="0" w:type="auto"/>
            <w:vAlign w:val="center"/>
            <w:hideMark/>
          </w:tcPr>
          <w:p w14:paraId="4E9E8B37" w14:textId="77777777" w:rsidR="0023301D" w:rsidRPr="0023301D" w:rsidRDefault="0023301D" w:rsidP="0023301D">
            <w:r w:rsidRPr="0023301D">
              <w:t>1</w:t>
            </w:r>
          </w:p>
        </w:tc>
        <w:tc>
          <w:tcPr>
            <w:tcW w:w="0" w:type="auto"/>
            <w:vAlign w:val="center"/>
            <w:hideMark/>
          </w:tcPr>
          <w:p w14:paraId="334FA5F5" w14:textId="77777777" w:rsidR="0023301D" w:rsidRPr="0023301D" w:rsidRDefault="0023301D" w:rsidP="0023301D">
            <w:r w:rsidRPr="0023301D">
              <w:t>22</w:t>
            </w:r>
          </w:p>
        </w:tc>
        <w:tc>
          <w:tcPr>
            <w:tcW w:w="0" w:type="auto"/>
            <w:vAlign w:val="center"/>
            <w:hideMark/>
          </w:tcPr>
          <w:p w14:paraId="119E6DD7" w14:textId="77777777" w:rsidR="0023301D" w:rsidRPr="0023301D" w:rsidRDefault="0023301D" w:rsidP="0023301D">
            <w:r w:rsidRPr="0023301D">
              <w:t>Male</w:t>
            </w:r>
          </w:p>
        </w:tc>
        <w:tc>
          <w:tcPr>
            <w:tcW w:w="0" w:type="auto"/>
            <w:vAlign w:val="center"/>
            <w:hideMark/>
          </w:tcPr>
          <w:p w14:paraId="05E88FAD" w14:textId="77777777" w:rsidR="0023301D" w:rsidRPr="0023301D" w:rsidRDefault="0023301D" w:rsidP="0023301D">
            <w:r w:rsidRPr="0023301D">
              <w:t>300000.00</w:t>
            </w:r>
          </w:p>
        </w:tc>
      </w:tr>
      <w:tr w:rsidR="0023301D" w:rsidRPr="0023301D" w14:paraId="237D0140" w14:textId="77777777" w:rsidTr="0023301D">
        <w:trPr>
          <w:tblCellSpacing w:w="15" w:type="dxa"/>
        </w:trPr>
        <w:tc>
          <w:tcPr>
            <w:tcW w:w="0" w:type="auto"/>
            <w:vAlign w:val="center"/>
            <w:hideMark/>
          </w:tcPr>
          <w:p w14:paraId="3826DEAE" w14:textId="77777777" w:rsidR="0023301D" w:rsidRPr="0023301D" w:rsidRDefault="0023301D" w:rsidP="0023301D">
            <w:r w:rsidRPr="0023301D">
              <w:lastRenderedPageBreak/>
              <w:t>4</w:t>
            </w:r>
          </w:p>
        </w:tc>
        <w:tc>
          <w:tcPr>
            <w:tcW w:w="0" w:type="auto"/>
            <w:vAlign w:val="center"/>
            <w:hideMark/>
          </w:tcPr>
          <w:p w14:paraId="46399885" w14:textId="77777777" w:rsidR="0023301D" w:rsidRPr="0023301D" w:rsidRDefault="0023301D" w:rsidP="0023301D">
            <w:r w:rsidRPr="0023301D">
              <w:t>10</w:t>
            </w:r>
          </w:p>
        </w:tc>
        <w:tc>
          <w:tcPr>
            <w:tcW w:w="0" w:type="auto"/>
            <w:vAlign w:val="center"/>
            <w:hideMark/>
          </w:tcPr>
          <w:p w14:paraId="2A9D01F5" w14:textId="77777777" w:rsidR="0023301D" w:rsidRPr="0023301D" w:rsidRDefault="0023301D" w:rsidP="0023301D">
            <w:r w:rsidRPr="0023301D">
              <w:t>40</w:t>
            </w:r>
          </w:p>
        </w:tc>
        <w:tc>
          <w:tcPr>
            <w:tcW w:w="0" w:type="auto"/>
            <w:vAlign w:val="center"/>
            <w:hideMark/>
          </w:tcPr>
          <w:p w14:paraId="6460CD19" w14:textId="77777777" w:rsidR="0023301D" w:rsidRPr="0023301D" w:rsidRDefault="0023301D" w:rsidP="0023301D">
            <w:r w:rsidRPr="0023301D">
              <w:t>Female</w:t>
            </w:r>
          </w:p>
        </w:tc>
        <w:tc>
          <w:tcPr>
            <w:tcW w:w="0" w:type="auto"/>
            <w:vAlign w:val="center"/>
            <w:hideMark/>
          </w:tcPr>
          <w:p w14:paraId="70A921A7" w14:textId="77777777" w:rsidR="0023301D" w:rsidRPr="0023301D" w:rsidRDefault="0023301D" w:rsidP="0023301D">
            <w:r w:rsidRPr="0023301D">
              <w:t>1200000.00</w:t>
            </w:r>
          </w:p>
        </w:tc>
      </w:tr>
      <w:tr w:rsidR="0023301D" w:rsidRPr="0023301D" w14:paraId="1932539F" w14:textId="77777777" w:rsidTr="0023301D">
        <w:trPr>
          <w:tblCellSpacing w:w="15" w:type="dxa"/>
        </w:trPr>
        <w:tc>
          <w:tcPr>
            <w:tcW w:w="0" w:type="auto"/>
            <w:vAlign w:val="center"/>
            <w:hideMark/>
          </w:tcPr>
          <w:p w14:paraId="0DA5B837" w14:textId="77777777" w:rsidR="0023301D" w:rsidRPr="0023301D" w:rsidRDefault="0023301D" w:rsidP="0023301D">
            <w:r w:rsidRPr="0023301D">
              <w:t>5</w:t>
            </w:r>
          </w:p>
        </w:tc>
        <w:tc>
          <w:tcPr>
            <w:tcW w:w="0" w:type="auto"/>
            <w:vAlign w:val="center"/>
            <w:hideMark/>
          </w:tcPr>
          <w:p w14:paraId="2998BFCB" w14:textId="77777777" w:rsidR="0023301D" w:rsidRPr="0023301D" w:rsidRDefault="0023301D" w:rsidP="0023301D">
            <w:r w:rsidRPr="0023301D">
              <w:t>5</w:t>
            </w:r>
          </w:p>
        </w:tc>
        <w:tc>
          <w:tcPr>
            <w:tcW w:w="0" w:type="auto"/>
            <w:vAlign w:val="center"/>
            <w:hideMark/>
          </w:tcPr>
          <w:p w14:paraId="64028FDB" w14:textId="77777777" w:rsidR="0023301D" w:rsidRPr="0023301D" w:rsidRDefault="0023301D" w:rsidP="0023301D">
            <w:r w:rsidRPr="0023301D">
              <w:t>29</w:t>
            </w:r>
          </w:p>
        </w:tc>
        <w:tc>
          <w:tcPr>
            <w:tcW w:w="0" w:type="auto"/>
            <w:vAlign w:val="center"/>
            <w:hideMark/>
          </w:tcPr>
          <w:p w14:paraId="5155BED7" w14:textId="77777777" w:rsidR="0023301D" w:rsidRPr="0023301D" w:rsidRDefault="0023301D" w:rsidP="0023301D">
            <w:r w:rsidRPr="0023301D">
              <w:t>Male</w:t>
            </w:r>
          </w:p>
        </w:tc>
        <w:tc>
          <w:tcPr>
            <w:tcW w:w="0" w:type="auto"/>
            <w:vAlign w:val="center"/>
            <w:hideMark/>
          </w:tcPr>
          <w:p w14:paraId="618728BA" w14:textId="77777777" w:rsidR="0023301D" w:rsidRPr="0023301D" w:rsidRDefault="0023301D" w:rsidP="0023301D">
            <w:r w:rsidRPr="0023301D">
              <w:t>650000.00</w:t>
            </w:r>
          </w:p>
        </w:tc>
      </w:tr>
    </w:tbl>
    <w:p w14:paraId="3ABEAB64" w14:textId="77777777" w:rsidR="0023301D" w:rsidRPr="0023301D" w:rsidRDefault="0023301D" w:rsidP="0023301D">
      <w:r w:rsidRPr="0023301D">
        <w:pict w14:anchorId="3E44C708">
          <v:rect id="_x0000_i1034" style="width:0;height:1.5pt" o:hralign="center" o:hrstd="t" o:hr="t" fillcolor="#a0a0a0" stroked="f"/>
        </w:pict>
      </w:r>
    </w:p>
    <w:p w14:paraId="3FC1F0BF" w14:textId="77777777" w:rsidR="0023301D" w:rsidRPr="0023301D" w:rsidRDefault="0023301D" w:rsidP="0023301D">
      <w:pPr>
        <w:rPr>
          <w:b/>
          <w:bCs/>
        </w:rPr>
      </w:pPr>
      <w:r w:rsidRPr="0023301D">
        <w:rPr>
          <w:b/>
          <w:bCs/>
        </w:rPr>
        <w:t>Possible Exploratory Questions:</w:t>
      </w:r>
    </w:p>
    <w:p w14:paraId="0E3DABED" w14:textId="77777777" w:rsidR="0023301D" w:rsidRPr="0023301D" w:rsidRDefault="0023301D" w:rsidP="0023301D">
      <w:pPr>
        <w:numPr>
          <w:ilvl w:val="0"/>
          <w:numId w:val="5"/>
        </w:numPr>
      </w:pPr>
      <w:r w:rsidRPr="0023301D">
        <w:t>What is the average salary across the company?</w:t>
      </w:r>
    </w:p>
    <w:p w14:paraId="6EF96315" w14:textId="77777777" w:rsidR="0023301D" w:rsidRPr="0023301D" w:rsidRDefault="0023301D" w:rsidP="0023301D">
      <w:pPr>
        <w:numPr>
          <w:ilvl w:val="0"/>
          <w:numId w:val="5"/>
        </w:numPr>
      </w:pPr>
      <w:r w:rsidRPr="0023301D">
        <w:t xml:space="preserve">Is there a strong correlation between </w:t>
      </w:r>
      <w:proofErr w:type="spellStart"/>
      <w:r w:rsidRPr="0023301D">
        <w:t>Experience_Years</w:t>
      </w:r>
      <w:proofErr w:type="spellEnd"/>
      <w:r w:rsidRPr="0023301D">
        <w:t xml:space="preserve"> and Salary?</w:t>
      </w:r>
    </w:p>
    <w:p w14:paraId="705B2179" w14:textId="77777777" w:rsidR="0023301D" w:rsidRPr="0023301D" w:rsidRDefault="0023301D" w:rsidP="0023301D">
      <w:pPr>
        <w:numPr>
          <w:ilvl w:val="0"/>
          <w:numId w:val="5"/>
        </w:numPr>
      </w:pPr>
      <w:r w:rsidRPr="0023301D">
        <w:t>Do older employees tend to have higher salaries?</w:t>
      </w:r>
    </w:p>
    <w:p w14:paraId="7320211B" w14:textId="77777777" w:rsidR="0023301D" w:rsidRPr="0023301D" w:rsidRDefault="0023301D" w:rsidP="0023301D">
      <w:pPr>
        <w:numPr>
          <w:ilvl w:val="0"/>
          <w:numId w:val="5"/>
        </w:numPr>
      </w:pPr>
      <w:r w:rsidRPr="0023301D">
        <w:t>What is the salary distribution by Gender?</w:t>
      </w:r>
    </w:p>
    <w:p w14:paraId="32A2F648" w14:textId="77777777" w:rsidR="0023301D" w:rsidRPr="0023301D" w:rsidRDefault="0023301D" w:rsidP="0023301D">
      <w:pPr>
        <w:numPr>
          <w:ilvl w:val="0"/>
          <w:numId w:val="5"/>
        </w:numPr>
      </w:pPr>
      <w:r w:rsidRPr="0023301D">
        <w:t>Are there any outliers in salary based on experience?</w:t>
      </w:r>
    </w:p>
    <w:p w14:paraId="30CEEA2B" w14:textId="77777777" w:rsidR="0023301D" w:rsidRPr="0023301D" w:rsidRDefault="0023301D" w:rsidP="0023301D">
      <w:pPr>
        <w:numPr>
          <w:ilvl w:val="0"/>
          <w:numId w:val="5"/>
        </w:numPr>
      </w:pPr>
      <w:r w:rsidRPr="0023301D">
        <w:t>What is the most common age group in the dataset?</w:t>
      </w:r>
    </w:p>
    <w:p w14:paraId="41D81920" w14:textId="77777777" w:rsidR="0023301D" w:rsidRPr="009C2635" w:rsidRDefault="0023301D" w:rsidP="0023301D"/>
    <w:p w14:paraId="4FC3CA0C" w14:textId="77777777" w:rsidR="009C2635" w:rsidRPr="009C2635" w:rsidRDefault="00000000" w:rsidP="009C2635">
      <w:r>
        <w:pict w14:anchorId="117D8F6C">
          <v:rect id="_x0000_i1026" style="width:0;height:1.5pt" o:hralign="center" o:hrstd="t" o:hr="t" fillcolor="#a0a0a0" stroked="f"/>
        </w:pict>
      </w:r>
    </w:p>
    <w:p w14:paraId="252AFF49" w14:textId="77777777" w:rsidR="009C2635" w:rsidRPr="009C2635" w:rsidRDefault="009C2635" w:rsidP="009C2635">
      <w:r w:rsidRPr="009C2635">
        <w:rPr>
          <w:b/>
          <w:bCs/>
        </w:rPr>
        <w:t>CONCLUSION:</w:t>
      </w:r>
    </w:p>
    <w:p w14:paraId="7D904D96" w14:textId="77777777" w:rsidR="009C2635" w:rsidRPr="009C2635" w:rsidRDefault="009C2635" w:rsidP="009C2635">
      <w:r w:rsidRPr="009C2635">
        <w:t xml:space="preserve">Exploratory Data Analysis is a crucial step in understanding and preparing data for </w:t>
      </w:r>
      <w:proofErr w:type="spellStart"/>
      <w:r w:rsidRPr="009C2635">
        <w:t>modeling</w:t>
      </w:r>
      <w:proofErr w:type="spellEnd"/>
      <w:r w:rsidRPr="009C2635">
        <w:t xml:space="preserve"> and decision-making. By using measures of central tendency and variability, along with visualization techniques like boxplots, we can detect patterns, assess relationships, and identify anomalies in datasets. Mastering EDA techniques is essential for effective data-driven insights and decision-making.</w:t>
      </w:r>
    </w:p>
    <w:p w14:paraId="23FD6AEE" w14:textId="77777777" w:rsidR="009C2635" w:rsidRPr="009C2635" w:rsidRDefault="00000000" w:rsidP="009C2635">
      <w:r>
        <w:pict w14:anchorId="18F3CAEC">
          <v:rect id="_x0000_i1027" style="width:0;height:1.5pt" o:hralign="center" o:hrstd="t" o:hr="t" fillcolor="#a0a0a0" stroked="f"/>
        </w:pict>
      </w:r>
    </w:p>
    <w:p w14:paraId="6FD03DEF"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1383"/>
    <w:multiLevelType w:val="multilevel"/>
    <w:tmpl w:val="7EA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B6D93"/>
    <w:multiLevelType w:val="multilevel"/>
    <w:tmpl w:val="E77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7172">
    <w:abstractNumId w:val="3"/>
  </w:num>
  <w:num w:numId="2" w16cid:durableId="1179808037">
    <w:abstractNumId w:val="1"/>
  </w:num>
  <w:num w:numId="3" w16cid:durableId="71827510">
    <w:abstractNumId w:val="4"/>
  </w:num>
  <w:num w:numId="4" w16cid:durableId="290676873">
    <w:abstractNumId w:val="2"/>
  </w:num>
  <w:num w:numId="5" w16cid:durableId="212947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35"/>
    <w:rsid w:val="0023301D"/>
    <w:rsid w:val="00282A46"/>
    <w:rsid w:val="00283DF3"/>
    <w:rsid w:val="003033E5"/>
    <w:rsid w:val="006D04DB"/>
    <w:rsid w:val="009C2635"/>
    <w:rsid w:val="00D0229C"/>
    <w:rsid w:val="00D83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EC8"/>
  <w15:chartTrackingRefBased/>
  <w15:docId w15:val="{DE76A685-145D-4FD6-AF2C-0F3577F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35"/>
    <w:rPr>
      <w:rFonts w:eastAsiaTheme="majorEastAsia" w:cstheme="majorBidi"/>
      <w:color w:val="272727" w:themeColor="text1" w:themeTint="D8"/>
    </w:rPr>
  </w:style>
  <w:style w:type="paragraph" w:styleId="Title">
    <w:name w:val="Title"/>
    <w:basedOn w:val="Normal"/>
    <w:next w:val="Normal"/>
    <w:link w:val="TitleChar"/>
    <w:uiPriority w:val="10"/>
    <w:qFormat/>
    <w:rsid w:val="009C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35"/>
    <w:pPr>
      <w:spacing w:before="160"/>
      <w:jc w:val="center"/>
    </w:pPr>
    <w:rPr>
      <w:i/>
      <w:iCs/>
      <w:color w:val="404040" w:themeColor="text1" w:themeTint="BF"/>
    </w:rPr>
  </w:style>
  <w:style w:type="character" w:customStyle="1" w:styleId="QuoteChar">
    <w:name w:val="Quote Char"/>
    <w:basedOn w:val="DefaultParagraphFont"/>
    <w:link w:val="Quote"/>
    <w:uiPriority w:val="29"/>
    <w:rsid w:val="009C2635"/>
    <w:rPr>
      <w:i/>
      <w:iCs/>
      <w:color w:val="404040" w:themeColor="text1" w:themeTint="BF"/>
    </w:rPr>
  </w:style>
  <w:style w:type="paragraph" w:styleId="ListParagraph">
    <w:name w:val="List Paragraph"/>
    <w:basedOn w:val="Normal"/>
    <w:uiPriority w:val="34"/>
    <w:qFormat/>
    <w:rsid w:val="009C2635"/>
    <w:pPr>
      <w:ind w:left="720"/>
      <w:contextualSpacing/>
    </w:pPr>
  </w:style>
  <w:style w:type="character" w:styleId="IntenseEmphasis">
    <w:name w:val="Intense Emphasis"/>
    <w:basedOn w:val="DefaultParagraphFont"/>
    <w:uiPriority w:val="21"/>
    <w:qFormat/>
    <w:rsid w:val="009C2635"/>
    <w:rPr>
      <w:i/>
      <w:iCs/>
      <w:color w:val="2F5496" w:themeColor="accent1" w:themeShade="BF"/>
    </w:rPr>
  </w:style>
  <w:style w:type="paragraph" w:styleId="IntenseQuote">
    <w:name w:val="Intense Quote"/>
    <w:basedOn w:val="Normal"/>
    <w:next w:val="Normal"/>
    <w:link w:val="IntenseQuoteChar"/>
    <w:uiPriority w:val="30"/>
    <w:qFormat/>
    <w:rsid w:val="009C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635"/>
    <w:rPr>
      <w:i/>
      <w:iCs/>
      <w:color w:val="2F5496" w:themeColor="accent1" w:themeShade="BF"/>
    </w:rPr>
  </w:style>
  <w:style w:type="character" w:styleId="IntenseReference">
    <w:name w:val="Intense Reference"/>
    <w:basedOn w:val="DefaultParagraphFont"/>
    <w:uiPriority w:val="32"/>
    <w:qFormat/>
    <w:rsid w:val="009C2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260725">
      <w:bodyDiv w:val="1"/>
      <w:marLeft w:val="0"/>
      <w:marRight w:val="0"/>
      <w:marTop w:val="0"/>
      <w:marBottom w:val="0"/>
      <w:divBdr>
        <w:top w:val="none" w:sz="0" w:space="0" w:color="auto"/>
        <w:left w:val="none" w:sz="0" w:space="0" w:color="auto"/>
        <w:bottom w:val="none" w:sz="0" w:space="0" w:color="auto"/>
        <w:right w:val="none" w:sz="0" w:space="0" w:color="auto"/>
      </w:divBdr>
      <w:divsChild>
        <w:div w:id="1934775646">
          <w:marLeft w:val="0"/>
          <w:marRight w:val="0"/>
          <w:marTop w:val="0"/>
          <w:marBottom w:val="0"/>
          <w:divBdr>
            <w:top w:val="none" w:sz="0" w:space="0" w:color="auto"/>
            <w:left w:val="none" w:sz="0" w:space="0" w:color="auto"/>
            <w:bottom w:val="none" w:sz="0" w:space="0" w:color="auto"/>
            <w:right w:val="none" w:sz="0" w:space="0" w:color="auto"/>
          </w:divBdr>
          <w:divsChild>
            <w:div w:id="839387873">
              <w:marLeft w:val="0"/>
              <w:marRight w:val="0"/>
              <w:marTop w:val="0"/>
              <w:marBottom w:val="0"/>
              <w:divBdr>
                <w:top w:val="none" w:sz="0" w:space="0" w:color="auto"/>
                <w:left w:val="none" w:sz="0" w:space="0" w:color="auto"/>
                <w:bottom w:val="none" w:sz="0" w:space="0" w:color="auto"/>
                <w:right w:val="none" w:sz="0" w:space="0" w:color="auto"/>
              </w:divBdr>
            </w:div>
          </w:divsChild>
        </w:div>
        <w:div w:id="241791448">
          <w:marLeft w:val="0"/>
          <w:marRight w:val="0"/>
          <w:marTop w:val="0"/>
          <w:marBottom w:val="0"/>
          <w:divBdr>
            <w:top w:val="none" w:sz="0" w:space="0" w:color="auto"/>
            <w:left w:val="none" w:sz="0" w:space="0" w:color="auto"/>
            <w:bottom w:val="none" w:sz="0" w:space="0" w:color="auto"/>
            <w:right w:val="none" w:sz="0" w:space="0" w:color="auto"/>
          </w:divBdr>
          <w:divsChild>
            <w:div w:id="1070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1733">
      <w:bodyDiv w:val="1"/>
      <w:marLeft w:val="0"/>
      <w:marRight w:val="0"/>
      <w:marTop w:val="0"/>
      <w:marBottom w:val="0"/>
      <w:divBdr>
        <w:top w:val="none" w:sz="0" w:space="0" w:color="auto"/>
        <w:left w:val="none" w:sz="0" w:space="0" w:color="auto"/>
        <w:bottom w:val="none" w:sz="0" w:space="0" w:color="auto"/>
        <w:right w:val="none" w:sz="0" w:space="0" w:color="auto"/>
      </w:divBdr>
    </w:div>
    <w:div w:id="1161002894">
      <w:bodyDiv w:val="1"/>
      <w:marLeft w:val="0"/>
      <w:marRight w:val="0"/>
      <w:marTop w:val="0"/>
      <w:marBottom w:val="0"/>
      <w:divBdr>
        <w:top w:val="none" w:sz="0" w:space="0" w:color="auto"/>
        <w:left w:val="none" w:sz="0" w:space="0" w:color="auto"/>
        <w:bottom w:val="none" w:sz="0" w:space="0" w:color="auto"/>
        <w:right w:val="none" w:sz="0" w:space="0" w:color="auto"/>
      </w:divBdr>
    </w:div>
    <w:div w:id="1570457461">
      <w:bodyDiv w:val="1"/>
      <w:marLeft w:val="0"/>
      <w:marRight w:val="0"/>
      <w:marTop w:val="0"/>
      <w:marBottom w:val="0"/>
      <w:divBdr>
        <w:top w:val="none" w:sz="0" w:space="0" w:color="auto"/>
        <w:left w:val="none" w:sz="0" w:space="0" w:color="auto"/>
        <w:bottom w:val="none" w:sz="0" w:space="0" w:color="auto"/>
        <w:right w:val="none" w:sz="0" w:space="0" w:color="auto"/>
      </w:divBdr>
      <w:divsChild>
        <w:div w:id="1200703032">
          <w:marLeft w:val="0"/>
          <w:marRight w:val="0"/>
          <w:marTop w:val="0"/>
          <w:marBottom w:val="0"/>
          <w:divBdr>
            <w:top w:val="none" w:sz="0" w:space="0" w:color="auto"/>
            <w:left w:val="none" w:sz="0" w:space="0" w:color="auto"/>
            <w:bottom w:val="none" w:sz="0" w:space="0" w:color="auto"/>
            <w:right w:val="none" w:sz="0" w:space="0" w:color="auto"/>
          </w:divBdr>
          <w:divsChild>
            <w:div w:id="1460419944">
              <w:marLeft w:val="0"/>
              <w:marRight w:val="0"/>
              <w:marTop w:val="0"/>
              <w:marBottom w:val="0"/>
              <w:divBdr>
                <w:top w:val="none" w:sz="0" w:space="0" w:color="auto"/>
                <w:left w:val="none" w:sz="0" w:space="0" w:color="auto"/>
                <w:bottom w:val="none" w:sz="0" w:space="0" w:color="auto"/>
                <w:right w:val="none" w:sz="0" w:space="0" w:color="auto"/>
              </w:divBdr>
            </w:div>
          </w:divsChild>
        </w:div>
        <w:div w:id="84502614">
          <w:marLeft w:val="0"/>
          <w:marRight w:val="0"/>
          <w:marTop w:val="0"/>
          <w:marBottom w:val="0"/>
          <w:divBdr>
            <w:top w:val="none" w:sz="0" w:space="0" w:color="auto"/>
            <w:left w:val="none" w:sz="0" w:space="0" w:color="auto"/>
            <w:bottom w:val="none" w:sz="0" w:space="0" w:color="auto"/>
            <w:right w:val="none" w:sz="0" w:space="0" w:color="auto"/>
          </w:divBdr>
          <w:divsChild>
            <w:div w:id="703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Solanke</dc:creator>
  <cp:keywords/>
  <dc:description/>
  <cp:lastModifiedBy>SUMIT SOLANKE</cp:lastModifiedBy>
  <cp:revision>3</cp:revision>
  <dcterms:created xsi:type="dcterms:W3CDTF">2025-03-24T15:21:00Z</dcterms:created>
  <dcterms:modified xsi:type="dcterms:W3CDTF">2025-04-17T04:07:00Z</dcterms:modified>
</cp:coreProperties>
</file>