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8"/>
        </w:rPr>
        <w:t>COEXTEND GLOBAL LLP</w:t>
      </w:r>
    </w:p>
    <w:p>
      <w:pPr>
        <w:jc w:val="center"/>
      </w:pPr>
      <w:r>
        <w:rPr>
          <w:b/>
          <w:color w:val="2F5597"/>
          <w:sz w:val="36"/>
        </w:rPr>
        <w:t>01 - COMPANY PROFILE</w:t>
      </w:r>
    </w:p>
    <w:p>
      <w:pPr>
        <w:jc w:val="center"/>
      </w:pPr>
      <w:r>
        <w:rPr>
          <w:color w:val="6B7280"/>
          <w:sz w:val="24"/>
        </w:rPr>
        <w:t>Verified and reviewed company information</w:t>
      </w:r>
    </w:p>
    <w:tbl>
      <w:tblPr>
        <w:tblW w:type="auto" w:w="0"/>
        <w:jc w:val="center"/>
        <w:tblLook w:firstColumn="1" w:firstRow="1" w:lastColumn="0" w:lastRow="0" w:noHBand="0" w:noVBand="1" w:val="04A0"/>
        <w:tblBorders>
          <w:top w:val="single" w:sz="6" w:color="D9E1F2"/>
          <w:left w:val="single" w:sz="6" w:color="D9E1F2"/>
          <w:bottom w:val="single" w:sz="6" w:color="D9E1F2"/>
          <w:right w:val="single" w:sz="6" w:color="D9E1F2"/>
          <w:insideH w:val="single" w:sz="6" w:color="D9E1F2"/>
          <w:insideV w:val="single" w:sz="6" w:color="D9E1F2"/>
        </w:tblBorders>
      </w:tblPr>
      <w:tblGrid>
        <w:gridCol w:w="5083"/>
        <w:gridCol w:w="5083"/>
      </w:tblGrid>
      <w:tr>
        <w:tc>
          <w:tcPr>
            <w:tcW w:type="dxa" w:w="5083"/>
            <w:tcMar>
              <w:top w:w="90" w:type="dxa"/>
              <w:start w:w="100" w:type="dxa"/>
              <w:bottom w:w="90" w:type="dxa"/>
              <w:end w:w="100" w:type="dxa"/>
            </w:tcMar>
            <w:vAlign w:val="top"/>
          </w:tcPr>
          <w:p>
            <w:r>
              <w:rPr>
                <w:b/>
                <w:sz w:val="19"/>
              </w:rPr>
              <w:t>Company name</w:t>
            </w:r>
          </w:p>
        </w:tc>
        <w:tc>
          <w:tcPr>
            <w:tcW w:type="dxa" w:w="5083"/>
            <w:tcMar>
              <w:top w:w="90" w:type="dxa"/>
              <w:start w:w="100" w:type="dxa"/>
              <w:bottom w:w="90" w:type="dxa"/>
              <w:end w:w="100" w:type="dxa"/>
            </w:tcMar>
            <w:vAlign w:val="top"/>
          </w:tcPr>
          <w:p>
            <w:r>
              <w:rPr>
                <w:sz w:val="19"/>
              </w:rPr>
              <w:t>CoExtend Global LLP</w:t>
              <w:br/>
              <w:t>Source: LinkedIn company/job listing, reviewed 8 Sep 2026</w:t>
            </w:r>
          </w:p>
        </w:tc>
      </w:tr>
      <w:tr>
        <w:tc>
          <w:tcPr>
            <w:tcW w:type="dxa" w:w="5083"/>
            <w:tcMar>
              <w:top w:w="90" w:type="dxa"/>
              <w:start w:w="100" w:type="dxa"/>
              <w:bottom w:w="90" w:type="dxa"/>
              <w:end w:w="100" w:type="dxa"/>
            </w:tcMar>
            <w:vAlign w:val="top"/>
          </w:tcPr>
          <w:p>
            <w:r>
              <w:rPr>
                <w:b/>
                <w:sz w:val="19"/>
              </w:rPr>
              <w:t>Core positioning</w:t>
            </w:r>
          </w:p>
        </w:tc>
        <w:tc>
          <w:tcPr>
            <w:tcW w:type="dxa" w:w="5083"/>
            <w:tcMar>
              <w:top w:w="90" w:type="dxa"/>
              <w:start w:w="100" w:type="dxa"/>
              <w:bottom w:w="90" w:type="dxa"/>
              <w:end w:w="100" w:type="dxa"/>
            </w:tcMar>
            <w:vAlign w:val="top"/>
          </w:tcPr>
          <w:p>
            <w:r>
              <w:rPr>
                <w:sz w:val="19"/>
              </w:rPr>
              <w:t>Technical services company combining construction estimating, quantity takeoffs, drafting/BIM and software development.</w:t>
              <w:br/>
              <w:t>Source: LinkedIn company/job listing, reviewed 8 Sep 2026</w:t>
            </w:r>
          </w:p>
        </w:tc>
      </w:tr>
      <w:tr>
        <w:tc>
          <w:tcPr>
            <w:tcW w:type="dxa" w:w="5083"/>
            <w:tcMar>
              <w:top w:w="90" w:type="dxa"/>
              <w:start w:w="100" w:type="dxa"/>
              <w:bottom w:w="90" w:type="dxa"/>
              <w:end w:w="100" w:type="dxa"/>
            </w:tcMar>
            <w:vAlign w:val="top"/>
          </w:tcPr>
          <w:p>
            <w:r>
              <w:rPr>
                <w:b/>
                <w:sz w:val="19"/>
              </w:rPr>
              <w:t>Primary delivery geography</w:t>
            </w:r>
          </w:p>
        </w:tc>
        <w:tc>
          <w:tcPr>
            <w:tcW w:type="dxa" w:w="5083"/>
            <w:tcMar>
              <w:top w:w="90" w:type="dxa"/>
              <w:start w:w="100" w:type="dxa"/>
              <w:bottom w:w="90" w:type="dxa"/>
              <w:end w:w="100" w:type="dxa"/>
            </w:tcMar>
            <w:vAlign w:val="top"/>
          </w:tcPr>
          <w:p>
            <w:r>
              <w:rPr>
                <w:sz w:val="19"/>
              </w:rPr>
              <w:t>Pune Division, Maharashtra, India; serving clients in the UK, US and Canada.</w:t>
              <w:br/>
              <w:t>Source: LinkedIn job listing and founder profile, reviewed 8 Sep 2026</w:t>
            </w:r>
          </w:p>
        </w:tc>
      </w:tr>
      <w:tr>
        <w:tc>
          <w:tcPr>
            <w:tcW w:type="dxa" w:w="5083"/>
            <w:tcMar>
              <w:top w:w="90" w:type="dxa"/>
              <w:start w:w="100" w:type="dxa"/>
              <w:bottom w:w="90" w:type="dxa"/>
              <w:end w:w="100" w:type="dxa"/>
            </w:tcMar>
            <w:vAlign w:val="top"/>
          </w:tcPr>
          <w:p>
            <w:r>
              <w:rPr>
                <w:b/>
                <w:sz w:val="19"/>
              </w:rPr>
              <w:t>Website / email</w:t>
            </w:r>
          </w:p>
        </w:tc>
        <w:tc>
          <w:tcPr>
            <w:tcW w:type="dxa" w:w="5083"/>
            <w:tcMar>
              <w:top w:w="90" w:type="dxa"/>
              <w:start w:w="100" w:type="dxa"/>
              <w:bottom w:w="90" w:type="dxa"/>
              <w:end w:w="100" w:type="dxa"/>
            </w:tcMar>
            <w:vAlign w:val="top"/>
          </w:tcPr>
          <w:p>
            <w:r>
              <w:rPr>
                <w:sz w:val="19"/>
              </w:rPr>
              <w:t>www.coextendglobal.com | info@coextendglobal.com</w:t>
              <w:br/>
              <w:t>Source: Public CoExtend Global LinkedIn post, reviewed 8 Sep 2026</w:t>
            </w:r>
          </w:p>
        </w:tc>
      </w:tr>
      <w:tr>
        <w:tc>
          <w:tcPr>
            <w:tcW w:type="dxa" w:w="5083"/>
            <w:tcMar>
              <w:top w:w="90" w:type="dxa"/>
              <w:start w:w="100" w:type="dxa"/>
              <w:bottom w:w="90" w:type="dxa"/>
              <w:end w:w="100" w:type="dxa"/>
            </w:tcMar>
            <w:vAlign w:val="top"/>
          </w:tcPr>
          <w:p>
            <w:r>
              <w:rPr>
                <w:b/>
                <w:sz w:val="19"/>
              </w:rPr>
              <w:t>Experience signal</w:t>
            </w:r>
          </w:p>
        </w:tc>
        <w:tc>
          <w:tcPr>
            <w:tcW w:type="dxa" w:w="5083"/>
            <w:tcMar>
              <w:top w:w="90" w:type="dxa"/>
              <w:start w:w="100" w:type="dxa"/>
              <w:bottom w:w="90" w:type="dxa"/>
              <w:end w:w="100" w:type="dxa"/>
            </w:tcMar>
            <w:vAlign w:val="top"/>
          </w:tcPr>
          <w:p>
            <w:r>
              <w:rPr>
                <w:sz w:val="19"/>
              </w:rPr>
              <w:t>15+ years of combined industry experience; founder public profile also states 14+ years in façade detailing and project estimation.</w:t>
              <w:br/>
              <w:t>Source: LinkedIn job/company description and founder profile, reviewed 8 Sep 2026</w:t>
            </w:r>
          </w:p>
        </w:tc>
      </w:tr>
      <w:tr>
        <w:tc>
          <w:tcPr>
            <w:tcW w:type="dxa" w:w="5083"/>
            <w:tcMar>
              <w:top w:w="90" w:type="dxa"/>
              <w:start w:w="100" w:type="dxa"/>
              <w:bottom w:w="90" w:type="dxa"/>
              <w:end w:w="100" w:type="dxa"/>
            </w:tcMar>
            <w:vAlign w:val="top"/>
          </w:tcPr>
          <w:p>
            <w:r>
              <w:rPr>
                <w:b/>
                <w:sz w:val="19"/>
              </w:rPr>
              <w:t>Company size</w:t>
            </w:r>
          </w:p>
        </w:tc>
        <w:tc>
          <w:tcPr>
            <w:tcW w:type="dxa" w:w="5083"/>
            <w:tcMar>
              <w:top w:w="90" w:type="dxa"/>
              <w:start w:w="100" w:type="dxa"/>
              <w:bottom w:w="90" w:type="dxa"/>
              <w:end w:w="100" w:type="dxa"/>
            </w:tcMar>
            <w:vAlign w:val="top"/>
          </w:tcPr>
          <w:p>
            <w:r>
              <w:rPr>
                <w:sz w:val="19"/>
              </w:rPr>
              <w:t>Approximately 10 people, based on current internal information discussed with the company; public sources do not state a verified headcount.</w:t>
              <w:br/>
              <w:t>Source: Internal working information; not independently verified</w:t>
            </w:r>
          </w:p>
        </w:tc>
      </w:tr>
    </w:tbl>
    <w:p>
      <w:pPr>
        <w:spacing w:before="280"/>
        <w:jc w:val="center"/>
      </w:pPr>
      <w:r>
        <w:rPr>
          <w:i/>
          <w:sz w:val="18"/>
        </w:rPr>
        <w:t>Use this document as a working company profile. Publicly verifiable facts are clearly separated from internally supplied or inferred information.</w:t>
      </w:r>
    </w:p>
    <w:p>
      <w:r>
        <w:br w:type="page"/>
      </w:r>
    </w:p>
    <w:p>
      <w:pPr>
        <w:pStyle w:val="Heading1"/>
      </w:pPr>
      <w:r>
        <w:t>1. Company Profile - Requested Information</w:t>
      </w:r>
    </w:p>
    <w:p>
      <w:r>
        <w:rPr>
          <w:sz w:val="20"/>
        </w:rPr>
        <w:t>The following section answers each item in the requested screenshot directly, with verification notes so the profile can be used for internal planning, proposals, website copy, or CRM/AI knowledge bases.</w:t>
      </w:r>
    </w:p>
    <w:tbl>
      <w:tblPr>
        <w:tblW w:type="auto" w:w="0"/>
        <w:jc w:val="center"/>
        <w:tblLook w:firstColumn="1" w:firstRow="1" w:lastColumn="0" w:lastRow="0" w:noHBand="0" w:noVBand="1" w:val="04A0"/>
        <w:tblBorders>
          <w:top w:val="single" w:sz="6" w:color="D9E1F2"/>
          <w:left w:val="single" w:sz="6" w:color="D9E1F2"/>
          <w:bottom w:val="single" w:sz="6" w:color="D9E1F2"/>
          <w:right w:val="single" w:sz="6" w:color="D9E1F2"/>
          <w:insideH w:val="single" w:sz="6" w:color="D9E1F2"/>
          <w:insideV w:val="single" w:sz="6" w:color="D9E1F2"/>
        </w:tblBorders>
      </w:tblPr>
      <w:tblGrid>
        <w:gridCol w:w="3389"/>
        <w:gridCol w:w="3389"/>
        <w:gridCol w:w="3389"/>
      </w:tblGrid>
      <w:tr>
        <w:trPr>
          <w:tblHeader w:val="true"/>
        </w:trPr>
        <w:tc>
          <w:tcPr>
            <w:tcW w:type="dxa" w:w="1800"/>
            <w:shd w:fill="163A5F"/>
          </w:tcPr>
          <w:p>
            <w:r>
              <w:rPr>
                <w:b/>
                <w:color w:val="FFFFFF"/>
                <w:sz w:val="18"/>
              </w:rPr>
              <w:t>Requested field</w:t>
            </w:r>
          </w:p>
        </w:tc>
        <w:tc>
          <w:tcPr>
            <w:tcW w:type="dxa" w:w="6264"/>
            <w:shd w:fill="163A5F"/>
          </w:tcPr>
          <w:p>
            <w:r>
              <w:rPr>
                <w:b/>
                <w:color w:val="FFFFFF"/>
                <w:sz w:val="18"/>
              </w:rPr>
              <w:t>Verified / researched answer</w:t>
            </w:r>
          </w:p>
        </w:tc>
        <w:tc>
          <w:tcPr>
            <w:tcW w:type="dxa" w:w="2232"/>
            <w:shd w:fill="163A5F"/>
          </w:tcPr>
          <w:p>
            <w:r>
              <w:rPr>
                <w:b/>
                <w:color w:val="FFFFFF"/>
                <w:sz w:val="18"/>
              </w:rPr>
              <w:t>Confidence / note</w:t>
            </w:r>
          </w:p>
        </w:tc>
      </w:tr>
      <w:tr>
        <w:tc>
          <w:tcPr>
            <w:tcW w:type="dxa" w:w="3389"/>
            <w:tcMar>
              <w:top w:w="90" w:type="dxa"/>
              <w:start w:w="100" w:type="dxa"/>
              <w:bottom w:w="90" w:type="dxa"/>
              <w:end w:w="100" w:type="dxa"/>
            </w:tcMar>
            <w:vAlign w:val="top"/>
          </w:tcPr>
          <w:p>
            <w:r>
              <w:rPr>
                <w:b/>
                <w:sz w:val="17"/>
              </w:rPr>
              <w:t>Company name</w:t>
            </w:r>
          </w:p>
        </w:tc>
        <w:tc>
          <w:tcPr>
            <w:tcW w:type="dxa" w:w="3389"/>
            <w:tcMar>
              <w:top w:w="90" w:type="dxa"/>
              <w:start w:w="100" w:type="dxa"/>
              <w:bottom w:w="90" w:type="dxa"/>
              <w:end w:w="100" w:type="dxa"/>
            </w:tcMar>
            <w:vAlign w:val="top"/>
          </w:tcPr>
          <w:p>
            <w:r>
              <w:rPr>
                <w:sz w:val="17"/>
              </w:rPr>
              <w:t>CoExtend Global LLP</w:t>
            </w:r>
          </w:p>
        </w:tc>
        <w:tc>
          <w:tcPr>
            <w:tcW w:type="dxa" w:w="3389"/>
            <w:tcMar>
              <w:top w:w="90" w:type="dxa"/>
              <w:start w:w="100" w:type="dxa"/>
              <w:bottom w:w="90" w:type="dxa"/>
              <w:end w:w="100" w:type="dxa"/>
            </w:tcMar>
            <w:vAlign w:val="top"/>
          </w:tcPr>
          <w:p>
            <w:r>
              <w:rPr>
                <w:sz w:val="17"/>
              </w:rPr>
              <w:t>Publicly verified in LinkedIn company/job materials.</w:t>
            </w:r>
          </w:p>
        </w:tc>
      </w:tr>
      <w:tr>
        <w:tc>
          <w:tcPr>
            <w:tcW w:type="dxa" w:w="3389"/>
            <w:tcMar>
              <w:top w:w="90" w:type="dxa"/>
              <w:start w:w="100" w:type="dxa"/>
              <w:bottom w:w="90" w:type="dxa"/>
              <w:end w:w="100" w:type="dxa"/>
            </w:tcMar>
            <w:vAlign w:val="top"/>
          </w:tcPr>
          <w:p>
            <w:r>
              <w:rPr>
                <w:b/>
                <w:sz w:val="17"/>
              </w:rPr>
              <w:t>What your company does</w:t>
            </w:r>
          </w:p>
        </w:tc>
        <w:tc>
          <w:tcPr>
            <w:tcW w:type="dxa" w:w="3389"/>
            <w:tcMar>
              <w:top w:w="90" w:type="dxa"/>
              <w:start w:w="100" w:type="dxa"/>
              <w:bottom w:w="90" w:type="dxa"/>
              <w:end w:w="100" w:type="dxa"/>
            </w:tcMar>
            <w:vAlign w:val="top"/>
          </w:tcPr>
          <w:p>
            <w:r>
              <w:rPr>
                <w:sz w:val="17"/>
              </w:rPr>
              <w:t>Provides construction estimating, quantity takeoffs, drafting and BIM support, tender support, shop/fabrication drawings, as-built documentation, commercial support, and software development/custom digital products.</w:t>
            </w:r>
          </w:p>
        </w:tc>
        <w:tc>
          <w:tcPr>
            <w:tcW w:type="dxa" w:w="3389"/>
            <w:tcMar>
              <w:top w:w="90" w:type="dxa"/>
              <w:start w:w="100" w:type="dxa"/>
              <w:bottom w:w="90" w:type="dxa"/>
              <w:end w:w="100" w:type="dxa"/>
            </w:tcMar>
            <w:vAlign w:val="top"/>
          </w:tcPr>
          <w:p>
            <w:r>
              <w:rPr>
                <w:sz w:val="17"/>
              </w:rPr>
              <w:t>Publicly stated in current job/company description.</w:t>
            </w:r>
          </w:p>
        </w:tc>
      </w:tr>
      <w:tr>
        <w:tc>
          <w:tcPr>
            <w:tcW w:type="dxa" w:w="3389"/>
            <w:tcMar>
              <w:top w:w="90" w:type="dxa"/>
              <w:start w:w="100" w:type="dxa"/>
              <w:bottom w:w="90" w:type="dxa"/>
              <w:end w:w="100" w:type="dxa"/>
            </w:tcMar>
            <w:vAlign w:val="top"/>
          </w:tcPr>
          <w:p>
            <w:r>
              <w:rPr>
                <w:b/>
                <w:sz w:val="17"/>
              </w:rPr>
              <w:t>Location</w:t>
            </w:r>
          </w:p>
        </w:tc>
        <w:tc>
          <w:tcPr>
            <w:tcW w:type="dxa" w:w="3389"/>
            <w:tcMar>
              <w:top w:w="90" w:type="dxa"/>
              <w:start w:w="100" w:type="dxa"/>
              <w:bottom w:w="90" w:type="dxa"/>
              <w:end w:w="100" w:type="dxa"/>
            </w:tcMar>
            <w:vAlign w:val="top"/>
          </w:tcPr>
          <w:p>
            <w:r>
              <w:rPr>
                <w:sz w:val="17"/>
              </w:rPr>
              <w:t>Pune Division, Maharashtra, India. Founder profile also shows professional links to the UK and Canada markets.</w:t>
            </w:r>
          </w:p>
        </w:tc>
        <w:tc>
          <w:tcPr>
            <w:tcW w:type="dxa" w:w="3389"/>
            <w:tcMar>
              <w:top w:w="90" w:type="dxa"/>
              <w:start w:w="100" w:type="dxa"/>
              <w:bottom w:w="90" w:type="dxa"/>
              <w:end w:w="100" w:type="dxa"/>
            </w:tcMar>
            <w:vAlign w:val="top"/>
          </w:tcPr>
          <w:p>
            <w:r>
              <w:rPr>
                <w:sz w:val="17"/>
              </w:rPr>
              <w:t>Pune is public; overseas presence should not be interpreted as registered offices unless separately verified.</w:t>
            </w:r>
          </w:p>
        </w:tc>
      </w:tr>
      <w:tr>
        <w:tc>
          <w:tcPr>
            <w:tcW w:type="dxa" w:w="3389"/>
            <w:tcMar>
              <w:top w:w="90" w:type="dxa"/>
              <w:start w:w="100" w:type="dxa"/>
              <w:bottom w:w="90" w:type="dxa"/>
              <w:end w:w="100" w:type="dxa"/>
            </w:tcMar>
            <w:vAlign w:val="top"/>
          </w:tcPr>
          <w:p>
            <w:r>
              <w:rPr>
                <w:b/>
                <w:sz w:val="17"/>
              </w:rPr>
              <w:t>Target countries</w:t>
            </w:r>
          </w:p>
        </w:tc>
        <w:tc>
          <w:tcPr>
            <w:tcW w:type="dxa" w:w="3389"/>
            <w:tcMar>
              <w:top w:w="90" w:type="dxa"/>
              <w:start w:w="100" w:type="dxa"/>
              <w:bottom w:w="90" w:type="dxa"/>
              <w:end w:w="100" w:type="dxa"/>
            </w:tcMar>
            <w:vAlign w:val="top"/>
          </w:tcPr>
          <w:p>
            <w:r>
              <w:rPr>
                <w:sz w:val="17"/>
              </w:rPr>
              <w:t>United Kingdom, United States, Canada.</w:t>
            </w:r>
          </w:p>
        </w:tc>
        <w:tc>
          <w:tcPr>
            <w:tcW w:type="dxa" w:w="3389"/>
            <w:tcMar>
              <w:top w:w="90" w:type="dxa"/>
              <w:start w:w="100" w:type="dxa"/>
              <w:bottom w:w="90" w:type="dxa"/>
              <w:end w:w="100" w:type="dxa"/>
            </w:tcMar>
            <w:vAlign w:val="top"/>
          </w:tcPr>
          <w:p>
            <w:r>
              <w:rPr>
                <w:sz w:val="17"/>
              </w:rPr>
              <w:t>Explicitly stated in company/job positioning.</w:t>
            </w:r>
          </w:p>
        </w:tc>
      </w:tr>
      <w:tr>
        <w:tc>
          <w:tcPr>
            <w:tcW w:type="dxa" w:w="3389"/>
            <w:tcMar>
              <w:top w:w="90" w:type="dxa"/>
              <w:start w:w="100" w:type="dxa"/>
              <w:bottom w:w="90" w:type="dxa"/>
              <w:end w:w="100" w:type="dxa"/>
            </w:tcMar>
            <w:vAlign w:val="top"/>
          </w:tcPr>
          <w:p>
            <w:r>
              <w:rPr>
                <w:b/>
                <w:sz w:val="17"/>
              </w:rPr>
              <w:t>Industries</w:t>
            </w:r>
          </w:p>
        </w:tc>
        <w:tc>
          <w:tcPr>
            <w:tcW w:type="dxa" w:w="3389"/>
            <w:tcMar>
              <w:top w:w="90" w:type="dxa"/>
              <w:start w:w="100" w:type="dxa"/>
              <w:bottom w:w="90" w:type="dxa"/>
              <w:end w:w="100" w:type="dxa"/>
            </w:tcMar>
            <w:vAlign w:val="top"/>
          </w:tcPr>
          <w:p>
            <w:r>
              <w:rPr>
                <w:sz w:val="17"/>
              </w:rPr>
              <w:t>Engineering services; construction; façade/cladding; roofing; pre-construction/commercial estimating; architectural/technical drafting; technology/software companies.</w:t>
            </w:r>
          </w:p>
        </w:tc>
        <w:tc>
          <w:tcPr>
            <w:tcW w:type="dxa" w:w="3389"/>
            <w:tcMar>
              <w:top w:w="90" w:type="dxa"/>
              <w:start w:w="100" w:type="dxa"/>
              <w:bottom w:w="90" w:type="dxa"/>
              <w:end w:w="100" w:type="dxa"/>
            </w:tcMar>
            <w:vAlign w:val="top"/>
          </w:tcPr>
          <w:p>
            <w:r>
              <w:rPr>
                <w:sz w:val="17"/>
              </w:rPr>
              <w:t>Construction and engineering are public. Other categories reflect the service scope described publicly and in your operating model.</w:t>
            </w:r>
          </w:p>
        </w:tc>
      </w:tr>
      <w:tr>
        <w:tc>
          <w:tcPr>
            <w:tcW w:type="dxa" w:w="3389"/>
            <w:tcMar>
              <w:top w:w="90" w:type="dxa"/>
              <w:start w:w="100" w:type="dxa"/>
              <w:bottom w:w="90" w:type="dxa"/>
              <w:end w:w="100" w:type="dxa"/>
            </w:tcMar>
            <w:vAlign w:val="top"/>
          </w:tcPr>
          <w:p>
            <w:r>
              <w:rPr>
                <w:b/>
                <w:sz w:val="17"/>
              </w:rPr>
              <w:t>Company size</w:t>
            </w:r>
          </w:p>
        </w:tc>
        <w:tc>
          <w:tcPr>
            <w:tcW w:type="dxa" w:w="3389"/>
            <w:tcMar>
              <w:top w:w="90" w:type="dxa"/>
              <w:start w:w="100" w:type="dxa"/>
              <w:bottom w:w="90" w:type="dxa"/>
              <w:end w:w="100" w:type="dxa"/>
            </w:tcMar>
            <w:vAlign w:val="top"/>
          </w:tcPr>
          <w:p>
            <w:r>
              <w:rPr>
                <w:sz w:val="17"/>
              </w:rPr>
              <w:t>Approximately 10 people currently, based on internal information; public headcount is not established.</w:t>
            </w:r>
          </w:p>
        </w:tc>
        <w:tc>
          <w:tcPr>
            <w:tcW w:type="dxa" w:w="3389"/>
            <w:tcMar>
              <w:top w:w="90" w:type="dxa"/>
              <w:start w:w="100" w:type="dxa"/>
              <w:bottom w:w="90" w:type="dxa"/>
              <w:end w:w="100" w:type="dxa"/>
            </w:tcMar>
            <w:vAlign w:val="top"/>
          </w:tcPr>
          <w:p>
            <w:r>
              <w:rPr>
                <w:sz w:val="17"/>
              </w:rPr>
              <w:t>Internal figure; treat as approximate.</w:t>
            </w:r>
          </w:p>
        </w:tc>
      </w:tr>
      <w:tr>
        <w:tc>
          <w:tcPr>
            <w:tcW w:type="dxa" w:w="3389"/>
            <w:tcMar>
              <w:top w:w="90" w:type="dxa"/>
              <w:start w:w="100" w:type="dxa"/>
              <w:bottom w:w="90" w:type="dxa"/>
              <w:end w:w="100" w:type="dxa"/>
            </w:tcMar>
            <w:vAlign w:val="top"/>
          </w:tcPr>
          <w:p>
            <w:r>
              <w:rPr>
                <w:b/>
                <w:sz w:val="17"/>
              </w:rPr>
              <w:t>Years of experience</w:t>
            </w:r>
          </w:p>
        </w:tc>
        <w:tc>
          <w:tcPr>
            <w:tcW w:type="dxa" w:w="3389"/>
            <w:tcMar>
              <w:top w:w="90" w:type="dxa"/>
              <w:start w:w="100" w:type="dxa"/>
              <w:bottom w:w="90" w:type="dxa"/>
              <w:end w:w="100" w:type="dxa"/>
            </w:tcMar>
            <w:vAlign w:val="top"/>
          </w:tcPr>
          <w:p>
            <w:r>
              <w:rPr>
                <w:sz w:val="17"/>
              </w:rPr>
              <w:t>15+ years of combined industry experience. Founder profile separately states 14+ years in façade detailing and project estimation.</w:t>
            </w:r>
          </w:p>
        </w:tc>
        <w:tc>
          <w:tcPr>
            <w:tcW w:type="dxa" w:w="3389"/>
            <w:tcMar>
              <w:top w:w="90" w:type="dxa"/>
              <w:start w:w="100" w:type="dxa"/>
              <w:bottom w:w="90" w:type="dxa"/>
              <w:end w:w="100" w:type="dxa"/>
            </w:tcMar>
            <w:vAlign w:val="top"/>
          </w:tcPr>
          <w:p>
            <w:r>
              <w:rPr>
                <w:sz w:val="17"/>
              </w:rPr>
              <w:t>Publicly stated; wording reconciled for current 2026 profile.</w:t>
            </w:r>
          </w:p>
        </w:tc>
      </w:tr>
      <w:tr>
        <w:tc>
          <w:tcPr>
            <w:tcW w:type="dxa" w:w="3389"/>
            <w:tcMar>
              <w:top w:w="90" w:type="dxa"/>
              <w:start w:w="100" w:type="dxa"/>
              <w:bottom w:w="90" w:type="dxa"/>
              <w:end w:w="100" w:type="dxa"/>
            </w:tcMar>
            <w:vAlign w:val="top"/>
          </w:tcPr>
          <w:p>
            <w:r>
              <w:rPr>
                <w:b/>
                <w:sz w:val="17"/>
              </w:rPr>
              <w:t>Main services</w:t>
            </w:r>
          </w:p>
        </w:tc>
        <w:tc>
          <w:tcPr>
            <w:tcW w:type="dxa" w:w="3389"/>
            <w:tcMar>
              <w:top w:w="90" w:type="dxa"/>
              <w:start w:w="100" w:type="dxa"/>
              <w:bottom w:w="90" w:type="dxa"/>
              <w:end w:w="100" w:type="dxa"/>
            </w:tcMar>
            <w:vAlign w:val="top"/>
          </w:tcPr>
          <w:p>
            <w:r>
              <w:rPr>
                <w:sz w:val="17"/>
              </w:rPr>
              <w:t>Construction estimating; quantity takeoffs; BOQs; tender support; façade/roofing estimating; shop drawings; fabrication drawings; BIM/modeling; as-builts; commercial/variation support; custom web/mobile apps; SaaS/cloud solutions.</w:t>
            </w:r>
          </w:p>
        </w:tc>
        <w:tc>
          <w:tcPr>
            <w:tcW w:type="dxa" w:w="3389"/>
            <w:tcMar>
              <w:top w:w="90" w:type="dxa"/>
              <w:start w:w="100" w:type="dxa"/>
              <w:bottom w:w="90" w:type="dxa"/>
              <w:end w:w="100" w:type="dxa"/>
            </w:tcMar>
            <w:vAlign w:val="top"/>
          </w:tcPr>
          <w:p>
            <w:r>
              <w:rPr>
                <w:sz w:val="17"/>
              </w:rPr>
              <w:t>Strong public support for these service families.</w:t>
            </w:r>
          </w:p>
        </w:tc>
      </w:tr>
      <w:tr>
        <w:tc>
          <w:tcPr>
            <w:tcW w:type="dxa" w:w="3389"/>
            <w:tcMar>
              <w:top w:w="90" w:type="dxa"/>
              <w:start w:w="100" w:type="dxa"/>
              <w:bottom w:w="90" w:type="dxa"/>
              <w:end w:w="100" w:type="dxa"/>
            </w:tcMar>
            <w:vAlign w:val="top"/>
          </w:tcPr>
          <w:p>
            <w:r>
              <w:rPr>
                <w:b/>
                <w:sz w:val="17"/>
              </w:rPr>
              <w:t>Competitive advantages</w:t>
            </w:r>
          </w:p>
        </w:tc>
        <w:tc>
          <w:tcPr>
            <w:tcW w:type="dxa" w:w="3389"/>
            <w:tcMar>
              <w:top w:w="90" w:type="dxa"/>
              <w:start w:w="100" w:type="dxa"/>
              <w:bottom w:w="90" w:type="dxa"/>
              <w:end w:w="100" w:type="dxa"/>
            </w:tcMar>
            <w:vAlign w:val="top"/>
          </w:tcPr>
          <w:p>
            <w:r>
              <w:rPr>
                <w:sz w:val="17"/>
              </w:rPr>
              <w:t>Deep façade/estimating specialization; extended-team model; UK/US/Canada standards awareness; fast delivery; scalable resourcing; NDA-friendly working; combination of technical delivery and software capability.</w:t>
            </w:r>
          </w:p>
        </w:tc>
        <w:tc>
          <w:tcPr>
            <w:tcW w:type="dxa" w:w="3389"/>
            <w:tcMar>
              <w:top w:w="90" w:type="dxa"/>
              <w:start w:w="100" w:type="dxa"/>
              <w:bottom w:w="90" w:type="dxa"/>
              <w:end w:w="100" w:type="dxa"/>
            </w:tcMar>
            <w:vAlign w:val="top"/>
          </w:tcPr>
          <w:p>
            <w:r>
              <w:rPr>
                <w:sz w:val="17"/>
              </w:rPr>
              <w:t>Some performance claims are marketing claims and should be independently substantiated before being used as guarantees.</w:t>
            </w:r>
          </w:p>
        </w:tc>
      </w:tr>
      <w:tr>
        <w:tc>
          <w:tcPr>
            <w:tcW w:type="dxa" w:w="3389"/>
            <w:tcMar>
              <w:top w:w="90" w:type="dxa"/>
              <w:start w:w="100" w:type="dxa"/>
              <w:bottom w:w="90" w:type="dxa"/>
              <w:end w:w="100" w:type="dxa"/>
            </w:tcMar>
            <w:vAlign w:val="top"/>
          </w:tcPr>
          <w:p>
            <w:r>
              <w:rPr>
                <w:b/>
                <w:sz w:val="17"/>
              </w:rPr>
              <w:t>Typical clients</w:t>
            </w:r>
          </w:p>
        </w:tc>
        <w:tc>
          <w:tcPr>
            <w:tcW w:type="dxa" w:w="3389"/>
            <w:tcMar>
              <w:top w:w="90" w:type="dxa"/>
              <w:start w:w="100" w:type="dxa"/>
              <w:bottom w:w="90" w:type="dxa"/>
              <w:end w:w="100" w:type="dxa"/>
            </w:tcMar>
            <w:vAlign w:val="top"/>
          </w:tcPr>
          <w:p>
            <w:r>
              <w:rPr>
                <w:sz w:val="17"/>
              </w:rPr>
              <w:t>Contractors; façade/cladding contractors and fabricators; consultants; construction businesses; technology companies/startups needing technical or software capacity.</w:t>
            </w:r>
          </w:p>
        </w:tc>
        <w:tc>
          <w:tcPr>
            <w:tcW w:type="dxa" w:w="3389"/>
            <w:tcMar>
              <w:top w:w="90" w:type="dxa"/>
              <w:start w:w="100" w:type="dxa"/>
              <w:bottom w:w="90" w:type="dxa"/>
              <w:end w:w="100" w:type="dxa"/>
            </w:tcMar>
            <w:vAlign w:val="top"/>
          </w:tcPr>
          <w:p>
            <w:r>
              <w:rPr>
                <w:sz w:val="17"/>
              </w:rPr>
              <w:t>Explicitly supported by current company/job description and public posts.</w:t>
            </w:r>
          </w:p>
        </w:tc>
      </w:tr>
      <w:tr>
        <w:tc>
          <w:tcPr>
            <w:tcW w:type="dxa" w:w="3389"/>
            <w:tcMar>
              <w:top w:w="90" w:type="dxa"/>
              <w:start w:w="100" w:type="dxa"/>
              <w:bottom w:w="90" w:type="dxa"/>
              <w:end w:w="100" w:type="dxa"/>
            </w:tcMar>
            <w:vAlign w:val="top"/>
          </w:tcPr>
          <w:p>
            <w:r>
              <w:rPr>
                <w:b/>
                <w:sz w:val="17"/>
              </w:rPr>
              <w:t>Typical projects</w:t>
            </w:r>
          </w:p>
        </w:tc>
        <w:tc>
          <w:tcPr>
            <w:tcW w:type="dxa" w:w="3389"/>
            <w:tcMar>
              <w:top w:w="90" w:type="dxa"/>
              <w:start w:w="100" w:type="dxa"/>
              <w:bottom w:w="90" w:type="dxa"/>
              <w:end w:w="100" w:type="dxa"/>
            </w:tcMar>
            <w:vAlign w:val="top"/>
          </w:tcPr>
          <w:p>
            <w:r>
              <w:rPr>
                <w:sz w:val="17"/>
              </w:rPr>
              <w:t>Commercial façade and roofing tenders; quantity takeoff and BOQ packages; shop/fabrication drawings; BIM/drafting packages; as-built documentation; variation/commercial support; custom software/SaaS projects.</w:t>
            </w:r>
          </w:p>
        </w:tc>
        <w:tc>
          <w:tcPr>
            <w:tcW w:type="dxa" w:w="3389"/>
            <w:tcMar>
              <w:top w:w="90" w:type="dxa"/>
              <w:start w:w="100" w:type="dxa"/>
              <w:bottom w:w="90" w:type="dxa"/>
              <w:end w:w="100" w:type="dxa"/>
            </w:tcMar>
            <w:vAlign w:val="top"/>
          </w:tcPr>
          <w:p>
            <w:r>
              <w:rPr>
                <w:sz w:val="17"/>
              </w:rPr>
              <w:t>Project types are clear from public service descriptions; named client/project list is not publicly verified in this research.</w:t>
            </w:r>
          </w:p>
        </w:tc>
      </w:tr>
      <w:tr>
        <w:tc>
          <w:tcPr>
            <w:tcW w:type="dxa" w:w="3389"/>
            <w:tcMar>
              <w:top w:w="90" w:type="dxa"/>
              <w:start w:w="100" w:type="dxa"/>
              <w:bottom w:w="90" w:type="dxa"/>
              <w:end w:w="100" w:type="dxa"/>
            </w:tcMar>
            <w:vAlign w:val="top"/>
          </w:tcPr>
          <w:p>
            <w:r>
              <w:rPr>
                <w:b/>
                <w:sz w:val="17"/>
              </w:rPr>
              <w:t>Contact information</w:t>
            </w:r>
          </w:p>
        </w:tc>
        <w:tc>
          <w:tcPr>
            <w:tcW w:type="dxa" w:w="3389"/>
            <w:tcMar>
              <w:top w:w="90" w:type="dxa"/>
              <w:start w:w="100" w:type="dxa"/>
              <w:bottom w:w="90" w:type="dxa"/>
              <w:end w:w="100" w:type="dxa"/>
            </w:tcMar>
            <w:vAlign w:val="top"/>
          </w:tcPr>
          <w:p>
            <w:r>
              <w:rPr>
                <w:sz w:val="17"/>
              </w:rPr>
              <w:t>Website: www.coextendglobal.com | Email: info@coextendglobal.com | LinkedIn: CoExtend Global LLP.</w:t>
            </w:r>
          </w:p>
        </w:tc>
        <w:tc>
          <w:tcPr>
            <w:tcW w:type="dxa" w:w="3389"/>
            <w:tcMar>
              <w:top w:w="90" w:type="dxa"/>
              <w:start w:w="100" w:type="dxa"/>
              <w:bottom w:w="90" w:type="dxa"/>
              <w:end w:w="100" w:type="dxa"/>
            </w:tcMar>
            <w:vAlign w:val="top"/>
          </w:tcPr>
          <w:p>
            <w:r>
              <w:rPr>
                <w:sz w:val="17"/>
              </w:rPr>
              <w:t>Publicly surfaced contact channels. No phone number or legal registered-office address was safely verified in the available sources.</w:t>
            </w:r>
          </w:p>
        </w:tc>
      </w:tr>
    </w:tbl>
    <w:p>
      <w:r>
        <w:br w:type="page"/>
      </w:r>
    </w:p>
    <w:p>
      <w:pPr>
        <w:pStyle w:val="Heading1"/>
      </w:pPr>
      <w:r>
        <w:t>2. What CoExtend Global Does</w:t>
      </w:r>
    </w:p>
    <w:p>
      <w:r>
        <w:t>CoExtend Global is positioned as an outsourced technical partner / extended delivery team for construction and technology businesses. Its public company description combines engineering-services delivery with software development, which is a distinctive part of the business model.</w:t>
      </w:r>
    </w:p>
    <w:p>
      <w:pPr>
        <w:pStyle w:val="Heading2"/>
      </w:pPr>
      <w:r>
        <w:t>Construction &amp; built-environment delivery</w:t>
      </w:r>
    </w:p>
    <w:p>
      <w:pPr>
        <w:pStyle w:val="ListBullet"/>
        <w:spacing w:after="60"/>
      </w:pPr>
      <w:r>
        <w:rPr>
          <w:sz w:val="20"/>
        </w:rPr>
        <w:t>Construction estimating and cost analysis</w:t>
      </w:r>
    </w:p>
    <w:p>
      <w:pPr>
        <w:pStyle w:val="ListBullet"/>
        <w:spacing w:after="60"/>
      </w:pPr>
      <w:r>
        <w:rPr>
          <w:sz w:val="20"/>
        </w:rPr>
        <w:t>Quantity takeoffs and BOQ preparation</w:t>
      </w:r>
    </w:p>
    <w:p>
      <w:pPr>
        <w:pStyle w:val="ListBullet"/>
        <w:spacing w:after="60"/>
      </w:pPr>
      <w:r>
        <w:rPr>
          <w:sz w:val="20"/>
        </w:rPr>
        <w:t>Façade and roofing estimating</w:t>
      </w:r>
    </w:p>
    <w:p>
      <w:pPr>
        <w:pStyle w:val="ListBullet"/>
        <w:spacing w:after="60"/>
      </w:pPr>
      <w:r>
        <w:rPr>
          <w:sz w:val="20"/>
        </w:rPr>
        <w:t>Tender support and bid documentation</w:t>
      </w:r>
    </w:p>
    <w:p>
      <w:pPr>
        <w:pStyle w:val="ListBullet"/>
        <w:spacing w:after="60"/>
      </w:pPr>
      <w:r>
        <w:rPr>
          <w:sz w:val="20"/>
        </w:rPr>
        <w:t>Shop drawings and fabrication drawings</w:t>
      </w:r>
    </w:p>
    <w:p>
      <w:pPr>
        <w:pStyle w:val="ListBullet"/>
        <w:spacing w:after="60"/>
      </w:pPr>
      <w:r>
        <w:rPr>
          <w:sz w:val="20"/>
        </w:rPr>
        <w:t>BIM and drafting support</w:t>
      </w:r>
    </w:p>
    <w:p>
      <w:pPr>
        <w:pStyle w:val="ListBullet"/>
        <w:spacing w:after="60"/>
      </w:pPr>
      <w:r>
        <w:rPr>
          <w:sz w:val="20"/>
        </w:rPr>
        <w:t>As-built documentation</w:t>
      </w:r>
    </w:p>
    <w:p>
      <w:pPr>
        <w:pStyle w:val="ListBullet"/>
        <w:spacing w:after="60"/>
      </w:pPr>
      <w:r>
        <w:rPr>
          <w:sz w:val="20"/>
        </w:rPr>
        <w:t>Commercial assistance including budgets, variations, cost reports and project records</w:t>
      </w:r>
    </w:p>
    <w:p>
      <w:pPr>
        <w:pStyle w:val="Heading2"/>
      </w:pPr>
      <w:r>
        <w:t>Technology &amp; digital delivery</w:t>
      </w:r>
    </w:p>
    <w:p>
      <w:pPr>
        <w:pStyle w:val="ListBullet"/>
        <w:spacing w:after="60"/>
      </w:pPr>
      <w:r>
        <w:rPr>
          <w:sz w:val="20"/>
        </w:rPr>
        <w:t>Custom web and mobile application development</w:t>
      </w:r>
    </w:p>
    <w:p>
      <w:pPr>
        <w:pStyle w:val="ListBullet"/>
        <w:spacing w:after="60"/>
      </w:pPr>
      <w:r>
        <w:rPr>
          <w:sz w:val="20"/>
        </w:rPr>
        <w:t>SaaS product development</w:t>
      </w:r>
    </w:p>
    <w:p>
      <w:pPr>
        <w:pStyle w:val="ListBullet"/>
        <w:spacing w:after="60"/>
      </w:pPr>
      <w:r>
        <w:rPr>
          <w:sz w:val="20"/>
        </w:rPr>
        <w:t>Cloud solutions and digital workflow systems</w:t>
      </w:r>
    </w:p>
    <w:p>
      <w:pPr>
        <w:pStyle w:val="ListBullet"/>
        <w:spacing w:after="60"/>
      </w:pPr>
      <w:r>
        <w:rPr>
          <w:sz w:val="20"/>
        </w:rPr>
        <w:t>Construction-tech products that connect estimating, documentation and project information</w:t>
      </w:r>
    </w:p>
    <w:tbl>
      <w:tblPr>
        <w:tblW w:type="auto" w:w="0"/>
        <w:jc w:val="center"/>
        <w:tblLook w:firstColumn="1" w:firstRow="1" w:lastColumn="0" w:lastRow="0" w:noHBand="0" w:noVBand="1" w:val="04A0"/>
        <w:tblBorders>
          <w:top w:val="single" w:sz="8" w:color="B4C6E7"/>
          <w:left w:val="single" w:sz="8" w:color="B4C6E7"/>
          <w:bottom w:val="single" w:sz="8" w:color="B4C6E7"/>
          <w:right w:val="single" w:sz="8" w:color="B4C6E7"/>
          <w:insideH w:val="single" w:sz="8" w:color="B4C6E7"/>
          <w:insideV w:val="single" w:sz="8" w:color="B4C6E7"/>
        </w:tblBorders>
      </w:tblPr>
      <w:tblGrid>
        <w:gridCol w:w="10166"/>
      </w:tblGrid>
      <w:tr>
        <w:tc>
          <w:tcPr>
            <w:tcW w:type="dxa" w:w="10166"/>
            <w:shd w:fill="EEF4FB"/>
            <w:tcMar>
              <w:top w:w="160" w:type="dxa"/>
              <w:start w:w="160" w:type="dxa"/>
              <w:bottom w:w="160" w:type="dxa"/>
              <w:end w:w="160" w:type="dxa"/>
            </w:tcMar>
          </w:tcPr>
          <w:p>
            <w:r>
              <w:rPr>
                <w:b/>
                <w:color w:val="163A5F"/>
              </w:rPr>
              <w:t xml:space="preserve">Core market proposition: </w:t>
            </w:r>
            <w:r>
              <w:rPr>
                <w:sz w:val="20"/>
              </w:rPr>
              <w:t>help contractors, fabricators, consultants and technology businesses increase technical capacity without having to build every specialist function in-house.</w:t>
            </w:r>
          </w:p>
        </w:tc>
      </w:tr>
    </w:tbl>
    <w:p>
      <w:r>
        <w:br w:type="page"/>
      </w:r>
    </w:p>
    <w:p>
      <w:pPr>
        <w:pStyle w:val="Heading1"/>
      </w:pPr>
      <w:r>
        <w:t>3. Typical Clients, Projects &amp; Competitive Advantages</w:t>
      </w:r>
    </w:p>
    <w:p>
      <w:pPr>
        <w:pStyle w:val="Heading2"/>
      </w:pPr>
      <w:r>
        <w:t>Typical clients</w:t>
      </w:r>
    </w:p>
    <w:p>
      <w:pPr>
        <w:pStyle w:val="ListBullet"/>
        <w:spacing w:after="60"/>
      </w:pPr>
      <w:r>
        <w:rPr>
          <w:sz w:val="20"/>
        </w:rPr>
        <w:t>Façade and cladding contractors</w:t>
      </w:r>
    </w:p>
    <w:p>
      <w:pPr>
        <w:pStyle w:val="ListBullet"/>
        <w:spacing w:after="60"/>
      </w:pPr>
      <w:r>
        <w:rPr>
          <w:sz w:val="20"/>
        </w:rPr>
        <w:t>Façade / architectural metal fabricators</w:t>
      </w:r>
    </w:p>
    <w:p>
      <w:pPr>
        <w:pStyle w:val="ListBullet"/>
        <w:spacing w:after="60"/>
      </w:pPr>
      <w:r>
        <w:rPr>
          <w:sz w:val="20"/>
        </w:rPr>
        <w:t>General and specialist contractors</w:t>
      </w:r>
    </w:p>
    <w:p>
      <w:pPr>
        <w:pStyle w:val="ListBullet"/>
        <w:spacing w:after="60"/>
      </w:pPr>
      <w:r>
        <w:rPr>
          <w:sz w:val="20"/>
        </w:rPr>
        <w:t>Roofing contractors</w:t>
      </w:r>
    </w:p>
    <w:p>
      <w:pPr>
        <w:pStyle w:val="ListBullet"/>
        <w:spacing w:after="60"/>
      </w:pPr>
      <w:r>
        <w:rPr>
          <w:sz w:val="20"/>
        </w:rPr>
        <w:t>Consultants and engineering/design practices</w:t>
      </w:r>
    </w:p>
    <w:p>
      <w:pPr>
        <w:pStyle w:val="ListBullet"/>
        <w:spacing w:after="60"/>
      </w:pPr>
      <w:r>
        <w:rPr>
          <w:sz w:val="20"/>
        </w:rPr>
        <w:t>Construction businesses requiring outsourced estimating or drafting capacity</w:t>
      </w:r>
    </w:p>
    <w:p>
      <w:pPr>
        <w:pStyle w:val="ListBullet"/>
        <w:spacing w:after="60"/>
      </w:pPr>
      <w:r>
        <w:rPr>
          <w:sz w:val="20"/>
        </w:rPr>
        <w:t>Construction technology companies and startups requiring engineering or software resources</w:t>
      </w:r>
    </w:p>
    <w:p>
      <w:pPr>
        <w:pStyle w:val="Heading2"/>
      </w:pPr>
      <w:r>
        <w:t>Typical project work</w:t>
      </w:r>
    </w:p>
    <w:tbl>
      <w:tblPr>
        <w:tblW w:type="auto" w:w="0"/>
        <w:jc w:val="center"/>
        <w:tblLook w:firstColumn="1" w:firstRow="1" w:lastColumn="0" w:lastRow="0" w:noHBand="0" w:noVBand="1" w:val="04A0"/>
        <w:tblBorders>
          <w:top w:val="single" w:sz="6" w:color="D9E1F2"/>
          <w:left w:val="single" w:sz="6" w:color="D9E1F2"/>
          <w:bottom w:val="single" w:sz="6" w:color="D9E1F2"/>
          <w:right w:val="single" w:sz="6" w:color="D9E1F2"/>
          <w:insideH w:val="single" w:sz="6" w:color="D9E1F2"/>
          <w:insideV w:val="single" w:sz="6" w:color="D9E1F2"/>
        </w:tblBorders>
      </w:tblPr>
      <w:tblGrid>
        <w:gridCol w:w="3389"/>
        <w:gridCol w:w="3389"/>
        <w:gridCol w:w="3389"/>
      </w:tblGrid>
      <w:tr>
        <w:trPr>
          <w:tblHeader w:val="true"/>
        </w:trPr>
        <w:tc>
          <w:tcPr>
            <w:tcW w:type="dxa" w:w="2232"/>
            <w:shd w:fill="2F5597"/>
          </w:tcPr>
          <w:p>
            <w:r>
              <w:rPr>
                <w:b/>
                <w:color w:val="FFFFFF"/>
                <w:sz w:val="18"/>
              </w:rPr>
              <w:t>Workstream</w:t>
            </w:r>
          </w:p>
        </w:tc>
        <w:tc>
          <w:tcPr>
            <w:tcW w:type="dxa" w:w="4320"/>
            <w:shd w:fill="2F5597"/>
          </w:tcPr>
          <w:p>
            <w:r>
              <w:rPr>
                <w:b/>
                <w:color w:val="FFFFFF"/>
                <w:sz w:val="18"/>
              </w:rPr>
              <w:t>Typical output</w:t>
            </w:r>
          </w:p>
        </w:tc>
        <w:tc>
          <w:tcPr>
            <w:tcW w:type="dxa" w:w="3744"/>
            <w:shd w:fill="2F5597"/>
          </w:tcPr>
          <w:p>
            <w:r>
              <w:rPr>
                <w:b/>
                <w:color w:val="FFFFFF"/>
                <w:sz w:val="18"/>
              </w:rPr>
              <w:t>Typical client need</w:t>
            </w:r>
          </w:p>
        </w:tc>
      </w:tr>
      <w:tr>
        <w:tc>
          <w:tcPr>
            <w:tcW w:type="dxa" w:w="3389"/>
            <w:tcMar>
              <w:top w:w="90" w:type="dxa"/>
              <w:start w:w="100" w:type="dxa"/>
              <w:bottom w:w="90" w:type="dxa"/>
              <w:end w:w="100" w:type="dxa"/>
            </w:tcMar>
          </w:tcPr>
          <w:p>
            <w:r>
              <w:rPr>
                <w:b/>
                <w:sz w:val="17"/>
              </w:rPr>
              <w:t>Estimating</w:t>
            </w:r>
          </w:p>
        </w:tc>
        <w:tc>
          <w:tcPr>
            <w:tcW w:type="dxa" w:w="3389"/>
            <w:tcMar>
              <w:top w:w="90" w:type="dxa"/>
              <w:start w:w="100" w:type="dxa"/>
              <w:bottom w:w="90" w:type="dxa"/>
              <w:end w:w="100" w:type="dxa"/>
            </w:tcMar>
          </w:tcPr>
          <w:p>
            <w:r>
              <w:rPr>
                <w:sz w:val="17"/>
              </w:rPr>
              <w:t>Takeoffs, BOQs, cost estimates, tender schedules</w:t>
            </w:r>
          </w:p>
        </w:tc>
        <w:tc>
          <w:tcPr>
            <w:tcW w:type="dxa" w:w="3389"/>
            <w:tcMar>
              <w:top w:w="90" w:type="dxa"/>
              <w:start w:w="100" w:type="dxa"/>
              <w:bottom w:w="90" w:type="dxa"/>
              <w:end w:w="100" w:type="dxa"/>
            </w:tcMar>
          </w:tcPr>
          <w:p>
            <w:r>
              <w:rPr>
                <w:sz w:val="17"/>
              </w:rPr>
              <w:t>Fast, accurate bid support</w:t>
            </w:r>
          </w:p>
        </w:tc>
      </w:tr>
      <w:tr>
        <w:tc>
          <w:tcPr>
            <w:tcW w:type="dxa" w:w="3389"/>
            <w:tcMar>
              <w:top w:w="90" w:type="dxa"/>
              <w:start w:w="100" w:type="dxa"/>
              <w:bottom w:w="90" w:type="dxa"/>
              <w:end w:w="100" w:type="dxa"/>
            </w:tcMar>
          </w:tcPr>
          <w:p>
            <w:r>
              <w:rPr>
                <w:b/>
                <w:sz w:val="17"/>
              </w:rPr>
              <w:t>Façade</w:t>
            </w:r>
          </w:p>
        </w:tc>
        <w:tc>
          <w:tcPr>
            <w:tcW w:type="dxa" w:w="3389"/>
            <w:tcMar>
              <w:top w:w="90" w:type="dxa"/>
              <w:start w:w="100" w:type="dxa"/>
              <w:bottom w:w="90" w:type="dxa"/>
              <w:end w:w="100" w:type="dxa"/>
            </w:tcMar>
          </w:tcPr>
          <w:p>
            <w:r>
              <w:rPr>
                <w:sz w:val="17"/>
              </w:rPr>
              <w:t>System/material quantities, panel/cladding schedules, accessories</w:t>
            </w:r>
          </w:p>
        </w:tc>
        <w:tc>
          <w:tcPr>
            <w:tcW w:type="dxa" w:w="3389"/>
            <w:tcMar>
              <w:top w:w="90" w:type="dxa"/>
              <w:start w:w="100" w:type="dxa"/>
              <w:bottom w:w="90" w:type="dxa"/>
              <w:end w:w="100" w:type="dxa"/>
            </w:tcMar>
          </w:tcPr>
          <w:p>
            <w:r>
              <w:rPr>
                <w:sz w:val="17"/>
              </w:rPr>
              <w:t>Specialist façade capacity</w:t>
            </w:r>
          </w:p>
        </w:tc>
      </w:tr>
      <w:tr>
        <w:tc>
          <w:tcPr>
            <w:tcW w:type="dxa" w:w="3389"/>
            <w:tcMar>
              <w:top w:w="90" w:type="dxa"/>
              <w:start w:w="100" w:type="dxa"/>
              <w:bottom w:w="90" w:type="dxa"/>
              <w:end w:w="100" w:type="dxa"/>
            </w:tcMar>
          </w:tcPr>
          <w:p>
            <w:r>
              <w:rPr>
                <w:b/>
                <w:sz w:val="17"/>
              </w:rPr>
              <w:t>Roofing</w:t>
            </w:r>
          </w:p>
        </w:tc>
        <w:tc>
          <w:tcPr>
            <w:tcW w:type="dxa" w:w="3389"/>
            <w:tcMar>
              <w:top w:w="90" w:type="dxa"/>
              <w:start w:w="100" w:type="dxa"/>
              <w:bottom w:w="90" w:type="dxa"/>
              <w:end w:w="100" w:type="dxa"/>
            </w:tcMar>
          </w:tcPr>
          <w:p>
            <w:r>
              <w:rPr>
                <w:sz w:val="17"/>
              </w:rPr>
              <w:t>Areas, trims, flashings, accessories, budgets</w:t>
            </w:r>
          </w:p>
        </w:tc>
        <w:tc>
          <w:tcPr>
            <w:tcW w:type="dxa" w:w="3389"/>
            <w:tcMar>
              <w:top w:w="90" w:type="dxa"/>
              <w:start w:w="100" w:type="dxa"/>
              <w:bottom w:w="90" w:type="dxa"/>
              <w:end w:w="100" w:type="dxa"/>
            </w:tcMar>
          </w:tcPr>
          <w:p>
            <w:r>
              <w:rPr>
                <w:sz w:val="17"/>
              </w:rPr>
              <w:t>Tender and procurement support</w:t>
            </w:r>
          </w:p>
        </w:tc>
      </w:tr>
      <w:tr>
        <w:tc>
          <w:tcPr>
            <w:tcW w:type="dxa" w:w="3389"/>
            <w:tcMar>
              <w:top w:w="90" w:type="dxa"/>
              <w:start w:w="100" w:type="dxa"/>
              <w:bottom w:w="90" w:type="dxa"/>
              <w:end w:w="100" w:type="dxa"/>
            </w:tcMar>
          </w:tcPr>
          <w:p>
            <w:r>
              <w:rPr>
                <w:b/>
                <w:sz w:val="17"/>
              </w:rPr>
              <w:t>Drafting / BIM</w:t>
            </w:r>
          </w:p>
        </w:tc>
        <w:tc>
          <w:tcPr>
            <w:tcW w:type="dxa" w:w="3389"/>
            <w:tcMar>
              <w:top w:w="90" w:type="dxa"/>
              <w:start w:w="100" w:type="dxa"/>
              <w:bottom w:w="90" w:type="dxa"/>
              <w:end w:w="100" w:type="dxa"/>
            </w:tcMar>
          </w:tcPr>
          <w:p>
            <w:r>
              <w:rPr>
                <w:sz w:val="17"/>
              </w:rPr>
              <w:t>Shop/fabrication drawings, models, revisions</w:t>
            </w:r>
          </w:p>
        </w:tc>
        <w:tc>
          <w:tcPr>
            <w:tcW w:type="dxa" w:w="3389"/>
            <w:tcMar>
              <w:top w:w="90" w:type="dxa"/>
              <w:start w:w="100" w:type="dxa"/>
              <w:bottom w:w="90" w:type="dxa"/>
              <w:end w:w="100" w:type="dxa"/>
            </w:tcMar>
          </w:tcPr>
          <w:p>
            <w:r>
              <w:rPr>
                <w:sz w:val="17"/>
              </w:rPr>
              <w:t>Production capacity and documentation</w:t>
            </w:r>
          </w:p>
        </w:tc>
      </w:tr>
      <w:tr>
        <w:tc>
          <w:tcPr>
            <w:tcW w:type="dxa" w:w="3389"/>
            <w:tcMar>
              <w:top w:w="90" w:type="dxa"/>
              <w:start w:w="100" w:type="dxa"/>
              <w:bottom w:w="90" w:type="dxa"/>
              <w:end w:w="100" w:type="dxa"/>
            </w:tcMar>
          </w:tcPr>
          <w:p>
            <w:r>
              <w:rPr>
                <w:b/>
                <w:sz w:val="17"/>
              </w:rPr>
              <w:t>Commercial</w:t>
            </w:r>
          </w:p>
        </w:tc>
        <w:tc>
          <w:tcPr>
            <w:tcW w:type="dxa" w:w="3389"/>
            <w:tcMar>
              <w:top w:w="90" w:type="dxa"/>
              <w:start w:w="100" w:type="dxa"/>
              <w:bottom w:w="90" w:type="dxa"/>
              <w:end w:w="100" w:type="dxa"/>
            </w:tcMar>
          </w:tcPr>
          <w:p>
            <w:r>
              <w:rPr>
                <w:sz w:val="17"/>
              </w:rPr>
              <w:t>Variations, cost tracking, reports, tender records</w:t>
            </w:r>
          </w:p>
        </w:tc>
        <w:tc>
          <w:tcPr>
            <w:tcW w:type="dxa" w:w="3389"/>
            <w:tcMar>
              <w:top w:w="90" w:type="dxa"/>
              <w:start w:w="100" w:type="dxa"/>
              <w:bottom w:w="90" w:type="dxa"/>
              <w:end w:w="100" w:type="dxa"/>
            </w:tcMar>
          </w:tcPr>
          <w:p>
            <w:r>
              <w:rPr>
                <w:sz w:val="17"/>
              </w:rPr>
              <w:t>Commercial administration support</w:t>
            </w:r>
          </w:p>
        </w:tc>
      </w:tr>
      <w:tr>
        <w:tc>
          <w:tcPr>
            <w:tcW w:type="dxa" w:w="3389"/>
            <w:tcMar>
              <w:top w:w="90" w:type="dxa"/>
              <w:start w:w="100" w:type="dxa"/>
              <w:bottom w:w="90" w:type="dxa"/>
              <w:end w:w="100" w:type="dxa"/>
            </w:tcMar>
          </w:tcPr>
          <w:p>
            <w:r>
              <w:rPr>
                <w:b/>
                <w:sz w:val="17"/>
              </w:rPr>
              <w:t>As-built</w:t>
            </w:r>
          </w:p>
        </w:tc>
        <w:tc>
          <w:tcPr>
            <w:tcW w:type="dxa" w:w="3389"/>
            <w:tcMar>
              <w:top w:w="90" w:type="dxa"/>
              <w:start w:w="100" w:type="dxa"/>
              <w:bottom w:w="90" w:type="dxa"/>
              <w:end w:w="100" w:type="dxa"/>
            </w:tcMar>
          </w:tcPr>
          <w:p>
            <w:r>
              <w:rPr>
                <w:sz w:val="17"/>
              </w:rPr>
              <w:t>Record documentation based on final information</w:t>
            </w:r>
          </w:p>
        </w:tc>
        <w:tc>
          <w:tcPr>
            <w:tcW w:type="dxa" w:w="3389"/>
            <w:tcMar>
              <w:top w:w="90" w:type="dxa"/>
              <w:start w:w="100" w:type="dxa"/>
              <w:bottom w:w="90" w:type="dxa"/>
              <w:end w:w="100" w:type="dxa"/>
            </w:tcMar>
          </w:tcPr>
          <w:p>
            <w:r>
              <w:rPr>
                <w:sz w:val="17"/>
              </w:rPr>
              <w:t>Handover / closeout</w:t>
            </w:r>
          </w:p>
        </w:tc>
      </w:tr>
      <w:tr>
        <w:tc>
          <w:tcPr>
            <w:tcW w:type="dxa" w:w="3389"/>
            <w:tcMar>
              <w:top w:w="90" w:type="dxa"/>
              <w:start w:w="100" w:type="dxa"/>
              <w:bottom w:w="90" w:type="dxa"/>
              <w:end w:w="100" w:type="dxa"/>
            </w:tcMar>
          </w:tcPr>
          <w:p>
            <w:r>
              <w:rPr>
                <w:b/>
                <w:sz w:val="17"/>
              </w:rPr>
              <w:t>Software</w:t>
            </w:r>
          </w:p>
        </w:tc>
        <w:tc>
          <w:tcPr>
            <w:tcW w:type="dxa" w:w="3389"/>
            <w:tcMar>
              <w:top w:w="90" w:type="dxa"/>
              <w:start w:w="100" w:type="dxa"/>
              <w:bottom w:w="90" w:type="dxa"/>
              <w:end w:w="100" w:type="dxa"/>
            </w:tcMar>
          </w:tcPr>
          <w:p>
            <w:r>
              <w:rPr>
                <w:sz w:val="17"/>
              </w:rPr>
              <w:t>Web/mobile apps, SaaS and cloud workflows</w:t>
            </w:r>
          </w:p>
        </w:tc>
        <w:tc>
          <w:tcPr>
            <w:tcW w:type="dxa" w:w="3389"/>
            <w:tcMar>
              <w:top w:w="90" w:type="dxa"/>
              <w:start w:w="100" w:type="dxa"/>
              <w:bottom w:w="90" w:type="dxa"/>
              <w:end w:w="100" w:type="dxa"/>
            </w:tcMar>
          </w:tcPr>
          <w:p>
            <w:r>
              <w:rPr>
                <w:sz w:val="17"/>
              </w:rPr>
              <w:t>Internal automation or product development</w:t>
            </w:r>
          </w:p>
        </w:tc>
      </w:tr>
    </w:tbl>
    <w:p>
      <w:pPr>
        <w:pStyle w:val="Heading2"/>
      </w:pPr>
      <w:r>
        <w:t>Competitive advantages</w:t>
      </w:r>
    </w:p>
    <w:p>
      <w:pPr>
        <w:pStyle w:val="ListBullet"/>
        <w:spacing w:after="60"/>
      </w:pPr>
      <w:r>
        <w:rPr>
          <w:sz w:val="20"/>
        </w:rPr>
        <w:t>Façade specialization rather than a generic back-office positioning.</w:t>
      </w:r>
    </w:p>
    <w:p>
      <w:pPr>
        <w:pStyle w:val="ListBullet"/>
        <w:spacing w:after="60"/>
      </w:pPr>
      <w:r>
        <w:rPr>
          <w:sz w:val="20"/>
        </w:rPr>
        <w:t>Combination of estimating + drafting/BIM + commercial support across one delivery relationship.</w:t>
      </w:r>
    </w:p>
    <w:p>
      <w:pPr>
        <w:pStyle w:val="ListBullet"/>
        <w:spacing w:after="60"/>
      </w:pPr>
      <w:r>
        <w:rPr>
          <w:sz w:val="20"/>
        </w:rPr>
        <w:t>Ability to work to UK / US / Canada construction conventions and documentation expectations.</w:t>
      </w:r>
    </w:p>
    <w:p>
      <w:pPr>
        <w:pStyle w:val="ListBullet"/>
        <w:spacing w:after="60"/>
      </w:pPr>
      <w:r>
        <w:rPr>
          <w:sz w:val="20"/>
        </w:rPr>
        <w:t>Flexible scaling through dedicated-resource and project-based support models.</w:t>
      </w:r>
    </w:p>
    <w:p>
      <w:pPr>
        <w:pStyle w:val="ListBullet"/>
        <w:spacing w:after="60"/>
      </w:pPr>
      <w:r>
        <w:rPr>
          <w:sz w:val="20"/>
        </w:rPr>
        <w:t>Technical + software capability, enabling the company to build internal tools and client-facing workflows.</w:t>
      </w:r>
    </w:p>
    <w:p>
      <w:pPr>
        <w:pStyle w:val="ListBullet"/>
        <w:spacing w:after="60"/>
      </w:pPr>
      <w:r>
        <w:rPr>
          <w:sz w:val="20"/>
        </w:rPr>
        <w:t>NDA-friendly and remote delivery model, useful for confidential tender and technical information.</w:t>
      </w:r>
    </w:p>
    <w:p>
      <w:pPr>
        <w:spacing w:before="160"/>
      </w:pPr>
      <w:r>
        <w:rPr>
          <w:b/>
          <w:color w:val="9A6700"/>
        </w:rPr>
        <w:t xml:space="preserve">Marketing-claim caution: </w:t>
      </w:r>
      <w:r>
        <w:rPr>
          <w:sz w:val="18"/>
        </w:rPr>
        <w:t>public posts currently claim examples such as 24-72 hour turnaround, 98% on-time delivery and 300+ successful projects. These should be treated as claims from company marketing material, not independently audited performance metrics.</w:t>
      </w:r>
    </w:p>
    <w:p>
      <w:pPr>
        <w:pStyle w:val="Heading1"/>
      </w:pPr>
      <w:r>
        <w:t>4. Location, Target Countries &amp; Contact</w:t>
      </w:r>
    </w:p>
    <w:tbl>
      <w:tblPr>
        <w:tblW w:type="auto" w:w="0"/>
        <w:jc w:val="center"/>
        <w:tblLook w:firstColumn="1" w:firstRow="1" w:lastColumn="0" w:lastRow="0" w:noHBand="0" w:noVBand="1" w:val="04A0"/>
        <w:tblBorders>
          <w:top w:val="single" w:sz="6" w:color="D9E1F2"/>
          <w:left w:val="single" w:sz="6" w:color="D9E1F2"/>
          <w:bottom w:val="single" w:sz="6" w:color="D9E1F2"/>
          <w:right w:val="single" w:sz="6" w:color="D9E1F2"/>
          <w:insideH w:val="single" w:sz="6" w:color="D9E1F2"/>
          <w:insideV w:val="single" w:sz="6" w:color="D9E1F2"/>
        </w:tblBorders>
      </w:tblPr>
      <w:tblGrid>
        <w:gridCol w:w="5083"/>
        <w:gridCol w:w="5083"/>
      </w:tblGrid>
      <w:tr>
        <w:tc>
          <w:tcPr>
            <w:tcW w:type="dxa" w:w="5083"/>
            <w:tcMar>
              <w:top w:w="90" w:type="dxa"/>
              <w:start w:w="100" w:type="dxa"/>
              <w:bottom w:w="90" w:type="dxa"/>
              <w:end w:w="100" w:type="dxa"/>
            </w:tcMar>
            <w:vAlign w:val="top"/>
          </w:tcPr>
          <w:p>
            <w:r>
              <w:rPr>
                <w:b/>
                <w:sz w:val="19"/>
              </w:rPr>
              <w:t>Operating location publicly shown</w:t>
            </w:r>
          </w:p>
        </w:tc>
        <w:tc>
          <w:tcPr>
            <w:tcW w:type="dxa" w:w="5083"/>
            <w:tcMar>
              <w:top w:w="90" w:type="dxa"/>
              <w:start w:w="100" w:type="dxa"/>
              <w:bottom w:w="90" w:type="dxa"/>
              <w:end w:w="100" w:type="dxa"/>
            </w:tcMar>
            <w:vAlign w:val="top"/>
          </w:tcPr>
          <w:p>
            <w:r>
              <w:rPr>
                <w:sz w:val="19"/>
              </w:rPr>
              <w:t>Pune Division, Maharashtra, India.</w:t>
              <w:br/>
              <w:t>Source: LinkedIn job listing, reviewed 8 Sep 2026</w:t>
            </w:r>
          </w:p>
        </w:tc>
      </w:tr>
      <w:tr>
        <w:tc>
          <w:tcPr>
            <w:tcW w:type="dxa" w:w="5083"/>
            <w:tcMar>
              <w:top w:w="90" w:type="dxa"/>
              <w:start w:w="100" w:type="dxa"/>
              <w:bottom w:w="90" w:type="dxa"/>
              <w:end w:w="100" w:type="dxa"/>
            </w:tcMar>
            <w:vAlign w:val="top"/>
          </w:tcPr>
          <w:p>
            <w:r>
              <w:rPr>
                <w:b/>
                <w:sz w:val="19"/>
              </w:rPr>
              <w:t>Target market - UK</w:t>
            </w:r>
          </w:p>
        </w:tc>
        <w:tc>
          <w:tcPr>
            <w:tcW w:type="dxa" w:w="5083"/>
            <w:tcMar>
              <w:top w:w="90" w:type="dxa"/>
              <w:start w:w="100" w:type="dxa"/>
              <w:bottom w:w="90" w:type="dxa"/>
              <w:end w:w="100" w:type="dxa"/>
            </w:tcMar>
            <w:vAlign w:val="top"/>
          </w:tcPr>
          <w:p>
            <w:r>
              <w:rPr>
                <w:sz w:val="19"/>
              </w:rPr>
              <w:t>Construction contractors, façade/cladding businesses, consultants and other technical clients requiring estimating, drafting, commercial and dedicated-resource support.</w:t>
              <w:br/>
              <w:t>Source: Company positioning</w:t>
            </w:r>
          </w:p>
        </w:tc>
      </w:tr>
      <w:tr>
        <w:tc>
          <w:tcPr>
            <w:tcW w:type="dxa" w:w="5083"/>
            <w:tcMar>
              <w:top w:w="90" w:type="dxa"/>
              <w:start w:w="100" w:type="dxa"/>
              <w:bottom w:w="90" w:type="dxa"/>
              <w:end w:w="100" w:type="dxa"/>
            </w:tcMar>
            <w:vAlign w:val="top"/>
          </w:tcPr>
          <w:p>
            <w:r>
              <w:rPr>
                <w:b/>
                <w:sz w:val="19"/>
              </w:rPr>
              <w:t>Target market - US</w:t>
            </w:r>
          </w:p>
        </w:tc>
        <w:tc>
          <w:tcPr>
            <w:tcW w:type="dxa" w:w="5083"/>
            <w:tcMar>
              <w:top w:w="90" w:type="dxa"/>
              <w:start w:w="100" w:type="dxa"/>
              <w:bottom w:w="90" w:type="dxa"/>
              <w:end w:w="100" w:type="dxa"/>
            </w:tcMar>
            <w:vAlign w:val="top"/>
          </w:tcPr>
          <w:p>
            <w:r>
              <w:rPr>
                <w:sz w:val="19"/>
              </w:rPr>
              <w:t>Contractors, fabricators, consultants and construction-tech businesses requiring takeoffs, estimating, drafting/BIM and digital development.</w:t>
              <w:br/>
              <w:t>Source: Company positioning</w:t>
            </w:r>
          </w:p>
        </w:tc>
      </w:tr>
      <w:tr>
        <w:tc>
          <w:tcPr>
            <w:tcW w:type="dxa" w:w="5083"/>
            <w:tcMar>
              <w:top w:w="90" w:type="dxa"/>
              <w:start w:w="100" w:type="dxa"/>
              <w:bottom w:w="90" w:type="dxa"/>
              <w:end w:w="100" w:type="dxa"/>
            </w:tcMar>
            <w:vAlign w:val="top"/>
          </w:tcPr>
          <w:p>
            <w:r>
              <w:rPr>
                <w:b/>
                <w:sz w:val="19"/>
              </w:rPr>
              <w:t>Target market - Canada</w:t>
            </w:r>
          </w:p>
        </w:tc>
        <w:tc>
          <w:tcPr>
            <w:tcW w:type="dxa" w:w="5083"/>
            <w:tcMar>
              <w:top w:w="90" w:type="dxa"/>
              <w:start w:w="100" w:type="dxa"/>
              <w:bottom w:w="90" w:type="dxa"/>
              <w:end w:w="100" w:type="dxa"/>
            </w:tcMar>
            <w:vAlign w:val="top"/>
          </w:tcPr>
          <w:p>
            <w:r>
              <w:rPr>
                <w:sz w:val="19"/>
              </w:rPr>
              <w:t>Construction and engineering clients requiring estimating, drafting/BIM and technical delivery; public messaging references CSI/MasterFormat awareness.</w:t>
              <w:br/>
              <w:t>Source: Company positioning / public post</w:t>
            </w:r>
          </w:p>
        </w:tc>
      </w:tr>
      <w:tr>
        <w:tc>
          <w:tcPr>
            <w:tcW w:type="dxa" w:w="5083"/>
            <w:tcMar>
              <w:top w:w="90" w:type="dxa"/>
              <w:start w:w="100" w:type="dxa"/>
              <w:bottom w:w="90" w:type="dxa"/>
              <w:end w:w="100" w:type="dxa"/>
            </w:tcMar>
            <w:vAlign w:val="top"/>
          </w:tcPr>
          <w:p>
            <w:r>
              <w:rPr>
                <w:b/>
                <w:sz w:val="19"/>
              </w:rPr>
              <w:t>Website</w:t>
            </w:r>
          </w:p>
        </w:tc>
        <w:tc>
          <w:tcPr>
            <w:tcW w:type="dxa" w:w="5083"/>
            <w:tcMar>
              <w:top w:w="90" w:type="dxa"/>
              <w:start w:w="100" w:type="dxa"/>
              <w:bottom w:w="90" w:type="dxa"/>
              <w:end w:w="100" w:type="dxa"/>
            </w:tcMar>
            <w:vAlign w:val="top"/>
          </w:tcPr>
          <w:p>
            <w:r>
              <w:rPr>
                <w:sz w:val="19"/>
              </w:rPr>
              <w:t>www.coextendglobal.com</w:t>
              <w:br/>
              <w:t>Source: Public CoExtend Global post</w:t>
            </w:r>
          </w:p>
        </w:tc>
      </w:tr>
      <w:tr>
        <w:tc>
          <w:tcPr>
            <w:tcW w:type="dxa" w:w="5083"/>
            <w:tcMar>
              <w:top w:w="90" w:type="dxa"/>
              <w:start w:w="100" w:type="dxa"/>
              <w:bottom w:w="90" w:type="dxa"/>
              <w:end w:w="100" w:type="dxa"/>
            </w:tcMar>
            <w:vAlign w:val="top"/>
          </w:tcPr>
          <w:p>
            <w:r>
              <w:rPr>
                <w:b/>
                <w:sz w:val="19"/>
              </w:rPr>
              <w:t>Email</w:t>
            </w:r>
          </w:p>
        </w:tc>
        <w:tc>
          <w:tcPr>
            <w:tcW w:type="dxa" w:w="5083"/>
            <w:tcMar>
              <w:top w:w="90" w:type="dxa"/>
              <w:start w:w="100" w:type="dxa"/>
              <w:bottom w:w="90" w:type="dxa"/>
              <w:end w:w="100" w:type="dxa"/>
            </w:tcMar>
            <w:vAlign w:val="top"/>
          </w:tcPr>
          <w:p>
            <w:r>
              <w:rPr>
                <w:sz w:val="19"/>
              </w:rPr>
              <w:t>info@coextendglobal.com</w:t>
              <w:br/>
              <w:t>Source: Public CoExtend Global post</w:t>
            </w:r>
          </w:p>
        </w:tc>
      </w:tr>
      <w:tr>
        <w:tc>
          <w:tcPr>
            <w:tcW w:type="dxa" w:w="5083"/>
            <w:tcMar>
              <w:top w:w="90" w:type="dxa"/>
              <w:start w:w="100" w:type="dxa"/>
              <w:bottom w:w="90" w:type="dxa"/>
              <w:end w:w="100" w:type="dxa"/>
            </w:tcMar>
            <w:vAlign w:val="top"/>
          </w:tcPr>
          <w:p>
            <w:r>
              <w:rPr>
                <w:b/>
                <w:sz w:val="19"/>
              </w:rPr>
              <w:t>LinkedIn</w:t>
            </w:r>
          </w:p>
        </w:tc>
        <w:tc>
          <w:tcPr>
            <w:tcW w:type="dxa" w:w="5083"/>
            <w:tcMar>
              <w:top w:w="90" w:type="dxa"/>
              <w:start w:w="100" w:type="dxa"/>
              <w:bottom w:w="90" w:type="dxa"/>
              <w:end w:w="100" w:type="dxa"/>
            </w:tcMar>
            <w:vAlign w:val="top"/>
          </w:tcPr>
          <w:p>
            <w:r>
              <w:rPr>
                <w:sz w:val="19"/>
              </w:rPr>
              <w:t>CoExtend Global LLP company presence; founder/operator profile associated with CoExtend Global.</w:t>
              <w:br/>
              <w:t>Source: Public LinkedIn pages</w:t>
            </w:r>
          </w:p>
        </w:tc>
      </w:tr>
    </w:tbl>
    <w:p>
      <w:pPr>
        <w:spacing w:before="240"/>
      </w:pPr>
      <w:r>
        <w:rPr>
          <w:b/>
        </w:rPr>
        <w:t xml:space="preserve">Not verified in this research: </w:t>
      </w:r>
      <w:r>
        <w:t>company registration number/LLPIN, registered office address, phone number, incorporation date, audited headcount, revenue, and named customer roster. These should be added only from official corporate records or company-provided documents.</w:t>
      </w:r>
    </w:p>
    <w:p>
      <w:pPr>
        <w:pStyle w:val="Heading2"/>
      </w:pPr>
      <w:r>
        <w:t>Public source register</w:t>
      </w:r>
    </w:p>
    <w:p>
      <w:pPr>
        <w:pStyle w:val="ListBullet"/>
        <w:spacing w:after="60"/>
      </w:pPr>
      <w:r>
        <w:rPr>
          <w:sz w:val="20"/>
        </w:rPr>
        <w:t>LinkedIn - CoExtend Global LLP: Facade Estimator / Commercial Assistant job/company description (reviewed 8 Sep 2026): https://in.linkedin.com/jobs/view/facade-estimator-commercial-assistant-remote-at-coextend-global-llp-4451703137</w:t>
      </w:r>
    </w:p>
    <w:p>
      <w:pPr>
        <w:pStyle w:val="ListBullet"/>
        <w:spacing w:after="60"/>
      </w:pPr>
      <w:r>
        <w:rPr>
          <w:sz w:val="20"/>
        </w:rPr>
        <w:t>LinkedIn - Suuraj Jangamm profile (reviewed 8 Sep 2026): https://in.linkedin.com/in/suuraj-jangamm-9b70a392</w:t>
      </w:r>
    </w:p>
    <w:p>
      <w:pPr>
        <w:pStyle w:val="ListBullet"/>
        <w:spacing w:after="60"/>
      </w:pPr>
      <w:r>
        <w:rPr>
          <w:sz w:val="20"/>
        </w:rPr>
        <w:t>Public CoExtend Global post surfaced via LinkedIn profile activity: www.coextendglobal.com and info@coextendglobal.com; software/tooling and performance claims (reviewed 8 Sep 2026).</w:t>
      </w:r>
    </w:p>
    <w:p>
      <w:pPr>
        <w:pStyle w:val="ListBullet"/>
        <w:spacing w:after="60"/>
      </w:pPr>
      <w:r>
        <w:rPr>
          <w:sz w:val="20"/>
        </w:rPr>
        <w:t>JobLeads mirror - Remote Facade Estimator for Global UK/US Projects (reviewed 8 Sep 2026): https://www.jobleads.com/us/job/remote-facade-estimator-for-global-uk-us-projects--united-states--ead32c098ca2c56e945979b5b62a42518</w:t>
      </w:r>
    </w:p>
    <w:p>
      <w:pPr>
        <w:pStyle w:val="Heading1"/>
      </w:pPr>
      <w:r>
        <w:t>5. Recommended One-Paragraph Company Description</w:t>
      </w:r>
    </w:p>
    <w:p>
      <w:r>
        <w:t>CoExtend Global LLP is a Pune-based technical services company supporting construction and technology businesses across the United Kingdom, United States and Canada. The company provides construction estimating, quantity takeoffs, BOQs, tender support, façade and roofing estimating, shop and fabrication drawings, BIM/drafting, as-built documentation and commercial project support. Alongside its built-environment services, CoExtend Global develops custom web and mobile applications, SaaS products and cloud solutions. Its positioning is built around specialist technical knowledge, flexible remote capacity, long-term client partnerships and the ability to operate as an extended technical team.</w:t>
      </w:r>
    </w:p>
    <w:p>
      <w:pPr>
        <w:pStyle w:val="Heading1"/>
      </w:pPr>
      <w:r>
        <w:t>6. Final Verification Note</w:t>
      </w:r>
    </w:p>
    <w:p>
      <w:r>
        <w:t>The requested fields are covered in Section 1. Publicly supported facts are based primarily on current LinkedIn company/job materials and the founder profile reviewed on 8 September 2026. Company size is treated as an internal approximate figure. Legal registration details, registered office address, phone number, audited headcount, revenue and named customer/project references were not independently verified and should be confirmed from official corporate records before external publication. Public performance figures such as 24-72 hour turnaround, 98% on-time delivery and 300+ projects are retained only as marketing claims and should not be presented as audited guarantees.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Prepared 8 September 2026 | Research-led profile | Verify legal particulars before external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CoExtend Global LLP |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CoExtend Global LLP - Company Profile</dc:title>
  <dc:subject>Verified and researched company profile</dc:subject>
  <dc:creator>CoExtend Global</dc:creator>
  <cp:keywords>CoExtend Global, construction estimation, quantity takeoff, facade, BIM, drafting, software development</cp:keywords>
  <dc:description>generated by python-docx</dc:description>
  <cp:lastModifiedBy/>
  <cp:revision>1</cp:revision>
  <dcterms:created xsi:type="dcterms:W3CDTF">2013-12-23T23:15:00Z</dcterms:created>
  <dcterms:modified xsi:type="dcterms:W3CDTF">2013-12-23T23:15:00Z</dcterms:modified>
  <cp:category/>
</cp:coreProperties>
</file>