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F4E79"/>
          <w:sz w:val="56"/>
        </w:rPr>
        <w:t>COEXTEND GLOBAL LLP</w:t>
      </w:r>
    </w:p>
    <w:p>
      <w:pPr>
        <w:jc w:val="center"/>
      </w:pPr>
      <w:r>
        <w:rPr>
          <w:b/>
          <w:sz w:val="40"/>
        </w:rPr>
        <w:t>02 - Services Profile</w:t>
      </w:r>
    </w:p>
    <w:p>
      <w:pPr>
        <w:jc w:val="center"/>
      </w:pPr>
      <w:r>
        <w:rPr>
          <w:color w:val="505050"/>
          <w:sz w:val="21"/>
        </w:rPr>
        <w:t>Construction Estimating | Take-Offs | BOQs | Tender Support | Shop Drawings | Façade Engineering | Technical Documentation | Dedicated Resources</w:t>
      </w:r>
    </w:p>
    <w:p>
      <w:pPr>
        <w:spacing w:before="480"/>
        <w:jc w:val="center"/>
      </w:pPr>
      <w:r>
        <w:rPr>
          <w:i/>
          <w:color w:val="646464"/>
          <w:sz w:val="18"/>
        </w:rPr>
        <w:t>Research basis: current public company/job information plus the detailed service scope developed in our CoExtend Global operating discussions.</w:t>
      </w:r>
    </w:p>
    <w:p>
      <w:pPr>
        <w:jc w:val="center"/>
      </w:pPr>
      <w:r>
        <w:rPr>
          <w:color w:val="646464"/>
          <w:sz w:val="18"/>
        </w:rPr>
        <w:t>Research date: 8 September 2026</w:t>
      </w:r>
    </w:p>
    <w:p>
      <w:r>
        <w:br w:type="page"/>
      </w:r>
    </w:p>
    <w:p>
      <w:pPr>
        <w:pStyle w:val="Heading1"/>
      </w:pPr>
      <w:r>
        <w:t>Service Portfolio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AF0F6"/>
          </w:tcPr>
          <w:p>
            <w:r>
              <w:rPr>
                <w:b/>
                <w:sz w:val="17"/>
              </w:rPr>
              <w:t>No.</w:t>
            </w:r>
          </w:p>
        </w:tc>
        <w:tc>
          <w:tcPr>
            <w:tcW w:type="dxa" w:w="3360"/>
            <w:shd w:fill="EAF0F6"/>
          </w:tcPr>
          <w:p>
            <w:r>
              <w:rPr>
                <w:b/>
                <w:sz w:val="17"/>
              </w:rPr>
              <w:t>Service</w:t>
            </w:r>
          </w:p>
        </w:tc>
        <w:tc>
          <w:tcPr>
            <w:tcW w:type="dxa" w:w="3360"/>
            <w:shd w:fill="EAF0F6"/>
          </w:tcPr>
          <w:p>
            <w:r>
              <w:rPr>
                <w:b/>
                <w:sz w:val="17"/>
              </w:rPr>
              <w:t>Primary purpose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Façade Estimating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Detailed façade/cladding cost and quantity estimating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Quantity Take-Off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Traceable measurement from drawings/specifications/models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BOQ Preparation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Structured commercial bill of quantities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Tender Support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Pre-construction bid and submission assistance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Cost Estimating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Cost build-up using project/client rates and supplier inputs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Shop Drawings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Fabrication/installation/detail drawings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Façade Engineering Support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System, interface and technical detailing support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Technical Documentation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Controlled technical records and handover information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Retainer Resource Model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Dedicated recurring monthly technical capacity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Hourly Resource Model</w:t>
            </w:r>
          </w:p>
        </w:tc>
        <w:tc>
          <w:tcPr>
            <w:tcW w:type="dxa" w:w="3360"/>
            <w:shd w:fill="FFFFFF"/>
          </w:tcPr>
          <w:p>
            <w:r>
              <w:rPr>
                <w:b w:val="0"/>
                <w:sz w:val="17"/>
              </w:rPr>
              <w:t>Flexible short-term or overflow capacity</w:t>
            </w:r>
          </w:p>
        </w:tc>
      </w:tr>
    </w:tbl>
    <w:p>
      <w:pPr>
        <w:spacing w:before="200"/>
      </w:pPr>
      <w:r>
        <w:t>Positioning note: the service chain is deliberately integrated. A client can use CoExtend Global for one task, several linked tasks, or recurring dedicated capacity.</w:t>
      </w:r>
    </w:p>
    <w:p>
      <w:r>
        <w:br w:type="page"/>
      </w:r>
    </w:p>
    <w:p>
      <w:pPr>
        <w:spacing w:after="100"/>
      </w:pPr>
      <w:r>
        <w:rPr>
          <w:b/>
          <w:color w:val="1F4E79"/>
          <w:sz w:val="42"/>
        </w:rPr>
        <w:t>1. Façade Estimating</w:t>
      </w:r>
    </w:p>
    <w:p>
      <w:pPr>
        <w:spacing w:before="100" w:after="20"/>
      </w:pPr>
      <w:r>
        <w:rPr>
          <w:b/>
          <w:color w:val="274E78"/>
          <w:sz w:val="20"/>
        </w:rPr>
        <w:t>What it is</w:t>
      </w:r>
    </w:p>
    <w:p>
      <w:pPr>
        <w:spacing w:after="100" w:line="252" w:lineRule="auto"/>
      </w:pPr>
      <w:r>
        <w:rPr>
          <w:sz w:val="19"/>
        </w:rPr>
        <w:t>Preparation of detailed façade and cladding estimates from architectural, structural, specification and tender information, with emphasis on system build-up, interfaces, quantities and commercial completeness.</w:t>
      </w:r>
    </w:p>
    <w:p>
      <w:pPr>
        <w:spacing w:before="100" w:after="20"/>
      </w:pPr>
      <w:r>
        <w:rPr>
          <w:b/>
          <w:color w:val="274E78"/>
          <w:sz w:val="20"/>
        </w:rPr>
        <w:t>What we deliver</w:t>
      </w:r>
    </w:p>
    <w:p>
      <w:pPr>
        <w:spacing w:after="100" w:line="252" w:lineRule="auto"/>
      </w:pPr>
      <w:r>
        <w:rPr>
          <w:sz w:val="19"/>
        </w:rPr>
        <w:t>Material/system takeoffs; façade areas; panels/cladding; rails; brackets; clips; insulation; membranes; flashings; copings; trims and ancillary components where shown; labour/installation allowances when required; assumptions, exclusions and estimate summaries.</w:t>
      </w:r>
    </w:p>
    <w:p>
      <w:pPr>
        <w:spacing w:before="100" w:after="20"/>
      </w:pPr>
      <w:r>
        <w:rPr>
          <w:b/>
          <w:color w:val="274E78"/>
          <w:sz w:val="20"/>
        </w:rPr>
        <w:t>Who needs it</w:t>
      </w:r>
    </w:p>
    <w:p>
      <w:pPr>
        <w:spacing w:after="100" w:line="252" w:lineRule="auto"/>
      </w:pPr>
      <w:r>
        <w:rPr>
          <w:sz w:val="19"/>
        </w:rPr>
        <w:t>Façade contractors, cladding contractors, main contractors, specialist subcontractors, fabricators and consultants bidding building-envelope packages.</w:t>
      </w:r>
    </w:p>
    <w:p>
      <w:pPr>
        <w:spacing w:before="100" w:after="20"/>
      </w:pPr>
      <w:r>
        <w:rPr>
          <w:b/>
          <w:color w:val="274E78"/>
          <w:sz w:val="20"/>
        </w:rPr>
        <w:t>Typical problems it solves</w:t>
      </w:r>
    </w:p>
    <w:p>
      <w:pPr>
        <w:spacing w:after="100" w:line="252" w:lineRule="auto"/>
      </w:pPr>
      <w:r>
        <w:rPr>
          <w:sz w:val="19"/>
        </w:rPr>
        <w:t>Incomplete tender packs; missed components; unclear system build-ups; quantities not tied to zones/elevations; interface omissions; compressed bid deadlines; estimator capacity bottlenecks.</w:t>
      </w:r>
    </w:p>
    <w:p>
      <w:pPr>
        <w:spacing w:before="100" w:after="20"/>
      </w:pPr>
      <w:r>
        <w:rPr>
          <w:b/>
          <w:color w:val="274E78"/>
          <w:sz w:val="20"/>
        </w:rPr>
        <w:t>Why choose us</w:t>
      </w:r>
    </w:p>
    <w:p>
      <w:pPr>
        <w:spacing w:after="100" w:line="252" w:lineRule="auto"/>
      </w:pPr>
      <w:r>
        <w:rPr>
          <w:sz w:val="19"/>
        </w:rPr>
        <w:t>Specialist building-envelope focus; practical understanding of façade systems; drawing/specification cross-checking; structured project-breakdown outputs; ability to work to client templates and pricing conventions.</w:t>
      </w:r>
    </w:p>
    <w:p>
      <w:pPr>
        <w:spacing w:before="100" w:after="20"/>
      </w:pPr>
      <w:r>
        <w:rPr>
          <w:b/>
          <w:color w:val="274E78"/>
          <w:sz w:val="20"/>
        </w:rPr>
        <w:t>Typical turnaround</w:t>
      </w:r>
    </w:p>
    <w:p>
      <w:pPr>
        <w:spacing w:after="100" w:line="252" w:lineRule="auto"/>
      </w:pPr>
      <w:r>
        <w:rPr>
          <w:sz w:val="19"/>
        </w:rPr>
        <w:t>Company-published material cites 24–72 hours for suitable estimates/shop drawings. Actual turnaround depends on project size, drawing quality, scope and revisions.</w:t>
      </w:r>
    </w:p>
    <w:p>
      <w:pPr>
        <w:spacing w:before="100" w:after="20"/>
      </w:pPr>
      <w:r>
        <w:rPr>
          <w:b/>
          <w:color w:val="274E78"/>
          <w:sz w:val="20"/>
        </w:rPr>
        <w:t>Typical standards / references</w:t>
      </w:r>
    </w:p>
    <w:p>
      <w:pPr>
        <w:spacing w:after="100" w:line="252" w:lineRule="auto"/>
      </w:pPr>
      <w:r>
        <w:rPr>
          <w:sz w:val="19"/>
        </w:rPr>
        <w:t>UK: NRM2 / SMM7 where required. US/Canada: CSI MasterFormat conventions where required. Project/client documents take precedence.</w:t>
      </w:r>
    </w:p>
    <w:p>
      <w:r>
        <w:br w:type="page"/>
      </w:r>
    </w:p>
    <w:p>
      <w:pPr>
        <w:spacing w:after="100"/>
      </w:pPr>
      <w:r>
        <w:rPr>
          <w:b/>
          <w:color w:val="1F4E79"/>
          <w:sz w:val="42"/>
        </w:rPr>
        <w:t>2. Quantity Take-Off</w:t>
      </w:r>
    </w:p>
    <w:p>
      <w:pPr>
        <w:spacing w:before="100" w:after="20"/>
      </w:pPr>
      <w:r>
        <w:rPr>
          <w:b/>
          <w:color w:val="274E78"/>
          <w:sz w:val="20"/>
        </w:rPr>
        <w:t>What it is</w:t>
      </w:r>
    </w:p>
    <w:p>
      <w:pPr>
        <w:spacing w:after="100" w:line="252" w:lineRule="auto"/>
      </w:pPr>
      <w:r>
        <w:rPr>
          <w:sz w:val="19"/>
        </w:rPr>
        <w:t>Detailed measurement of construction quantities from drawings, schedules, specifications and models for pricing, procurement, planning or validation.</w:t>
      </w:r>
    </w:p>
    <w:p>
      <w:pPr>
        <w:spacing w:before="100" w:after="20"/>
      </w:pPr>
      <w:r>
        <w:rPr>
          <w:b/>
          <w:color w:val="274E78"/>
          <w:sz w:val="20"/>
        </w:rPr>
        <w:t>What we deliver</w:t>
      </w:r>
    </w:p>
    <w:p>
      <w:pPr>
        <w:spacing w:after="100" w:line="252" w:lineRule="auto"/>
      </w:pPr>
      <w:r>
        <w:rPr>
          <w:sz w:val="19"/>
        </w:rPr>
        <w:t>Line-item quantities by material/system; areas, lengths, counts or volumes as appropriate; project-breakdown tagging; marked-up references; assumptions, exclusions and query points.</w:t>
      </w:r>
    </w:p>
    <w:p>
      <w:pPr>
        <w:spacing w:before="100" w:after="20"/>
      </w:pPr>
      <w:r>
        <w:rPr>
          <w:b/>
          <w:color w:val="274E78"/>
          <w:sz w:val="20"/>
        </w:rPr>
        <w:t>Who needs it</w:t>
      </w:r>
    </w:p>
    <w:p>
      <w:pPr>
        <w:spacing w:after="100" w:line="252" w:lineRule="auto"/>
      </w:pPr>
      <w:r>
        <w:rPr>
          <w:sz w:val="19"/>
        </w:rPr>
        <w:t>Estimators, QS teams, contractors, subcontractors, fabricators and procurement teams needing independent or overflow measurement capacity.</w:t>
      </w:r>
    </w:p>
    <w:p>
      <w:pPr>
        <w:spacing w:before="100" w:after="20"/>
      </w:pPr>
      <w:r>
        <w:rPr>
          <w:b/>
          <w:color w:val="274E78"/>
          <w:sz w:val="20"/>
        </w:rPr>
        <w:t>Typical problems it solves</w:t>
      </w:r>
    </w:p>
    <w:p>
      <w:pPr>
        <w:spacing w:after="100" w:line="252" w:lineRule="auto"/>
      </w:pPr>
      <w:r>
        <w:rPr>
          <w:sz w:val="19"/>
        </w:rPr>
        <w:t>Large drawing sets; repetitive manual measurement; fragmented information; inconsistent naming; missed items; revision difficulty; limited internal estimating capacity.</w:t>
      </w:r>
    </w:p>
    <w:p>
      <w:pPr>
        <w:spacing w:before="100" w:after="20"/>
      </w:pPr>
      <w:r>
        <w:rPr>
          <w:b/>
          <w:color w:val="274E78"/>
          <w:sz w:val="20"/>
        </w:rPr>
        <w:t>Why choose us</w:t>
      </w:r>
    </w:p>
    <w:p>
      <w:pPr>
        <w:spacing w:after="100" w:line="252" w:lineRule="auto"/>
      </w:pPr>
      <w:r>
        <w:rPr>
          <w:sz w:val="19"/>
        </w:rPr>
        <w:t>Takeoffs can be structured by building, block, floor, elevation, zone or work package, making the output commercially useful rather than a raw quantity list.</w:t>
      </w:r>
    </w:p>
    <w:p>
      <w:pPr>
        <w:spacing w:before="100" w:after="20"/>
      </w:pPr>
      <w:r>
        <w:rPr>
          <w:b/>
          <w:color w:val="274E78"/>
          <w:sz w:val="20"/>
        </w:rPr>
        <w:t>Typical turnaround</w:t>
      </w:r>
    </w:p>
    <w:p>
      <w:pPr>
        <w:spacing w:after="100" w:line="252" w:lineRule="auto"/>
      </w:pPr>
      <w:r>
        <w:rPr>
          <w:sz w:val="19"/>
        </w:rPr>
        <w:t>Project-specific. Company-published examples cite 24–72 hours for suitable estimates/takeoffs; complex packages may require longer.</w:t>
      </w:r>
    </w:p>
    <w:p>
      <w:r>
        <w:br w:type="page"/>
      </w:r>
    </w:p>
    <w:p>
      <w:pPr>
        <w:spacing w:after="100"/>
      </w:pPr>
      <w:r>
        <w:rPr>
          <w:b/>
          <w:color w:val="1F4E79"/>
          <w:sz w:val="42"/>
        </w:rPr>
        <w:t>3. BOQ Preparation</w:t>
      </w:r>
    </w:p>
    <w:p>
      <w:pPr>
        <w:spacing w:before="100" w:after="20"/>
      </w:pPr>
      <w:r>
        <w:rPr>
          <w:b/>
          <w:color w:val="274E78"/>
          <w:sz w:val="20"/>
        </w:rPr>
        <w:t>What it is</w:t>
      </w:r>
    </w:p>
    <w:p>
      <w:pPr>
        <w:spacing w:after="100" w:line="252" w:lineRule="auto"/>
      </w:pPr>
      <w:r>
        <w:rPr>
          <w:sz w:val="19"/>
        </w:rPr>
        <w:t>Translation of measured quantities and scope information into a structured Bill of Quantities suitable for pricing, tendering, comparison and commercial control.</w:t>
      </w:r>
    </w:p>
    <w:p>
      <w:pPr>
        <w:spacing w:before="100" w:after="20"/>
      </w:pPr>
      <w:r>
        <w:rPr>
          <w:b/>
          <w:color w:val="274E78"/>
          <w:sz w:val="20"/>
        </w:rPr>
        <w:t>What we deliver</w:t>
      </w:r>
    </w:p>
    <w:p>
      <w:pPr>
        <w:spacing w:after="100" w:line="252" w:lineRule="auto"/>
      </w:pPr>
      <w:r>
        <w:rPr>
          <w:sz w:val="19"/>
        </w:rPr>
        <w:t>BOQ line items; descriptions; units; quantities; work-package grouping; project breakdown; assumptions/exclusions; optional material/labour splits; client-format pricing columns where required.</w:t>
      </w:r>
    </w:p>
    <w:p>
      <w:pPr>
        <w:spacing w:before="100" w:after="20"/>
      </w:pPr>
      <w:r>
        <w:rPr>
          <w:b/>
          <w:color w:val="274E78"/>
          <w:sz w:val="20"/>
        </w:rPr>
        <w:t>Who needs it</w:t>
      </w:r>
    </w:p>
    <w:p>
      <w:pPr>
        <w:spacing w:after="100" w:line="252" w:lineRule="auto"/>
      </w:pPr>
      <w:r>
        <w:rPr>
          <w:sz w:val="19"/>
        </w:rPr>
        <w:t>Contractors, specialist subcontractors, QS practices, procurement teams and project teams requiring a clean commercial schedule.</w:t>
      </w:r>
    </w:p>
    <w:p>
      <w:pPr>
        <w:spacing w:before="100" w:after="20"/>
      </w:pPr>
      <w:r>
        <w:rPr>
          <w:b/>
          <w:color w:val="274E78"/>
          <w:sz w:val="20"/>
        </w:rPr>
        <w:t>Typical problems it solves</w:t>
      </w:r>
    </w:p>
    <w:p>
      <w:pPr>
        <w:spacing w:after="100" w:line="252" w:lineRule="auto"/>
      </w:pPr>
      <w:r>
        <w:rPr>
          <w:sz w:val="19"/>
        </w:rPr>
        <w:t>Quantities scattered across spreadsheets; inconsistent descriptions/units; poor scope breakdown; difficulty comparing supplier quotations; weak traceability to drawings.</w:t>
      </w:r>
    </w:p>
    <w:p>
      <w:pPr>
        <w:spacing w:before="100" w:after="20"/>
      </w:pPr>
      <w:r>
        <w:rPr>
          <w:b/>
          <w:color w:val="274E78"/>
          <w:sz w:val="20"/>
        </w:rPr>
        <w:t>Why choose us</w:t>
      </w:r>
    </w:p>
    <w:p>
      <w:pPr>
        <w:spacing w:after="100" w:line="252" w:lineRule="auto"/>
      </w:pPr>
      <w:r>
        <w:rPr>
          <w:sz w:val="19"/>
        </w:rPr>
        <w:t>The BOQ is built around the project’s actual package structure and the client’s commercial workflow, supporting easier review and pricing rather than merely presenting totals.</w:t>
      </w:r>
    </w:p>
    <w:p>
      <w:pPr>
        <w:spacing w:before="100" w:after="20"/>
      </w:pPr>
      <w:r>
        <w:rPr>
          <w:b/>
          <w:color w:val="274E78"/>
          <w:sz w:val="20"/>
        </w:rPr>
        <w:t>Typical turnaround</w:t>
      </w:r>
    </w:p>
    <w:p>
      <w:pPr>
        <w:spacing w:after="100" w:line="252" w:lineRule="auto"/>
      </w:pPr>
      <w:r>
        <w:rPr>
          <w:sz w:val="19"/>
        </w:rPr>
        <w:t>Normally delivered as part of takeoff/estimating workflow; timing is set by the tender or commercial programme.</w:t>
      </w:r>
    </w:p>
    <w:p>
      <w:r>
        <w:br w:type="page"/>
      </w:r>
    </w:p>
    <w:p>
      <w:pPr>
        <w:spacing w:after="100"/>
      </w:pPr>
      <w:r>
        <w:rPr>
          <w:b/>
          <w:color w:val="1F4E79"/>
          <w:sz w:val="42"/>
        </w:rPr>
        <w:t>4. Tender Support</w:t>
      </w:r>
    </w:p>
    <w:p>
      <w:pPr>
        <w:spacing w:before="100" w:after="20"/>
      </w:pPr>
      <w:r>
        <w:rPr>
          <w:b/>
          <w:color w:val="274E78"/>
          <w:sz w:val="20"/>
        </w:rPr>
        <w:t>What it is</w:t>
      </w:r>
    </w:p>
    <w:p>
      <w:pPr>
        <w:spacing w:after="100" w:line="252" w:lineRule="auto"/>
      </w:pPr>
      <w:r>
        <w:rPr>
          <w:sz w:val="19"/>
        </w:rPr>
        <w:t>Pre-construction support that helps a contractor or specialist subcontractor prepare an accurate and well-organized tender return within deadline.</w:t>
      </w:r>
    </w:p>
    <w:p>
      <w:pPr>
        <w:spacing w:before="100" w:after="20"/>
      </w:pPr>
      <w:r>
        <w:rPr>
          <w:b/>
          <w:color w:val="274E78"/>
          <w:sz w:val="20"/>
        </w:rPr>
        <w:t>What we deliver</w:t>
      </w:r>
    </w:p>
    <w:p>
      <w:pPr>
        <w:spacing w:after="100" w:line="252" w:lineRule="auto"/>
      </w:pPr>
      <w:r>
        <w:rPr>
          <w:sz w:val="19"/>
        </w:rPr>
        <w:t>Drawing/specification review; scope matrix; takeoff; BOQ; pricing support; assumptions/exclusions; clarification lists; supplier quotation comparison; tender schedules and revisions.</w:t>
      </w:r>
    </w:p>
    <w:p>
      <w:pPr>
        <w:spacing w:before="100" w:after="20"/>
      </w:pPr>
      <w:r>
        <w:rPr>
          <w:b/>
          <w:color w:val="274E78"/>
          <w:sz w:val="20"/>
        </w:rPr>
        <w:t>Who needs it</w:t>
      </w:r>
    </w:p>
    <w:p>
      <w:pPr>
        <w:spacing w:after="100" w:line="252" w:lineRule="auto"/>
      </w:pPr>
      <w:r>
        <w:rPr>
          <w:sz w:val="19"/>
        </w:rPr>
        <w:t>Façade/cladding subcontractors, fabricators, main contractors and specialist trade contractors handling multiple concurrent bids.</w:t>
      </w:r>
    </w:p>
    <w:p>
      <w:pPr>
        <w:spacing w:before="100" w:after="20"/>
      </w:pPr>
      <w:r>
        <w:rPr>
          <w:b/>
          <w:color w:val="274E78"/>
          <w:sz w:val="20"/>
        </w:rPr>
        <w:t>Typical problems it solves</w:t>
      </w:r>
    </w:p>
    <w:p>
      <w:pPr>
        <w:spacing w:after="100" w:line="252" w:lineRule="auto"/>
      </w:pPr>
      <w:r>
        <w:rPr>
          <w:sz w:val="19"/>
        </w:rPr>
        <w:t>Tender deadlines; incomplete information; specification conflicts; unclear responsibility boundaries; multiple bids arriving together; limited senior estimator time.</w:t>
      </w:r>
    </w:p>
    <w:p>
      <w:pPr>
        <w:spacing w:before="100" w:after="20"/>
      </w:pPr>
      <w:r>
        <w:rPr>
          <w:b/>
          <w:color w:val="274E78"/>
          <w:sz w:val="20"/>
        </w:rPr>
        <w:t>Why choose us</w:t>
      </w:r>
    </w:p>
    <w:p>
      <w:pPr>
        <w:spacing w:after="100" w:line="252" w:lineRule="auto"/>
      </w:pPr>
      <w:r>
        <w:rPr>
          <w:sz w:val="19"/>
        </w:rPr>
        <w:t>Works as an extension of the client’s estimating team and can follow the client’s templates, commercial rules, approval process and tender conventions.</w:t>
      </w:r>
    </w:p>
    <w:p>
      <w:pPr>
        <w:spacing w:before="100" w:after="20"/>
      </w:pPr>
      <w:r>
        <w:rPr>
          <w:b/>
          <w:color w:val="274E78"/>
          <w:sz w:val="20"/>
        </w:rPr>
        <w:t>Typical turnaround</w:t>
      </w:r>
    </w:p>
    <w:p>
      <w:pPr>
        <w:spacing w:after="100" w:line="252" w:lineRule="auto"/>
      </w:pPr>
      <w:r>
        <w:rPr>
          <w:sz w:val="19"/>
        </w:rPr>
        <w:t>Can be prioritized around the bid deadline. Company-published material cites 24–72 hours for suitable estimate/shop-drawing assignments.</w:t>
      </w:r>
    </w:p>
    <w:p>
      <w:r>
        <w:br w:type="page"/>
      </w:r>
    </w:p>
    <w:p>
      <w:pPr>
        <w:spacing w:after="100"/>
      </w:pPr>
      <w:r>
        <w:rPr>
          <w:b/>
          <w:color w:val="1F4E79"/>
          <w:sz w:val="42"/>
        </w:rPr>
        <w:t>5. Cost Estimating</w:t>
      </w:r>
    </w:p>
    <w:p>
      <w:pPr>
        <w:spacing w:before="100" w:after="20"/>
      </w:pPr>
      <w:r>
        <w:rPr>
          <w:b/>
          <w:color w:val="274E78"/>
          <w:sz w:val="20"/>
        </w:rPr>
        <w:t>What it is</w:t>
      </w:r>
    </w:p>
    <w:p>
      <w:pPr>
        <w:spacing w:after="100" w:line="252" w:lineRule="auto"/>
      </w:pPr>
      <w:r>
        <w:rPr>
          <w:sz w:val="19"/>
        </w:rPr>
        <w:t>Conversion of scope and quantities into an actionable project cost estimate or budget using project-specific, client or supplier rates.</w:t>
      </w:r>
    </w:p>
    <w:p>
      <w:pPr>
        <w:spacing w:before="100" w:after="20"/>
      </w:pPr>
      <w:r>
        <w:rPr>
          <w:b/>
          <w:color w:val="274E78"/>
          <w:sz w:val="20"/>
        </w:rPr>
        <w:t>What we deliver</w:t>
      </w:r>
    </w:p>
    <w:p>
      <w:pPr>
        <w:spacing w:after="100" w:line="252" w:lineRule="auto"/>
      </w:pPr>
      <w:r>
        <w:rPr>
          <w:sz w:val="19"/>
        </w:rPr>
        <w:t>Estimate workbook; material/labour/plant or other cost splits where required; rate application; supplier quote inputs; allowances; exclusions; commercial summary; revision/variance support.</w:t>
      </w:r>
    </w:p>
    <w:p>
      <w:pPr>
        <w:spacing w:before="100" w:after="20"/>
      </w:pPr>
      <w:r>
        <w:rPr>
          <w:b/>
          <w:color w:val="274E78"/>
          <w:sz w:val="20"/>
        </w:rPr>
        <w:t>Who needs it</w:t>
      </w:r>
    </w:p>
    <w:p>
      <w:pPr>
        <w:spacing w:after="100" w:line="252" w:lineRule="auto"/>
      </w:pPr>
      <w:r>
        <w:rPr>
          <w:sz w:val="19"/>
        </w:rPr>
        <w:t>Contractors, subcontractors, developers, consultants and project teams needing pre-contract or budget visibility.</w:t>
      </w:r>
    </w:p>
    <w:p>
      <w:pPr>
        <w:spacing w:before="100" w:after="20"/>
      </w:pPr>
      <w:r>
        <w:rPr>
          <w:b/>
          <w:color w:val="274E78"/>
          <w:sz w:val="20"/>
        </w:rPr>
        <w:t>Typical problems it solves</w:t>
      </w:r>
    </w:p>
    <w:p>
      <w:pPr>
        <w:spacing w:after="100" w:line="252" w:lineRule="auto"/>
      </w:pPr>
      <w:r>
        <w:rPr>
          <w:sz w:val="19"/>
        </w:rPr>
        <w:t>Inconsistent rate structures; outdated pricing; difficult supplier comparison; unclear allowances; uncontrolled revisions; weak audit trail.</w:t>
      </w:r>
    </w:p>
    <w:p>
      <w:pPr>
        <w:spacing w:before="100" w:after="20"/>
      </w:pPr>
      <w:r>
        <w:rPr>
          <w:b/>
          <w:color w:val="274E78"/>
          <w:sz w:val="20"/>
        </w:rPr>
        <w:t>Why choose us</w:t>
      </w:r>
    </w:p>
    <w:p>
      <w:pPr>
        <w:spacing w:after="100" w:line="252" w:lineRule="auto"/>
      </w:pPr>
      <w:r>
        <w:rPr>
          <w:sz w:val="19"/>
        </w:rPr>
        <w:t>Can be built around the client’s existing rate libraries, quotation records, templates and approval rules instead of forcing a generic format.</w:t>
      </w:r>
    </w:p>
    <w:p>
      <w:pPr>
        <w:spacing w:before="100" w:after="20"/>
      </w:pPr>
      <w:r>
        <w:rPr>
          <w:b/>
          <w:color w:val="274E78"/>
          <w:sz w:val="20"/>
        </w:rPr>
        <w:t>Typical turnaround</w:t>
      </w:r>
    </w:p>
    <w:p>
      <w:pPr>
        <w:spacing w:after="100" w:line="252" w:lineRule="auto"/>
      </w:pPr>
      <w:r>
        <w:rPr>
          <w:sz w:val="19"/>
        </w:rPr>
        <w:t>Project-specific; urgent/rush estimating can be accommodated subject to data quality and available capacity.</w:t>
      </w:r>
    </w:p>
    <w:p>
      <w:r>
        <w:br w:type="page"/>
      </w:r>
    </w:p>
    <w:p>
      <w:pPr>
        <w:spacing w:after="100"/>
      </w:pPr>
      <w:r>
        <w:rPr>
          <w:b/>
          <w:color w:val="1F4E79"/>
          <w:sz w:val="42"/>
        </w:rPr>
        <w:t>6. Shop Drawings</w:t>
      </w:r>
    </w:p>
    <w:p>
      <w:pPr>
        <w:spacing w:before="100" w:after="20"/>
      </w:pPr>
      <w:r>
        <w:rPr>
          <w:b/>
          <w:color w:val="274E78"/>
          <w:sz w:val="20"/>
        </w:rPr>
        <w:t>What it is</w:t>
      </w:r>
    </w:p>
    <w:p>
      <w:pPr>
        <w:spacing w:after="100" w:line="252" w:lineRule="auto"/>
      </w:pPr>
      <w:r>
        <w:rPr>
          <w:sz w:val="19"/>
        </w:rPr>
        <w:t>Production of detailed drawings used to coordinate, fabricate and/or install façade and related building-envelope components.</w:t>
      </w:r>
    </w:p>
    <w:p>
      <w:pPr>
        <w:spacing w:before="100" w:after="20"/>
      </w:pPr>
      <w:r>
        <w:rPr>
          <w:b/>
          <w:color w:val="274E78"/>
          <w:sz w:val="20"/>
        </w:rPr>
        <w:t>What we deliver</w:t>
      </w:r>
    </w:p>
    <w:p>
      <w:pPr>
        <w:spacing w:after="100" w:line="252" w:lineRule="auto"/>
      </w:pPr>
      <w:r>
        <w:rPr>
          <w:sz w:val="19"/>
        </w:rPr>
        <w:t>Plans, elevations, sections and details; panel layouts; setting-out; profiles and trims; bracket/rail arrangements; interfaces; dimensions; material references; revisions/registers where required.</w:t>
      </w:r>
    </w:p>
    <w:p>
      <w:pPr>
        <w:spacing w:before="100" w:after="20"/>
      </w:pPr>
      <w:r>
        <w:rPr>
          <w:b/>
          <w:color w:val="274E78"/>
          <w:sz w:val="20"/>
        </w:rPr>
        <w:t>Who needs it</w:t>
      </w:r>
    </w:p>
    <w:p>
      <w:pPr>
        <w:spacing w:after="100" w:line="252" w:lineRule="auto"/>
      </w:pPr>
      <w:r>
        <w:rPr>
          <w:sz w:val="19"/>
        </w:rPr>
        <w:t>Façade contractors, fabricators, installers, architects, engineers and manufacturers.</w:t>
      </w:r>
    </w:p>
    <w:p>
      <w:pPr>
        <w:spacing w:before="100" w:after="20"/>
      </w:pPr>
      <w:r>
        <w:rPr>
          <w:b/>
          <w:color w:val="274E78"/>
          <w:sz w:val="20"/>
        </w:rPr>
        <w:t>Typical problems it solves</w:t>
      </w:r>
    </w:p>
    <w:p>
      <w:pPr>
        <w:spacing w:after="100" w:line="252" w:lineRule="auto"/>
      </w:pPr>
      <w:r>
        <w:rPr>
          <w:sz w:val="19"/>
        </w:rPr>
        <w:t>Design information not detailed enough for fabrication; coordination conflicts; repetitive drawing production; internal drafting backlogs; revision pressure.</w:t>
      </w:r>
    </w:p>
    <w:p>
      <w:pPr>
        <w:spacing w:before="100" w:after="20"/>
      </w:pPr>
      <w:r>
        <w:rPr>
          <w:b/>
          <w:color w:val="274E78"/>
          <w:sz w:val="20"/>
        </w:rPr>
        <w:t>Why choose us</w:t>
      </w:r>
    </w:p>
    <w:p>
      <w:pPr>
        <w:spacing w:after="100" w:line="252" w:lineRule="auto"/>
      </w:pPr>
      <w:r>
        <w:rPr>
          <w:sz w:val="19"/>
        </w:rPr>
        <w:t>Combines façade subject knowledge with CAD/BIM workflows and can follow project standards and client drawing templates.</w:t>
      </w:r>
    </w:p>
    <w:p>
      <w:pPr>
        <w:spacing w:before="100" w:after="20"/>
      </w:pPr>
      <w:r>
        <w:rPr>
          <w:b/>
          <w:color w:val="274E78"/>
          <w:sz w:val="20"/>
        </w:rPr>
        <w:t>Typical turnaround</w:t>
      </w:r>
    </w:p>
    <w:p>
      <w:pPr>
        <w:spacing w:after="100" w:line="252" w:lineRule="auto"/>
      </w:pPr>
      <w:r>
        <w:rPr>
          <w:sz w:val="19"/>
        </w:rPr>
        <w:t>Company-published material cites 24–72 hours for many suitable shop-drawing requests; complex systems and multi-revision packages require project-specific programming.</w:t>
      </w:r>
    </w:p>
    <w:p>
      <w:r>
        <w:br w:type="page"/>
      </w:r>
    </w:p>
    <w:p>
      <w:pPr>
        <w:spacing w:after="100"/>
      </w:pPr>
      <w:r>
        <w:rPr>
          <w:b/>
          <w:color w:val="1F4E79"/>
          <w:sz w:val="42"/>
        </w:rPr>
        <w:t>7. Façade Engineering Support</w:t>
      </w:r>
    </w:p>
    <w:p>
      <w:pPr>
        <w:spacing w:before="100" w:after="20"/>
      </w:pPr>
      <w:r>
        <w:rPr>
          <w:b/>
          <w:color w:val="274E78"/>
          <w:sz w:val="20"/>
        </w:rPr>
        <w:t>What it is</w:t>
      </w:r>
    </w:p>
    <w:p>
      <w:pPr>
        <w:spacing w:after="100" w:line="252" w:lineRule="auto"/>
      </w:pPr>
      <w:r>
        <w:rPr>
          <w:sz w:val="19"/>
        </w:rPr>
        <w:t>Technical support around façade system build-ups, interfaces, detailing and design-development. Unless a project contract assigns regulated design responsibility to appropriately qualified parties, this should be positioned as engineering/detailing support rather than independent professional design certification.</w:t>
      </w:r>
    </w:p>
    <w:p>
      <w:pPr>
        <w:spacing w:before="100" w:after="20"/>
      </w:pPr>
      <w:r>
        <w:rPr>
          <w:b/>
          <w:color w:val="274E78"/>
          <w:sz w:val="20"/>
        </w:rPr>
        <w:t>What we deliver</w:t>
      </w:r>
    </w:p>
    <w:p>
      <w:pPr>
        <w:spacing w:after="100" w:line="252" w:lineRule="auto"/>
      </w:pPr>
      <w:r>
        <w:rPr>
          <w:sz w:val="19"/>
        </w:rPr>
        <w:t>System build-up documentation; detail development; connection/interface support; drawing review; coordination notes; material/system schedules; technical queries; design-development support.</w:t>
      </w:r>
    </w:p>
    <w:p>
      <w:pPr>
        <w:spacing w:before="100" w:after="20"/>
      </w:pPr>
      <w:r>
        <w:rPr>
          <w:b/>
          <w:color w:val="274E78"/>
          <w:sz w:val="20"/>
        </w:rPr>
        <w:t>Who needs it</w:t>
      </w:r>
    </w:p>
    <w:p>
      <w:pPr>
        <w:spacing w:after="100" w:line="252" w:lineRule="auto"/>
      </w:pPr>
      <w:r>
        <w:rPr>
          <w:sz w:val="19"/>
        </w:rPr>
        <w:t>Façade contractors, façade consultants, engineers, architects and manufacturers needing additional technical capacity.</w:t>
      </w:r>
    </w:p>
    <w:p>
      <w:pPr>
        <w:spacing w:before="100" w:after="20"/>
      </w:pPr>
      <w:r>
        <w:rPr>
          <w:b/>
          <w:color w:val="274E78"/>
          <w:sz w:val="20"/>
        </w:rPr>
        <w:t>Typical problems it solves</w:t>
      </w:r>
    </w:p>
    <w:p>
      <w:pPr>
        <w:spacing w:after="100" w:line="252" w:lineRule="auto"/>
      </w:pPr>
      <w:r>
        <w:rPr>
          <w:sz w:val="19"/>
        </w:rPr>
        <w:t>Unclear build-ups; structure/façade interface gaps; coordination issues; design changes; insufficient detailing bandwidth; incomplete technical documentation.</w:t>
      </w:r>
    </w:p>
    <w:p>
      <w:pPr>
        <w:spacing w:before="100" w:after="20"/>
      </w:pPr>
      <w:r>
        <w:rPr>
          <w:b/>
          <w:color w:val="274E78"/>
          <w:sz w:val="20"/>
        </w:rPr>
        <w:t>Why choose us</w:t>
      </w:r>
    </w:p>
    <w:p>
      <w:pPr>
        <w:spacing w:after="100" w:line="252" w:lineRule="auto"/>
      </w:pPr>
      <w:r>
        <w:rPr>
          <w:sz w:val="19"/>
        </w:rPr>
        <w:t>Strong integration between technical, estimating and drawing workflows can reduce information loss between commercial and design teams.</w:t>
      </w:r>
    </w:p>
    <w:p>
      <w:pPr>
        <w:spacing w:before="100" w:after="20"/>
      </w:pPr>
      <w:r>
        <w:rPr>
          <w:b/>
          <w:color w:val="274E78"/>
          <w:sz w:val="20"/>
        </w:rPr>
        <w:t>Typical turnaround</w:t>
      </w:r>
    </w:p>
    <w:p>
      <w:pPr>
        <w:spacing w:after="100" w:line="252" w:lineRule="auto"/>
      </w:pPr>
      <w:r>
        <w:rPr>
          <w:sz w:val="19"/>
        </w:rPr>
        <w:t>Highly dependent on design stage, package size, responsibility matrix and revision cycle.</w:t>
      </w:r>
    </w:p>
    <w:p>
      <w:r>
        <w:br w:type="page"/>
      </w:r>
    </w:p>
    <w:p>
      <w:pPr>
        <w:spacing w:after="100"/>
      </w:pPr>
      <w:r>
        <w:rPr>
          <w:b/>
          <w:color w:val="1F4E79"/>
          <w:sz w:val="42"/>
        </w:rPr>
        <w:t>8. Technical Documentation</w:t>
      </w:r>
    </w:p>
    <w:p>
      <w:pPr>
        <w:spacing w:before="100" w:after="20"/>
      </w:pPr>
      <w:r>
        <w:rPr>
          <w:b/>
          <w:color w:val="274E78"/>
          <w:sz w:val="20"/>
        </w:rPr>
        <w:t>What it is</w:t>
      </w:r>
    </w:p>
    <w:p>
      <w:pPr>
        <w:spacing w:after="100" w:line="252" w:lineRule="auto"/>
      </w:pPr>
      <w:r>
        <w:rPr>
          <w:sz w:val="19"/>
        </w:rPr>
        <w:t>Preparation and organization of technical records supporting procurement, fabrication, construction, handover and future project reference.</w:t>
      </w:r>
    </w:p>
    <w:p>
      <w:pPr>
        <w:spacing w:before="100" w:after="20"/>
      </w:pPr>
      <w:r>
        <w:rPr>
          <w:b/>
          <w:color w:val="274E78"/>
          <w:sz w:val="20"/>
        </w:rPr>
        <w:t>What we deliver</w:t>
      </w:r>
    </w:p>
    <w:p>
      <w:pPr>
        <w:spacing w:after="100" w:line="252" w:lineRule="auto"/>
      </w:pPr>
      <w:r>
        <w:rPr>
          <w:sz w:val="19"/>
        </w:rPr>
        <w:t>Technical submittal support; material/system schedules; drawing registers; revision records; installation/fabrication records; as-built information; scope/interface notes; organized digital document sets.</w:t>
      </w:r>
    </w:p>
    <w:p>
      <w:pPr>
        <w:spacing w:before="100" w:after="20"/>
      </w:pPr>
      <w:r>
        <w:rPr>
          <w:b/>
          <w:color w:val="274E78"/>
          <w:sz w:val="20"/>
        </w:rPr>
        <w:t>Who needs it</w:t>
      </w:r>
    </w:p>
    <w:p>
      <w:pPr>
        <w:spacing w:after="100" w:line="252" w:lineRule="auto"/>
      </w:pPr>
      <w:r>
        <w:rPr>
          <w:sz w:val="19"/>
        </w:rPr>
        <w:t>Contractors, subcontractors, fabricators, consultants and project teams with documentation-heavy workflows.</w:t>
      </w:r>
    </w:p>
    <w:p>
      <w:pPr>
        <w:spacing w:before="100" w:after="20"/>
      </w:pPr>
      <w:r>
        <w:rPr>
          <w:b/>
          <w:color w:val="274E78"/>
          <w:sz w:val="20"/>
        </w:rPr>
        <w:t>Typical problems it solves</w:t>
      </w:r>
    </w:p>
    <w:p>
      <w:pPr>
        <w:spacing w:after="100" w:line="252" w:lineRule="auto"/>
      </w:pPr>
      <w:r>
        <w:rPr>
          <w:sz w:val="19"/>
        </w:rPr>
        <w:t>Files scattered across folders; inconsistent naming; missing revisions; unclear document status; difficult handover; repetitive technical administration.</w:t>
      </w:r>
    </w:p>
    <w:p>
      <w:pPr>
        <w:spacing w:before="100" w:after="20"/>
      </w:pPr>
      <w:r>
        <w:rPr>
          <w:b/>
          <w:color w:val="274E78"/>
          <w:sz w:val="20"/>
        </w:rPr>
        <w:t>Why choose us</w:t>
      </w:r>
    </w:p>
    <w:p>
      <w:pPr>
        <w:spacing w:after="100" w:line="252" w:lineRule="auto"/>
      </w:pPr>
      <w:r>
        <w:rPr>
          <w:sz w:val="19"/>
        </w:rPr>
        <w:t>Outputs are designed to be controlled, traceable and aligned to project breakdowns, helping teams find the right information quickly.</w:t>
      </w:r>
    </w:p>
    <w:p>
      <w:pPr>
        <w:spacing w:before="100" w:after="20"/>
      </w:pPr>
      <w:r>
        <w:rPr>
          <w:b/>
          <w:color w:val="274E78"/>
          <w:sz w:val="20"/>
        </w:rPr>
        <w:t>Typical turnaround</w:t>
      </w:r>
    </w:p>
    <w:p>
      <w:pPr>
        <w:spacing w:after="100" w:line="252" w:lineRule="auto"/>
      </w:pPr>
      <w:r>
        <w:rPr>
          <w:sz w:val="19"/>
        </w:rPr>
        <w:t>Usually an ongoing project support activity rather than a fixed generic turnaround.</w:t>
      </w:r>
    </w:p>
    <w:p>
      <w:r>
        <w:br w:type="page"/>
      </w:r>
    </w:p>
    <w:p>
      <w:pPr>
        <w:spacing w:after="100"/>
      </w:pPr>
      <w:r>
        <w:rPr>
          <w:b/>
          <w:color w:val="1F4E79"/>
          <w:sz w:val="42"/>
        </w:rPr>
        <w:t>9. Retainer Resource Model</w:t>
      </w:r>
    </w:p>
    <w:p>
      <w:pPr>
        <w:spacing w:before="100" w:after="20"/>
      </w:pPr>
      <w:r>
        <w:rPr>
          <w:b/>
          <w:color w:val="274E78"/>
          <w:sz w:val="20"/>
        </w:rPr>
        <w:t>What it is</w:t>
      </w:r>
    </w:p>
    <w:p>
      <w:pPr>
        <w:spacing w:after="100" w:line="252" w:lineRule="auto"/>
      </w:pPr>
      <w:r>
        <w:rPr>
          <w:sz w:val="19"/>
        </w:rPr>
        <w:t>A dedicated monthly resource model providing recurring technical capacity aligned to the client’s own workflow, tools, templates and priorities.</w:t>
      </w:r>
    </w:p>
    <w:p>
      <w:pPr>
        <w:spacing w:before="100" w:after="20"/>
      </w:pPr>
      <w:r>
        <w:rPr>
          <w:b/>
          <w:color w:val="274E78"/>
          <w:sz w:val="20"/>
        </w:rPr>
        <w:t>What we deliver</w:t>
      </w:r>
    </w:p>
    <w:p>
      <w:pPr>
        <w:spacing w:after="100" w:line="252" w:lineRule="auto"/>
      </w:pPr>
      <w:r>
        <w:rPr>
          <w:sz w:val="19"/>
        </w:rPr>
        <w:t>Dedicated estimator/QS, façade draftsman/detailer, BIM resource, commercial support or technical-documentation resource; agreed capacity; recurring delivery; direct coordination with the client team.</w:t>
      </w:r>
    </w:p>
    <w:p>
      <w:pPr>
        <w:spacing w:before="100" w:after="20"/>
      </w:pPr>
      <w:r>
        <w:rPr>
          <w:b/>
          <w:color w:val="274E78"/>
          <w:sz w:val="20"/>
        </w:rPr>
        <w:t>Who needs it</w:t>
      </w:r>
    </w:p>
    <w:p>
      <w:pPr>
        <w:spacing w:after="100" w:line="252" w:lineRule="auto"/>
      </w:pPr>
      <w:r>
        <w:rPr>
          <w:sz w:val="19"/>
        </w:rPr>
        <w:t>Growing contractors and specialist subcontractors with recurring workloads that do not justify immediate local hiring, or firms needing predictable technical capacity.</w:t>
      </w:r>
    </w:p>
    <w:p>
      <w:pPr>
        <w:spacing w:before="100" w:after="20"/>
      </w:pPr>
      <w:r>
        <w:rPr>
          <w:b/>
          <w:color w:val="274E78"/>
          <w:sz w:val="20"/>
        </w:rPr>
        <w:t>Typical problems it solves</w:t>
      </w:r>
    </w:p>
    <w:p>
      <w:pPr>
        <w:spacing w:after="100" w:line="252" w:lineRule="auto"/>
      </w:pPr>
      <w:r>
        <w:rPr>
          <w:sz w:val="19"/>
        </w:rPr>
        <w:t>Recruitment delays; fixed overhead; fluctuating bid workload; specialist staff shortages; poor continuity from project-by-project outsourcing; need for a resource that learns the client’s system.</w:t>
      </w:r>
    </w:p>
    <w:p>
      <w:pPr>
        <w:spacing w:before="100" w:after="20"/>
      </w:pPr>
      <w:r>
        <w:rPr>
          <w:b/>
          <w:color w:val="274E78"/>
          <w:sz w:val="20"/>
        </w:rPr>
        <w:t>Why choose us</w:t>
      </w:r>
    </w:p>
    <w:p>
      <w:pPr>
        <w:spacing w:after="100" w:line="252" w:lineRule="auto"/>
      </w:pPr>
      <w:r>
        <w:rPr>
          <w:sz w:val="19"/>
        </w:rPr>
        <w:t>Positioned as an extension of the client team. Company-published messaging emphasizes dedicated resources, client workflow integration, client templates and UK/US/Canada standards conventions.</w:t>
      </w:r>
    </w:p>
    <w:p>
      <w:pPr>
        <w:spacing w:before="100" w:after="20"/>
      </w:pPr>
      <w:r>
        <w:rPr>
          <w:b/>
          <w:color w:val="274E78"/>
          <w:sz w:val="20"/>
        </w:rPr>
        <w:t>Typical turnaround</w:t>
      </w:r>
    </w:p>
    <w:p>
      <w:pPr>
        <w:spacing w:after="100" w:line="252" w:lineRule="auto"/>
      </w:pPr>
      <w:r>
        <w:rPr>
          <w:sz w:val="19"/>
        </w:rPr>
        <w:t>Ongoing monthly service. Hours, availability, exclusivity, communication channels, software access and SLA should be defined in the client agreement.</w:t>
      </w:r>
    </w:p>
    <w:p>
      <w:r>
        <w:br w:type="page"/>
      </w:r>
    </w:p>
    <w:p>
      <w:pPr>
        <w:spacing w:after="100"/>
      </w:pPr>
      <w:r>
        <w:rPr>
          <w:b/>
          <w:color w:val="1F4E79"/>
          <w:sz w:val="42"/>
        </w:rPr>
        <w:t>10. Hourly Resource Model</w:t>
      </w:r>
    </w:p>
    <w:p>
      <w:pPr>
        <w:spacing w:before="100" w:after="20"/>
      </w:pPr>
      <w:r>
        <w:rPr>
          <w:b/>
          <w:color w:val="274E78"/>
          <w:sz w:val="20"/>
        </w:rPr>
        <w:t>What it is</w:t>
      </w:r>
    </w:p>
    <w:p>
      <w:pPr>
        <w:spacing w:after="100" w:line="252" w:lineRule="auto"/>
      </w:pPr>
      <w:r>
        <w:rPr>
          <w:sz w:val="19"/>
        </w:rPr>
        <w:t>Flexible access to technical capacity billed on an hourly basis for irregular workloads, urgent tasks, short-term gaps or trial engagements.</w:t>
      </w:r>
    </w:p>
    <w:p>
      <w:pPr>
        <w:spacing w:before="100" w:after="20"/>
      </w:pPr>
      <w:r>
        <w:rPr>
          <w:b/>
          <w:color w:val="274E78"/>
          <w:sz w:val="20"/>
        </w:rPr>
        <w:t>What we deliver</w:t>
      </w:r>
    </w:p>
    <w:p>
      <w:pPr>
        <w:spacing w:after="100" w:line="252" w:lineRule="auto"/>
      </w:pPr>
      <w:r>
        <w:rPr>
          <w:sz w:val="19"/>
        </w:rPr>
        <w:t>Estimator/drafter/BIM/documentation/commercial support hours; overflow tasks; revision assistance; urgent support; agreed availability windows.</w:t>
      </w:r>
    </w:p>
    <w:p>
      <w:pPr>
        <w:spacing w:before="100" w:after="20"/>
      </w:pPr>
      <w:r>
        <w:rPr>
          <w:b/>
          <w:color w:val="274E78"/>
          <w:sz w:val="20"/>
        </w:rPr>
        <w:t>Who needs it</w:t>
      </w:r>
    </w:p>
    <w:p>
      <w:pPr>
        <w:spacing w:after="100" w:line="252" w:lineRule="auto"/>
      </w:pPr>
      <w:r>
        <w:rPr>
          <w:sz w:val="19"/>
        </w:rPr>
        <w:t>Clients with unpredictable workload, occasional specialist needs, temporary staff gaps or a preference to test the working relationship before moving to a retainer.</w:t>
      </w:r>
    </w:p>
    <w:p>
      <w:pPr>
        <w:spacing w:before="100" w:after="20"/>
      </w:pPr>
      <w:r>
        <w:rPr>
          <w:b/>
          <w:color w:val="274E78"/>
          <w:sz w:val="20"/>
        </w:rPr>
        <w:t>Typical problems it solves</w:t>
      </w:r>
    </w:p>
    <w:p>
      <w:pPr>
        <w:spacing w:after="100" w:line="252" w:lineRule="auto"/>
      </w:pPr>
      <w:r>
        <w:rPr>
          <w:sz w:val="19"/>
        </w:rPr>
        <w:t>Full-time hiring is not justified; workload fluctuates; deadlines are short; internal resource is temporarily unavailable; one-off specialist work is required.</w:t>
      </w:r>
    </w:p>
    <w:p>
      <w:pPr>
        <w:spacing w:before="100" w:after="20"/>
      </w:pPr>
      <w:r>
        <w:rPr>
          <w:b/>
          <w:color w:val="274E78"/>
          <w:sz w:val="20"/>
        </w:rPr>
        <w:t>Why choose us</w:t>
      </w:r>
    </w:p>
    <w:p>
      <w:pPr>
        <w:spacing w:after="100" w:line="252" w:lineRule="auto"/>
      </w:pPr>
      <w:r>
        <w:rPr>
          <w:sz w:val="19"/>
        </w:rPr>
        <w:t>Lower commitment than a monthly dedicated resource while retaining access to specialist capability and standardized delivery processes.</w:t>
      </w:r>
    </w:p>
    <w:p>
      <w:pPr>
        <w:spacing w:before="100" w:after="20"/>
      </w:pPr>
      <w:r>
        <w:rPr>
          <w:b/>
          <w:color w:val="274E78"/>
          <w:sz w:val="20"/>
        </w:rPr>
        <w:t>Typical turnaround</w:t>
      </w:r>
    </w:p>
    <w:p>
      <w:pPr>
        <w:spacing w:after="100" w:line="252" w:lineRule="auto"/>
      </w:pPr>
      <w:r>
        <w:rPr>
          <w:sz w:val="19"/>
        </w:rPr>
        <w:t>Agreed hourly rate and availability; turnaround depends on scope, queue priority and required review cycles.</w:t>
      </w:r>
    </w:p>
    <w:p>
      <w:r>
        <w:br w:type="page"/>
      </w:r>
    </w:p>
    <w:p>
      <w:pPr>
        <w:pStyle w:val="Heading1"/>
      </w:pPr>
      <w:r>
        <w:t>Recommended End-to-End Delivery Workflow</w:t>
      </w:r>
    </w:p>
    <w:p>
      <w:pPr>
        <w:pStyle w:val="ListNumber"/>
        <w:spacing w:after="80"/>
      </w:pPr>
      <w:r>
        <w:t>1. Receive tender/project package: drawings, specifications, schedules, addenda, client template and deadline.</w:t>
      </w:r>
    </w:p>
    <w:p>
      <w:pPr>
        <w:pStyle w:val="ListNumber"/>
        <w:spacing w:after="80"/>
      </w:pPr>
      <w:r>
        <w:t>2. Intake and scope check: identify package boundaries, missing information, drawing revisions and commercial assumptions.</w:t>
      </w:r>
    </w:p>
    <w:p>
      <w:pPr>
        <w:pStyle w:val="ListNumber"/>
        <w:spacing w:after="80"/>
      </w:pPr>
      <w:r>
        <w:t>3. Project breakdown: organize by building, zone, block, floor, elevation, system or work package.</w:t>
      </w:r>
    </w:p>
    <w:p>
      <w:pPr>
        <w:pStyle w:val="ListNumber"/>
        <w:spacing w:after="80"/>
      </w:pPr>
      <w:r>
        <w:t>4. Technical interpretation: identify façade build-ups, materials, thicknesses, spacing, components and interfaces that affect quantity and cost.</w:t>
      </w:r>
    </w:p>
    <w:p>
      <w:pPr>
        <w:pStyle w:val="ListNumber"/>
        <w:spacing w:after="80"/>
      </w:pPr>
      <w:r>
        <w:t>5. Measurement: perform traceable quantity takeoff with drawing references and revision control.</w:t>
      </w:r>
    </w:p>
    <w:p>
      <w:pPr>
        <w:pStyle w:val="ListNumber"/>
        <w:spacing w:after="80"/>
      </w:pPr>
      <w:r>
        <w:t>6. Commercial build: produce BOQ/estimate, apply rates or supplier quotations, and document assumptions/exclusions.</w:t>
      </w:r>
    </w:p>
    <w:p>
      <w:pPr>
        <w:pStyle w:val="ListNumber"/>
        <w:spacing w:after="80"/>
      </w:pPr>
      <w:r>
        <w:t>7. Technical output: prepare shop drawings, schedules, documentation or other contracted deliverables.</w:t>
      </w:r>
    </w:p>
    <w:p>
      <w:pPr>
        <w:pStyle w:val="ListNumber"/>
        <w:spacing w:after="80"/>
      </w:pPr>
      <w:r>
        <w:t>8. QA review: check quantities, formulas, drawing references, system consistency, revisions and requested format.</w:t>
      </w:r>
    </w:p>
    <w:p>
      <w:pPr>
        <w:pStyle w:val="ListNumber"/>
        <w:spacing w:after="80"/>
      </w:pPr>
      <w:r>
        <w:t>9. Client review/clarification: issue queries and incorporate agreed responses or revisions.</w:t>
      </w:r>
    </w:p>
    <w:p>
      <w:pPr>
        <w:pStyle w:val="ListNumber"/>
        <w:spacing w:after="80"/>
      </w:pPr>
      <w:r>
        <w:t>10. Final submission and archive: deliver controlled files and retain a project record for future changes and variations.</w:t>
      </w:r>
    </w:p>
    <w:p>
      <w:pPr>
        <w:pStyle w:val="Heading1"/>
      </w:pPr>
      <w:r>
        <w:t>Positioning Summary</w:t>
      </w:r>
    </w:p>
    <w:p>
      <w:pPr>
        <w:pStyle w:val="ListBullet"/>
      </w:pPr>
      <w:r>
        <w:t>Specialist construction estimating and technical delivery rather than generic back-office outsourcing.</w:t>
      </w:r>
    </w:p>
    <w:p>
      <w:pPr>
        <w:pStyle w:val="ListBullet"/>
      </w:pPr>
      <w:r>
        <w:t>An integrated service chain from takeoff and BOQ through estimating, shop drawings and documentation.</w:t>
      </w:r>
    </w:p>
    <w:p>
      <w:pPr>
        <w:pStyle w:val="ListBullet"/>
      </w:pPr>
      <w:r>
        <w:t>Flexible engagement: individual projects, hourly support or dedicated monthly resources.</w:t>
      </w:r>
    </w:p>
    <w:p>
      <w:pPr>
        <w:pStyle w:val="ListBullet"/>
      </w:pPr>
      <w:r>
        <w:t>Adaptable to UK, US and Canadian project conventions and client-specific templates.</w:t>
      </w:r>
    </w:p>
    <w:p>
      <w:pPr>
        <w:pStyle w:val="ListBullet"/>
      </w:pPr>
      <w:r>
        <w:t>Engineering + commercial + digital capability, with the company publicly describing both construction technical services and software development.</w:t>
      </w:r>
    </w:p>
    <w:p>
      <w:pPr>
        <w:pStyle w:val="ListBullet"/>
      </w:pPr>
      <w:r>
        <w:t>Company-published performance messaging includes 24–72 hour delivery on suitable estimates/shop drawings, 98% on-time delivery, and 300+ successful projects; these should be presented as company-reported claims, not independently audited metrics.</w:t>
      </w:r>
    </w:p>
    <w:p>
      <w:pPr>
        <w:pStyle w:val="Heading1"/>
      </w:pPr>
      <w:r>
        <w:t>Research &amp; Verification Notes</w:t>
      </w:r>
    </w:p>
    <w:p>
      <w:pPr>
        <w:pStyle w:val="ListBullet"/>
      </w:pPr>
      <w:r>
        <w:t>Current public LinkedIn job information describes CoExtend Global LLP as a technical services company specializing in construction estimating, quantity takeoffs, drafting and software development for clients in the UK, US and Canada, with services across cost estimation, tender support, shop/fabrication drawings and as-built documentation.</w:t>
      </w:r>
    </w:p>
    <w:p>
      <w:pPr>
        <w:pStyle w:val="ListBullet"/>
      </w:pPr>
      <w:r>
        <w:t>Public company-related LinkedIn material also describes AutoCAD, Revit, Bluebeam and PlanSwift in construction workflows and React, Next.js, Node.js and React Native in software-development workflows.</w:t>
      </w:r>
    </w:p>
    <w:p>
      <w:pPr>
        <w:pStyle w:val="ListBullet"/>
      </w:pPr>
      <w:r>
        <w:t>The 24–72 hour, 98% on-time and 300+ project figures are treated as company-published claims.</w:t>
      </w:r>
    </w:p>
    <w:p>
      <w:pPr>
        <w:pStyle w:val="ListBullet"/>
      </w:pPr>
      <w:r>
        <w:t>Façade engineering services are described here conservatively as technical/detailing support unless formal professional design responsibility is contractually and legally assigned to qualified parties.</w:t>
      </w:r>
    </w:p>
    <w:p>
      <w:pPr>
        <w:pStyle w:val="ListBullet"/>
      </w:pPr>
      <w:r>
        <w:t>The detailed service descriptions also incorporate the operational model developed in our previous discussions; these elements are internal working context and should not automatically be treated as independently verified public claims.</w:t>
      </w:r>
    </w:p>
    <w:p>
      <w:pPr>
        <w:pStyle w:val="Heading1"/>
      </w:pPr>
      <w:r>
        <w:t>Sources</w:t>
      </w:r>
    </w:p>
    <w:p>
      <w:r>
        <w:t>1. LinkedIn — CoExtend Global LLP, “Façade Estimator / Commercial Assistant (Remote)” job listing, current public listing researched 8 September 2026.</w:t>
      </w:r>
    </w:p>
    <w:p>
      <w:r>
        <w:t>2. Public LinkedIn profile/activity associated with CoExtend Global leadership, including published service, standards, turnaround and project-count positioning, researched 8 September 2026.</w:t>
      </w:r>
    </w:p>
    <w:p>
      <w:r>
        <w:t>3. Internal CoExtend Global service scope and operating-model discussions used to structure the portfolio and customer-facing descriptions.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CoExtend Global LLP | Services Profile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CoExtend Global LLP - Services Profile</dc:title>
  <dc:subject>Service portfolio</dc:subject>
  <dc:creator>CoExtend Global LLP</dc:creator>
  <cp:keywords>facade estimating, quantity takeoff, BOQ, tender support, shop drawings, facade engineering, technical documentation, retainer, hourly resource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