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Aptos Display" w:hAnsi="Aptos Display"/>
          <w:b/>
          <w:color w:val="16324F"/>
          <w:sz w:val="56"/>
        </w:rPr>
        <w:t>03 - Company Capabilities</w:t>
      </w:r>
    </w:p>
    <w:p>
      <w:pPr>
        <w:spacing w:after="360"/>
      </w:pPr>
      <w:r>
        <w:rPr>
          <w:rFonts w:ascii="Aptos" w:hAnsi="Aptos"/>
          <w:color w:val="53606E"/>
          <w:sz w:val="23"/>
        </w:rPr>
        <w:t>CoExtend Global LLP | Technical, estimating, BIM, façade and software delivery capability profile</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r>
              <w:rPr>
                <w:b/>
                <w:color w:val="16324F"/>
              </w:rPr>
              <w:t xml:space="preserve">Purpose: </w:t>
            </w:r>
            <w:r>
              <w:t>This document consolidates CoExtend Global's operational capabilities for use in company profiles, proposals, sales material, capability statements and internal planning. Publicly sourced facts are identified separately from capability detail developed from the company information and workflows discussed with us.</w:t>
            </w:r>
          </w:p>
        </w:tc>
      </w:tr>
    </w:tbl>
    <w:p>
      <w:pPr>
        <w:spacing w:after="0"/>
      </w:pPr>
    </w:p>
    <w:p>
      <w:pPr>
        <w:pStyle w:val="Heading1"/>
        <w:spacing w:before="180" w:after="100"/>
      </w:pPr>
      <w:r>
        <w:t>1. Capability at a Glance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top"/>
            <w:tcMar>
              <w:top w:w="100" w:type="dxa"/>
              <w:start w:w="120" w:type="dxa"/>
              <w:bottom w:w="100" w:type="dxa"/>
              <w:end w:w="120" w:type="dxa"/>
            </w:tcMar>
            <w:shd w:fill="16324F"/>
          </w:tcPr>
          <w:p>
            <w:pPr>
              <w:spacing w:after="60"/>
            </w:pPr>
            <w:r>
              <w:rPr>
                <w:rFonts w:ascii="Aptos" w:hAnsi="Aptos"/>
                <w:b/>
                <w:color w:val="FFFFFF"/>
                <w:sz w:val="19"/>
              </w:rPr>
              <w:t>Capability area</w:t>
            </w:r>
          </w:p>
        </w:tc>
        <w:tc>
          <w:tcPr>
            <w:tcW w:type="dxa" w:w="7056"/>
            <w:vAlign w:val="top"/>
            <w:tcMar>
              <w:top w:w="100" w:type="dxa"/>
              <w:start w:w="120" w:type="dxa"/>
              <w:bottom w:w="100" w:type="dxa"/>
              <w:end w:w="120" w:type="dxa"/>
            </w:tcMar>
            <w:shd w:fill="16324F"/>
          </w:tcPr>
          <w:p>
            <w:pPr>
              <w:spacing w:after="60"/>
            </w:pPr>
            <w:r>
              <w:rPr>
                <w:rFonts w:ascii="Aptos" w:hAnsi="Aptos"/>
                <w:b/>
                <w:color w:val="FFFFFF"/>
                <w:sz w:val="19"/>
              </w:rPr>
              <w:t>Current capability position</w:t>
            </w:r>
          </w:p>
        </w:tc>
      </w:tr>
      <w:tr>
        <w:tc>
          <w:tcPr>
            <w:tcW w:type="dxa" w:w="5083"/>
            <w:vAlign w:val="top"/>
            <w:tcMar>
              <w:top w:w="100" w:type="dxa"/>
              <w:start w:w="120" w:type="dxa"/>
              <w:bottom w:w="100" w:type="dxa"/>
              <w:end w:w="120" w:type="dxa"/>
            </w:tcMar>
          </w:tcPr>
          <w:p>
            <w:pPr>
              <w:spacing w:after="60"/>
            </w:pPr>
            <w:r>
              <w:rPr>
                <w:rFonts w:ascii="Aptos" w:hAnsi="Aptos"/>
                <w:sz w:val="19"/>
              </w:rPr>
              <w:t>Core construction</w:t>
            </w:r>
          </w:p>
        </w:tc>
        <w:tc>
          <w:tcPr>
            <w:tcW w:type="dxa" w:w="5083"/>
            <w:vAlign w:val="top"/>
            <w:tcMar>
              <w:top w:w="100" w:type="dxa"/>
              <w:start w:w="120" w:type="dxa"/>
              <w:bottom w:w="100" w:type="dxa"/>
              <w:end w:w="120" w:type="dxa"/>
            </w:tcMar>
          </w:tcPr>
          <w:p>
            <w:pPr>
              <w:spacing w:after="60"/>
            </w:pPr>
            <w:r>
              <w:rPr>
                <w:rFonts w:ascii="Aptos" w:hAnsi="Aptos"/>
                <w:sz w:val="19"/>
              </w:rPr>
              <w:t>Construction estimating, quantity take-off, BOQ preparation, tender support, cost estimating, commercial support and project documentation.</w:t>
            </w:r>
          </w:p>
        </w:tc>
      </w:tr>
      <w:tr>
        <w:tc>
          <w:tcPr>
            <w:tcW w:type="dxa" w:w="5083"/>
            <w:vAlign w:val="top"/>
            <w:tcMar>
              <w:top w:w="100" w:type="dxa"/>
              <w:start w:w="120" w:type="dxa"/>
              <w:bottom w:w="100" w:type="dxa"/>
              <w:end w:w="120" w:type="dxa"/>
            </w:tcMar>
            <w:shd w:fill="F4F7FA"/>
          </w:tcPr>
          <w:p>
            <w:pPr>
              <w:spacing w:after="60"/>
            </w:pPr>
            <w:r>
              <w:rPr>
                <w:rFonts w:ascii="Aptos" w:hAnsi="Aptos"/>
                <w:sz w:val="19"/>
              </w:rPr>
              <w:t>Façade / envelope</w:t>
            </w:r>
          </w:p>
        </w:tc>
        <w:tc>
          <w:tcPr>
            <w:tcW w:type="dxa" w:w="5083"/>
            <w:vAlign w:val="top"/>
            <w:tcMar>
              <w:top w:w="100" w:type="dxa"/>
              <w:start w:w="120" w:type="dxa"/>
              <w:bottom w:w="100" w:type="dxa"/>
              <w:end w:w="120" w:type="dxa"/>
            </w:tcMar>
            <w:shd w:fill="F4F7FA"/>
          </w:tcPr>
          <w:p>
            <w:pPr>
              <w:spacing w:after="60"/>
            </w:pPr>
            <w:r>
              <w:rPr>
                <w:rFonts w:ascii="Aptos" w:hAnsi="Aptos"/>
                <w:sz w:val="19"/>
              </w:rPr>
              <w:t>Façade estimating, cladding take-offs, detailing support, shop/fabrication drawings, façade engineering support and technical documentation.</w:t>
            </w:r>
          </w:p>
        </w:tc>
      </w:tr>
      <w:tr>
        <w:tc>
          <w:tcPr>
            <w:tcW w:type="dxa" w:w="5083"/>
            <w:vAlign w:val="top"/>
            <w:tcMar>
              <w:top w:w="100" w:type="dxa"/>
              <w:start w:w="120" w:type="dxa"/>
              <w:bottom w:w="100" w:type="dxa"/>
              <w:end w:w="120" w:type="dxa"/>
            </w:tcMar>
          </w:tcPr>
          <w:p>
            <w:pPr>
              <w:spacing w:after="60"/>
            </w:pPr>
            <w:r>
              <w:rPr>
                <w:rFonts w:ascii="Aptos" w:hAnsi="Aptos"/>
                <w:sz w:val="19"/>
              </w:rPr>
              <w:t>CAD / BIM</w:t>
            </w:r>
          </w:p>
        </w:tc>
        <w:tc>
          <w:tcPr>
            <w:tcW w:type="dxa" w:w="5083"/>
            <w:vAlign w:val="top"/>
            <w:tcMar>
              <w:top w:w="100" w:type="dxa"/>
              <w:start w:w="120" w:type="dxa"/>
              <w:bottom w:w="100" w:type="dxa"/>
              <w:end w:w="120" w:type="dxa"/>
            </w:tcMar>
          </w:tcPr>
          <w:p>
            <w:pPr>
              <w:spacing w:after="60"/>
            </w:pPr>
            <w:r>
              <w:rPr>
                <w:rFonts w:ascii="Aptos" w:hAnsi="Aptos"/>
                <w:sz w:val="19"/>
              </w:rPr>
              <w:t>2D CAD drafting, BIM modelling/detailing support and coordinated drawing production; current published toolset includes AutoCAD and Revit.</w:t>
            </w:r>
          </w:p>
        </w:tc>
      </w:tr>
      <w:tr>
        <w:tc>
          <w:tcPr>
            <w:tcW w:type="dxa" w:w="5083"/>
            <w:vAlign w:val="top"/>
            <w:tcMar>
              <w:top w:w="100" w:type="dxa"/>
              <w:start w:w="120" w:type="dxa"/>
              <w:bottom w:w="100" w:type="dxa"/>
              <w:end w:w="120" w:type="dxa"/>
            </w:tcMar>
            <w:shd w:fill="F4F7FA"/>
          </w:tcPr>
          <w:p>
            <w:pPr>
              <w:spacing w:after="60"/>
            </w:pPr>
            <w:r>
              <w:rPr>
                <w:rFonts w:ascii="Aptos" w:hAnsi="Aptos"/>
                <w:sz w:val="19"/>
              </w:rPr>
              <w:t>Measurement / review</w:t>
            </w:r>
          </w:p>
        </w:tc>
        <w:tc>
          <w:tcPr>
            <w:tcW w:type="dxa" w:w="5083"/>
            <w:vAlign w:val="top"/>
            <w:tcMar>
              <w:top w:w="100" w:type="dxa"/>
              <w:start w:w="120" w:type="dxa"/>
              <w:bottom w:w="100" w:type="dxa"/>
              <w:end w:w="120" w:type="dxa"/>
            </w:tcMar>
            <w:shd w:fill="F4F7FA"/>
          </w:tcPr>
          <w:p>
            <w:pPr>
              <w:spacing w:after="60"/>
            </w:pPr>
            <w:r>
              <w:rPr>
                <w:rFonts w:ascii="Aptos" w:hAnsi="Aptos"/>
                <w:sz w:val="19"/>
              </w:rPr>
              <w:t>Drawing review, mark-up, measurement, scope breakdown, element-level quantities and structured deliverables; Bluebeam and PlanSwift are publicly referenced.</w:t>
            </w:r>
          </w:p>
        </w:tc>
      </w:tr>
      <w:tr>
        <w:tc>
          <w:tcPr>
            <w:tcW w:type="dxa" w:w="5083"/>
            <w:vAlign w:val="top"/>
            <w:tcMar>
              <w:top w:w="100" w:type="dxa"/>
              <w:start w:w="120" w:type="dxa"/>
              <w:bottom w:w="100" w:type="dxa"/>
              <w:end w:w="120" w:type="dxa"/>
            </w:tcMar>
          </w:tcPr>
          <w:p>
            <w:pPr>
              <w:spacing w:after="60"/>
            </w:pPr>
            <w:r>
              <w:rPr>
                <w:rFonts w:ascii="Aptos" w:hAnsi="Aptos"/>
                <w:sz w:val="19"/>
              </w:rPr>
              <w:t>Digital / software</w:t>
            </w:r>
          </w:p>
        </w:tc>
        <w:tc>
          <w:tcPr>
            <w:tcW w:type="dxa" w:w="5083"/>
            <w:vAlign w:val="top"/>
            <w:tcMar>
              <w:top w:w="100" w:type="dxa"/>
              <w:start w:w="120" w:type="dxa"/>
              <w:bottom w:w="100" w:type="dxa"/>
              <w:end w:w="120" w:type="dxa"/>
            </w:tcMar>
          </w:tcPr>
          <w:p>
            <w:pPr>
              <w:spacing w:after="60"/>
            </w:pPr>
            <w:r>
              <w:rPr>
                <w:rFonts w:ascii="Aptos" w:hAnsi="Aptos"/>
                <w:sz w:val="19"/>
              </w:rPr>
              <w:t>Custom web and mobile application development, SaaS products and cloud solutions; published technology stack includes React, Next.js, Node.js and React Native.</w:t>
            </w:r>
          </w:p>
        </w:tc>
      </w:tr>
      <w:tr>
        <w:tc>
          <w:tcPr>
            <w:tcW w:type="dxa" w:w="5083"/>
            <w:vAlign w:val="top"/>
            <w:tcMar>
              <w:top w:w="100" w:type="dxa"/>
              <w:start w:w="120" w:type="dxa"/>
              <w:bottom w:w="100" w:type="dxa"/>
              <w:end w:w="120" w:type="dxa"/>
            </w:tcMar>
            <w:shd w:fill="F4F7FA"/>
          </w:tcPr>
          <w:p>
            <w:pPr>
              <w:spacing w:after="60"/>
            </w:pPr>
            <w:r>
              <w:rPr>
                <w:rFonts w:ascii="Aptos" w:hAnsi="Aptos"/>
                <w:sz w:val="19"/>
              </w:rPr>
              <w:t>Delivery model</w:t>
            </w:r>
          </w:p>
        </w:tc>
        <w:tc>
          <w:tcPr>
            <w:tcW w:type="dxa" w:w="5083"/>
            <w:vAlign w:val="top"/>
            <w:tcMar>
              <w:top w:w="100" w:type="dxa"/>
              <w:start w:w="120" w:type="dxa"/>
              <w:bottom w:w="100" w:type="dxa"/>
              <w:end w:w="120" w:type="dxa"/>
            </w:tcMar>
            <w:shd w:fill="F4F7FA"/>
          </w:tcPr>
          <w:p>
            <w:pPr>
              <w:spacing w:after="60"/>
            </w:pPr>
            <w:r>
              <w:rPr>
                <w:rFonts w:ascii="Aptos" w:hAnsi="Aptos"/>
                <w:sz w:val="19"/>
              </w:rPr>
              <w:t>Project-based delivery plus dedicated monthly/retainer resources and hourly/on-demand resources.</w:t>
            </w:r>
          </w:p>
        </w:tc>
      </w:tr>
      <w:tr>
        <w:tc>
          <w:tcPr>
            <w:tcW w:type="dxa" w:w="5083"/>
            <w:vAlign w:val="top"/>
            <w:tcMar>
              <w:top w:w="100" w:type="dxa"/>
              <w:start w:w="120" w:type="dxa"/>
              <w:bottom w:w="100" w:type="dxa"/>
              <w:end w:w="120" w:type="dxa"/>
            </w:tcMar>
          </w:tcPr>
          <w:p>
            <w:pPr>
              <w:spacing w:after="60"/>
            </w:pPr>
            <w:r>
              <w:rPr>
                <w:rFonts w:ascii="Aptos" w:hAnsi="Aptos"/>
                <w:sz w:val="19"/>
              </w:rPr>
              <w:t>Geographic support</w:t>
            </w:r>
          </w:p>
        </w:tc>
        <w:tc>
          <w:tcPr>
            <w:tcW w:type="dxa" w:w="5083"/>
            <w:vAlign w:val="top"/>
            <w:tcMar>
              <w:top w:w="100" w:type="dxa"/>
              <w:start w:w="120" w:type="dxa"/>
              <w:bottom w:w="100" w:type="dxa"/>
              <w:end w:w="120" w:type="dxa"/>
            </w:tcMar>
          </w:tcPr>
          <w:p>
            <w:pPr>
              <w:spacing w:after="60"/>
            </w:pPr>
            <w:r>
              <w:rPr>
                <w:rFonts w:ascii="Aptos" w:hAnsi="Aptos"/>
                <w:sz w:val="19"/>
              </w:rPr>
              <w:t>UK, US and Canada are explicitly identified in company-facing material; delivery is remote/global in nature.</w:t>
            </w:r>
          </w:p>
        </w:tc>
      </w:tr>
    </w:tbl>
    <w:p>
      <w:pPr>
        <w:pStyle w:val="Heading1"/>
        <w:spacing w:before="180" w:after="100"/>
      </w:pPr>
      <w:r>
        <w:t>2. Software You Use</w:t>
      </w:r>
    </w:p>
    <w:p>
      <w:pPr>
        <w:spacing w:after="120" w:line="259" w:lineRule="auto"/>
      </w:pPr>
      <w:r>
        <w:t>The published company material and recent company-linked posts identify a practical production stack spanning construction/engineering tools and modern software development tools.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top"/>
            <w:tcMar>
              <w:top w:w="100" w:type="dxa"/>
              <w:start w:w="120" w:type="dxa"/>
              <w:bottom w:w="100" w:type="dxa"/>
              <w:end w:w="120" w:type="dxa"/>
            </w:tcMar>
            <w:shd w:fill="16324F"/>
          </w:tcPr>
          <w:p>
            <w:pPr>
              <w:spacing w:after="60"/>
            </w:pPr>
            <w:r>
              <w:rPr>
                <w:rFonts w:ascii="Aptos" w:hAnsi="Aptos"/>
                <w:b/>
                <w:color w:val="FFFFFF"/>
                <w:sz w:val="19"/>
              </w:rPr>
              <w:t>Category</w:t>
            </w:r>
          </w:p>
        </w:tc>
        <w:tc>
          <w:tcPr>
            <w:tcW w:type="dxa" w:w="2952"/>
            <w:vAlign w:val="top"/>
            <w:tcMar>
              <w:top w:w="100" w:type="dxa"/>
              <w:start w:w="120" w:type="dxa"/>
              <w:bottom w:w="100" w:type="dxa"/>
              <w:end w:w="120" w:type="dxa"/>
            </w:tcMar>
            <w:shd w:fill="16324F"/>
          </w:tcPr>
          <w:p>
            <w:pPr>
              <w:spacing w:after="60"/>
            </w:pPr>
            <w:r>
              <w:rPr>
                <w:rFonts w:ascii="Aptos" w:hAnsi="Aptos"/>
                <w:b/>
                <w:color w:val="FFFFFF"/>
                <w:sz w:val="19"/>
              </w:rPr>
              <w:t>Software / technology</w:t>
            </w:r>
          </w:p>
        </w:tc>
        <w:tc>
          <w:tcPr>
            <w:tcW w:type="dxa" w:w="4680"/>
            <w:vAlign w:val="top"/>
            <w:tcMar>
              <w:top w:w="100" w:type="dxa"/>
              <w:start w:w="120" w:type="dxa"/>
              <w:bottom w:w="100" w:type="dxa"/>
              <w:end w:w="120" w:type="dxa"/>
            </w:tcMar>
            <w:shd w:fill="16324F"/>
          </w:tcPr>
          <w:p>
            <w:pPr>
              <w:spacing w:after="60"/>
            </w:pPr>
            <w:r>
              <w:rPr>
                <w:rFonts w:ascii="Aptos" w:hAnsi="Aptos"/>
                <w:b/>
                <w:color w:val="FFFFFF"/>
                <w:sz w:val="19"/>
              </w:rPr>
              <w:t>How it supports delivery</w:t>
            </w:r>
          </w:p>
        </w:tc>
      </w:tr>
      <w:tr>
        <w:tc>
          <w:tcPr>
            <w:tcW w:type="dxa" w:w="3389"/>
            <w:vAlign w:val="top"/>
            <w:tcMar>
              <w:top w:w="100" w:type="dxa"/>
              <w:start w:w="120" w:type="dxa"/>
              <w:bottom w:w="100" w:type="dxa"/>
              <w:end w:w="120" w:type="dxa"/>
            </w:tcMar>
          </w:tcPr>
          <w:p>
            <w:pPr>
              <w:spacing w:after="60"/>
            </w:pPr>
            <w:r>
              <w:rPr>
                <w:rFonts w:ascii="Aptos" w:hAnsi="Aptos"/>
                <w:sz w:val="19"/>
              </w:rPr>
              <w:t>CAD</w:t>
            </w:r>
          </w:p>
        </w:tc>
        <w:tc>
          <w:tcPr>
            <w:tcW w:type="dxa" w:w="3389"/>
            <w:vAlign w:val="top"/>
            <w:tcMar>
              <w:top w:w="100" w:type="dxa"/>
              <w:start w:w="120" w:type="dxa"/>
              <w:bottom w:w="100" w:type="dxa"/>
              <w:end w:w="120" w:type="dxa"/>
            </w:tcMar>
          </w:tcPr>
          <w:p>
            <w:pPr>
              <w:spacing w:after="60"/>
            </w:pPr>
            <w:r>
              <w:rPr>
                <w:rFonts w:ascii="Aptos" w:hAnsi="Aptos"/>
                <w:sz w:val="19"/>
              </w:rPr>
              <w:t>AutoCAD</w:t>
            </w:r>
          </w:p>
        </w:tc>
        <w:tc>
          <w:tcPr>
            <w:tcW w:type="dxa" w:w="3389"/>
            <w:vAlign w:val="top"/>
            <w:tcMar>
              <w:top w:w="100" w:type="dxa"/>
              <w:start w:w="120" w:type="dxa"/>
              <w:bottom w:w="100" w:type="dxa"/>
              <w:end w:w="120" w:type="dxa"/>
            </w:tcMar>
          </w:tcPr>
          <w:p>
            <w:pPr>
              <w:spacing w:after="60"/>
            </w:pPr>
            <w:r>
              <w:rPr>
                <w:rFonts w:ascii="Aptos" w:hAnsi="Aptos"/>
                <w:sz w:val="19"/>
              </w:rPr>
              <w:t>2D detailing, drafting, fabrication/shop drawing production, revisions and construction documentation.</w:t>
            </w:r>
          </w:p>
        </w:tc>
      </w:tr>
      <w:tr>
        <w:tc>
          <w:tcPr>
            <w:tcW w:type="dxa" w:w="3389"/>
            <w:vAlign w:val="top"/>
            <w:tcMar>
              <w:top w:w="100" w:type="dxa"/>
              <w:start w:w="120" w:type="dxa"/>
              <w:bottom w:w="100" w:type="dxa"/>
              <w:end w:w="120" w:type="dxa"/>
            </w:tcMar>
            <w:shd w:fill="F4F7FA"/>
          </w:tcPr>
          <w:p>
            <w:pPr>
              <w:spacing w:after="60"/>
            </w:pPr>
            <w:r>
              <w:rPr>
                <w:rFonts w:ascii="Aptos" w:hAnsi="Aptos"/>
                <w:sz w:val="19"/>
              </w:rPr>
              <w:t>BIM</w:t>
            </w:r>
          </w:p>
        </w:tc>
        <w:tc>
          <w:tcPr>
            <w:tcW w:type="dxa" w:w="3389"/>
            <w:vAlign w:val="top"/>
            <w:tcMar>
              <w:top w:w="100" w:type="dxa"/>
              <w:start w:w="120" w:type="dxa"/>
              <w:bottom w:w="100" w:type="dxa"/>
              <w:end w:w="120" w:type="dxa"/>
            </w:tcMar>
            <w:shd w:fill="F4F7FA"/>
          </w:tcPr>
          <w:p>
            <w:pPr>
              <w:spacing w:after="60"/>
            </w:pPr>
            <w:r>
              <w:rPr>
                <w:rFonts w:ascii="Aptos" w:hAnsi="Aptos"/>
                <w:sz w:val="19"/>
              </w:rPr>
              <w:t>Revit</w:t>
            </w:r>
          </w:p>
        </w:tc>
        <w:tc>
          <w:tcPr>
            <w:tcW w:type="dxa" w:w="3389"/>
            <w:vAlign w:val="top"/>
            <w:tcMar>
              <w:top w:w="100" w:type="dxa"/>
              <w:start w:w="120" w:type="dxa"/>
              <w:bottom w:w="100" w:type="dxa"/>
              <w:end w:w="120" w:type="dxa"/>
            </w:tcMar>
            <w:shd w:fill="F4F7FA"/>
          </w:tcPr>
          <w:p>
            <w:pPr>
              <w:spacing w:after="60"/>
            </w:pPr>
            <w:r>
              <w:rPr>
                <w:rFonts w:ascii="Aptos" w:hAnsi="Aptos"/>
                <w:sz w:val="19"/>
              </w:rPr>
              <w:t>BIM modelling/detailing, coordinated views, model-based documentation and project information support.</w:t>
            </w:r>
          </w:p>
        </w:tc>
      </w:tr>
      <w:tr>
        <w:tc>
          <w:tcPr>
            <w:tcW w:type="dxa" w:w="3389"/>
            <w:vAlign w:val="top"/>
            <w:tcMar>
              <w:top w:w="100" w:type="dxa"/>
              <w:start w:w="120" w:type="dxa"/>
              <w:bottom w:w="100" w:type="dxa"/>
              <w:end w:w="120" w:type="dxa"/>
            </w:tcMar>
          </w:tcPr>
          <w:p>
            <w:pPr>
              <w:spacing w:after="60"/>
            </w:pPr>
            <w:r>
              <w:rPr>
                <w:rFonts w:ascii="Aptos" w:hAnsi="Aptos"/>
                <w:sz w:val="19"/>
              </w:rPr>
              <w:t>Take-off / review</w:t>
            </w:r>
          </w:p>
        </w:tc>
        <w:tc>
          <w:tcPr>
            <w:tcW w:type="dxa" w:w="3389"/>
            <w:vAlign w:val="top"/>
            <w:tcMar>
              <w:top w:w="100" w:type="dxa"/>
              <w:start w:w="120" w:type="dxa"/>
              <w:bottom w:w="100" w:type="dxa"/>
              <w:end w:w="120" w:type="dxa"/>
            </w:tcMar>
          </w:tcPr>
          <w:p>
            <w:pPr>
              <w:spacing w:after="60"/>
            </w:pPr>
            <w:r>
              <w:rPr>
                <w:rFonts w:ascii="Aptos" w:hAnsi="Aptos"/>
                <w:sz w:val="19"/>
              </w:rPr>
              <w:t>Bluebeam</w:t>
            </w:r>
          </w:p>
        </w:tc>
        <w:tc>
          <w:tcPr>
            <w:tcW w:type="dxa" w:w="3389"/>
            <w:vAlign w:val="top"/>
            <w:tcMar>
              <w:top w:w="100" w:type="dxa"/>
              <w:start w:w="120" w:type="dxa"/>
              <w:bottom w:w="100" w:type="dxa"/>
              <w:end w:w="120" w:type="dxa"/>
            </w:tcMar>
          </w:tcPr>
          <w:p>
            <w:pPr>
              <w:spacing w:after="60"/>
            </w:pPr>
            <w:r>
              <w:rPr>
                <w:rFonts w:ascii="Aptos" w:hAnsi="Aptos"/>
                <w:sz w:val="19"/>
              </w:rPr>
              <w:t>Drawing review, measurement, annotation, mark-up and quantity take-off workflows.</w:t>
            </w:r>
          </w:p>
        </w:tc>
      </w:tr>
      <w:tr>
        <w:tc>
          <w:tcPr>
            <w:tcW w:type="dxa" w:w="3389"/>
            <w:vAlign w:val="top"/>
            <w:tcMar>
              <w:top w:w="100" w:type="dxa"/>
              <w:start w:w="120" w:type="dxa"/>
              <w:bottom w:w="100" w:type="dxa"/>
              <w:end w:w="120" w:type="dxa"/>
            </w:tcMar>
            <w:shd w:fill="F4F7FA"/>
          </w:tcPr>
          <w:p>
            <w:pPr>
              <w:spacing w:after="60"/>
            </w:pPr>
            <w:r>
              <w:rPr>
                <w:rFonts w:ascii="Aptos" w:hAnsi="Aptos"/>
                <w:sz w:val="19"/>
              </w:rPr>
              <w:t>Estimating</w:t>
            </w:r>
          </w:p>
        </w:tc>
        <w:tc>
          <w:tcPr>
            <w:tcW w:type="dxa" w:w="3389"/>
            <w:vAlign w:val="top"/>
            <w:tcMar>
              <w:top w:w="100" w:type="dxa"/>
              <w:start w:w="120" w:type="dxa"/>
              <w:bottom w:w="100" w:type="dxa"/>
              <w:end w:w="120" w:type="dxa"/>
            </w:tcMar>
            <w:shd w:fill="F4F7FA"/>
          </w:tcPr>
          <w:p>
            <w:pPr>
              <w:spacing w:after="60"/>
            </w:pPr>
            <w:r>
              <w:rPr>
                <w:rFonts w:ascii="Aptos" w:hAnsi="Aptos"/>
                <w:sz w:val="19"/>
              </w:rPr>
              <w:t>PlanSwift</w:t>
            </w:r>
          </w:p>
        </w:tc>
        <w:tc>
          <w:tcPr>
            <w:tcW w:type="dxa" w:w="3389"/>
            <w:vAlign w:val="top"/>
            <w:tcMar>
              <w:top w:w="100" w:type="dxa"/>
              <w:start w:w="120" w:type="dxa"/>
              <w:bottom w:w="100" w:type="dxa"/>
              <w:end w:w="120" w:type="dxa"/>
            </w:tcMar>
            <w:shd w:fill="F4F7FA"/>
          </w:tcPr>
          <w:p>
            <w:pPr>
              <w:spacing w:after="60"/>
            </w:pPr>
            <w:r>
              <w:rPr>
                <w:rFonts w:ascii="Aptos" w:hAnsi="Aptos"/>
                <w:sz w:val="19"/>
              </w:rPr>
              <w:t>Digital take-off and estimating workflows, particularly where client/project processes are built around PlanSwift.</w:t>
            </w:r>
          </w:p>
        </w:tc>
      </w:tr>
      <w:tr>
        <w:tc>
          <w:tcPr>
            <w:tcW w:type="dxa" w:w="3389"/>
            <w:vAlign w:val="top"/>
            <w:tcMar>
              <w:top w:w="100" w:type="dxa"/>
              <w:start w:w="120" w:type="dxa"/>
              <w:bottom w:w="100" w:type="dxa"/>
              <w:end w:w="120" w:type="dxa"/>
            </w:tcMar>
          </w:tcPr>
          <w:p>
            <w:pPr>
              <w:spacing w:after="60"/>
            </w:pPr>
            <w:r>
              <w:rPr>
                <w:rFonts w:ascii="Aptos" w:hAnsi="Aptos"/>
                <w:sz w:val="19"/>
              </w:rPr>
              <w:t>Office / commercial</w:t>
            </w:r>
          </w:p>
        </w:tc>
        <w:tc>
          <w:tcPr>
            <w:tcW w:type="dxa" w:w="3389"/>
            <w:vAlign w:val="top"/>
            <w:tcMar>
              <w:top w:w="100" w:type="dxa"/>
              <w:start w:w="120" w:type="dxa"/>
              <w:bottom w:w="100" w:type="dxa"/>
              <w:end w:w="120" w:type="dxa"/>
            </w:tcMar>
          </w:tcPr>
          <w:p>
            <w:pPr>
              <w:spacing w:after="60"/>
            </w:pPr>
            <w:r>
              <w:rPr>
                <w:rFonts w:ascii="Aptos" w:hAnsi="Aptos"/>
                <w:sz w:val="19"/>
              </w:rPr>
              <w:t>Microsoft Excel</w:t>
            </w:r>
          </w:p>
        </w:tc>
        <w:tc>
          <w:tcPr>
            <w:tcW w:type="dxa" w:w="3389"/>
            <w:vAlign w:val="top"/>
            <w:tcMar>
              <w:top w:w="100" w:type="dxa"/>
              <w:start w:w="120" w:type="dxa"/>
              <w:bottom w:w="100" w:type="dxa"/>
              <w:end w:w="120" w:type="dxa"/>
            </w:tcMar>
          </w:tcPr>
          <w:p>
            <w:pPr>
              <w:spacing w:after="60"/>
            </w:pPr>
            <w:r>
              <w:rPr>
                <w:rFonts w:ascii="Aptos" w:hAnsi="Aptos"/>
                <w:sz w:val="19"/>
              </w:rPr>
              <w:t>Cost plans, BOQs, rate build-ups, trackers, commercial schedules and reporting.</w:t>
            </w:r>
          </w:p>
        </w:tc>
      </w:tr>
      <w:tr>
        <w:tc>
          <w:tcPr>
            <w:tcW w:type="dxa" w:w="3389"/>
            <w:vAlign w:val="top"/>
            <w:tcMar>
              <w:top w:w="100" w:type="dxa"/>
              <w:start w:w="120" w:type="dxa"/>
              <w:bottom w:w="100" w:type="dxa"/>
              <w:end w:w="120" w:type="dxa"/>
            </w:tcMar>
            <w:shd w:fill="F4F7FA"/>
          </w:tcPr>
          <w:p>
            <w:pPr>
              <w:spacing w:after="60"/>
            </w:pPr>
            <w:r>
              <w:rPr>
                <w:rFonts w:ascii="Aptos" w:hAnsi="Aptos"/>
                <w:sz w:val="19"/>
              </w:rPr>
              <w:t>Web development</w:t>
            </w:r>
          </w:p>
        </w:tc>
        <w:tc>
          <w:tcPr>
            <w:tcW w:type="dxa" w:w="3389"/>
            <w:vAlign w:val="top"/>
            <w:tcMar>
              <w:top w:w="100" w:type="dxa"/>
              <w:start w:w="120" w:type="dxa"/>
              <w:bottom w:w="100" w:type="dxa"/>
              <w:end w:w="120" w:type="dxa"/>
            </w:tcMar>
            <w:shd w:fill="F4F7FA"/>
          </w:tcPr>
          <w:p>
            <w:pPr>
              <w:spacing w:after="60"/>
            </w:pPr>
            <w:r>
              <w:rPr>
                <w:rFonts w:ascii="Aptos" w:hAnsi="Aptos"/>
                <w:sz w:val="19"/>
              </w:rPr>
              <w:t>React / Next.js</w:t>
            </w:r>
          </w:p>
        </w:tc>
        <w:tc>
          <w:tcPr>
            <w:tcW w:type="dxa" w:w="3389"/>
            <w:vAlign w:val="top"/>
            <w:tcMar>
              <w:top w:w="100" w:type="dxa"/>
              <w:start w:w="120" w:type="dxa"/>
              <w:bottom w:w="100" w:type="dxa"/>
              <w:end w:w="120" w:type="dxa"/>
            </w:tcMar>
            <w:shd w:fill="F4F7FA"/>
          </w:tcPr>
          <w:p>
            <w:pPr>
              <w:spacing w:after="60"/>
            </w:pPr>
            <w:r>
              <w:rPr>
                <w:rFonts w:ascii="Aptos" w:hAnsi="Aptos"/>
                <w:sz w:val="19"/>
              </w:rPr>
              <w:t>Modern front-end and full-stack web application interfaces, dashboards and SaaS experiences.</w:t>
            </w:r>
          </w:p>
        </w:tc>
      </w:tr>
      <w:tr>
        <w:tc>
          <w:tcPr>
            <w:tcW w:type="dxa" w:w="3389"/>
            <w:vAlign w:val="top"/>
            <w:tcMar>
              <w:top w:w="100" w:type="dxa"/>
              <w:start w:w="120" w:type="dxa"/>
              <w:bottom w:w="100" w:type="dxa"/>
              <w:end w:w="120" w:type="dxa"/>
            </w:tcMar>
          </w:tcPr>
          <w:p>
            <w:pPr>
              <w:spacing w:after="60"/>
            </w:pPr>
            <w:r>
              <w:rPr>
                <w:rFonts w:ascii="Aptos" w:hAnsi="Aptos"/>
                <w:sz w:val="19"/>
              </w:rPr>
              <w:t>Backend</w:t>
            </w:r>
          </w:p>
        </w:tc>
        <w:tc>
          <w:tcPr>
            <w:tcW w:type="dxa" w:w="3389"/>
            <w:vAlign w:val="top"/>
            <w:tcMar>
              <w:top w:w="100" w:type="dxa"/>
              <w:start w:w="120" w:type="dxa"/>
              <w:bottom w:w="100" w:type="dxa"/>
              <w:end w:w="120" w:type="dxa"/>
            </w:tcMar>
          </w:tcPr>
          <w:p>
            <w:pPr>
              <w:spacing w:after="60"/>
            </w:pPr>
            <w:r>
              <w:rPr>
                <w:rFonts w:ascii="Aptos" w:hAnsi="Aptos"/>
                <w:sz w:val="19"/>
              </w:rPr>
              <w:t>Node.js</w:t>
            </w:r>
          </w:p>
        </w:tc>
        <w:tc>
          <w:tcPr>
            <w:tcW w:type="dxa" w:w="3389"/>
            <w:vAlign w:val="top"/>
            <w:tcMar>
              <w:top w:w="100" w:type="dxa"/>
              <w:start w:w="120" w:type="dxa"/>
              <w:bottom w:w="100" w:type="dxa"/>
              <w:end w:w="120" w:type="dxa"/>
            </w:tcMar>
          </w:tcPr>
          <w:p>
            <w:pPr>
              <w:spacing w:after="60"/>
            </w:pPr>
            <w:r>
              <w:rPr>
                <w:rFonts w:ascii="Aptos" w:hAnsi="Aptos"/>
                <w:sz w:val="19"/>
              </w:rPr>
              <w:t>API/backend services, application logic and integrations.</w:t>
            </w:r>
          </w:p>
        </w:tc>
      </w:tr>
      <w:tr>
        <w:tc>
          <w:tcPr>
            <w:tcW w:type="dxa" w:w="3389"/>
            <w:vAlign w:val="top"/>
            <w:tcMar>
              <w:top w:w="100" w:type="dxa"/>
              <w:start w:w="120" w:type="dxa"/>
              <w:bottom w:w="100" w:type="dxa"/>
              <w:end w:w="120" w:type="dxa"/>
            </w:tcMar>
            <w:shd w:fill="F4F7FA"/>
          </w:tcPr>
          <w:p>
            <w:pPr>
              <w:spacing w:after="60"/>
            </w:pPr>
            <w:r>
              <w:rPr>
                <w:rFonts w:ascii="Aptos" w:hAnsi="Aptos"/>
                <w:sz w:val="19"/>
              </w:rPr>
              <w:t>Mobile</w:t>
            </w:r>
          </w:p>
        </w:tc>
        <w:tc>
          <w:tcPr>
            <w:tcW w:type="dxa" w:w="3389"/>
            <w:vAlign w:val="top"/>
            <w:tcMar>
              <w:top w:w="100" w:type="dxa"/>
              <w:start w:w="120" w:type="dxa"/>
              <w:bottom w:w="100" w:type="dxa"/>
              <w:end w:w="120" w:type="dxa"/>
            </w:tcMar>
            <w:shd w:fill="F4F7FA"/>
          </w:tcPr>
          <w:p>
            <w:pPr>
              <w:spacing w:after="60"/>
            </w:pPr>
            <w:r>
              <w:rPr>
                <w:rFonts w:ascii="Aptos" w:hAnsi="Aptos"/>
                <w:sz w:val="19"/>
              </w:rPr>
              <w:t>React Native</w:t>
            </w:r>
          </w:p>
        </w:tc>
        <w:tc>
          <w:tcPr>
            <w:tcW w:type="dxa" w:w="3389"/>
            <w:vAlign w:val="top"/>
            <w:tcMar>
              <w:top w:w="100" w:type="dxa"/>
              <w:start w:w="120" w:type="dxa"/>
              <w:bottom w:w="100" w:type="dxa"/>
              <w:end w:w="120" w:type="dxa"/>
            </w:tcMar>
            <w:shd w:fill="F4F7FA"/>
          </w:tcPr>
          <w:p>
            <w:pPr>
              <w:spacing w:after="60"/>
            </w:pPr>
            <w:r>
              <w:rPr>
                <w:rFonts w:ascii="Aptos" w:hAnsi="Aptos"/>
                <w:sz w:val="19"/>
              </w:rPr>
              <w:t>Cross-platform mobile application development.</w:t>
            </w:r>
          </w:p>
        </w:tc>
      </w:tr>
      <w:tr>
        <w:tc>
          <w:tcPr>
            <w:tcW w:type="dxa" w:w="3389"/>
            <w:vAlign w:val="top"/>
            <w:tcMar>
              <w:top w:w="100" w:type="dxa"/>
              <w:start w:w="120" w:type="dxa"/>
              <w:bottom w:w="100" w:type="dxa"/>
              <w:end w:w="120" w:type="dxa"/>
            </w:tcMar>
          </w:tcPr>
          <w:p>
            <w:pPr>
              <w:spacing w:after="60"/>
            </w:pPr>
            <w:r>
              <w:rPr>
                <w:rFonts w:ascii="Aptos" w:hAnsi="Aptos"/>
                <w:sz w:val="19"/>
              </w:rPr>
              <w:t>Cloud / SaaS</w:t>
            </w:r>
          </w:p>
        </w:tc>
        <w:tc>
          <w:tcPr>
            <w:tcW w:type="dxa" w:w="3389"/>
            <w:vAlign w:val="top"/>
            <w:tcMar>
              <w:top w:w="100" w:type="dxa"/>
              <w:start w:w="120" w:type="dxa"/>
              <w:bottom w:w="100" w:type="dxa"/>
              <w:end w:w="120" w:type="dxa"/>
            </w:tcMar>
          </w:tcPr>
          <w:p>
            <w:pPr>
              <w:spacing w:after="60"/>
            </w:pPr>
            <w:r>
              <w:rPr>
                <w:rFonts w:ascii="Aptos" w:hAnsi="Aptos"/>
                <w:sz w:val="19"/>
              </w:rPr>
              <w:t>Cloud-native application delivery</w:t>
            </w:r>
          </w:p>
        </w:tc>
        <w:tc>
          <w:tcPr>
            <w:tcW w:type="dxa" w:w="3389"/>
            <w:vAlign w:val="top"/>
            <w:tcMar>
              <w:top w:w="100" w:type="dxa"/>
              <w:start w:w="120" w:type="dxa"/>
              <w:bottom w:w="100" w:type="dxa"/>
              <w:end w:w="120" w:type="dxa"/>
            </w:tcMar>
          </w:tcPr>
          <w:p>
            <w:pPr>
              <w:spacing w:after="60"/>
            </w:pPr>
            <w:r>
              <w:rPr>
                <w:rFonts w:ascii="Aptos" w:hAnsi="Aptos"/>
                <w:sz w:val="19"/>
              </w:rPr>
              <w:t>Deployment and support of web-based applications, SaaS workflows and connected business systems.</w:t>
            </w:r>
          </w:p>
        </w:tc>
      </w:tr>
    </w:tbl>
    <w:tbl>
      <w:tblPr>
        <w:tblW w:type="auto" w:w="0"/>
        <w:jc w:val="center"/>
        <w:tblLook w:firstColumn="1" w:firstRow="1" w:lastColumn="0" w:lastRow="0" w:noHBand="0" w:noVBand="1" w:val="04A0"/>
      </w:tblPr>
      <w:tblGrid>
        <w:gridCol w:w="10166"/>
      </w:tblGrid>
      <w:tr>
        <w:trPr>
          <w:cantSplit/>
        </w:trPr>
        <w:tc>
          <w:tcPr>
            <w:tcW w:type="dxa" w:w="10166"/>
            <w:shd w:fill="F6F8FA"/>
            <w:tcMar>
              <w:top w:w="140" w:type="dxa"/>
              <w:start w:w="180" w:type="dxa"/>
              <w:bottom w:w="140" w:type="dxa"/>
              <w:end w:w="180" w:type="dxa"/>
            </w:tcMar>
          </w:tcPr>
          <w:p>
            <w:r>
              <w:rPr>
                <w:b/>
                <w:color w:val="16324F"/>
              </w:rPr>
              <w:t xml:space="preserve">Evidence note: </w:t>
            </w:r>
            <w:r>
              <w:t>AutoCAD, Revit, Bluebeam and PlanSwift are explicitly named in company-linked public material, together with React, Next.js, Node.js and React Native. Excel is also referenced in the current estimating recruitment profile. cite-like citations are not inserted into the Word file; sources are listed at the end.</w:t>
            </w:r>
          </w:p>
        </w:tc>
      </w:tr>
    </w:tbl>
    <w:p>
      <w:pPr>
        <w:spacing w:after="0"/>
      </w:pPr>
    </w:p>
    <w:p>
      <w:pPr>
        <w:pStyle w:val="Heading1"/>
        <w:spacing w:before="180" w:after="100"/>
      </w:pPr>
      <w:r>
        <w:t>3. Technical Capabilities</w:t>
      </w:r>
    </w:p>
    <w:p>
      <w:pPr>
        <w:pStyle w:val="ListBullet"/>
        <w:spacing w:after="40"/>
        <w:ind w:left="360"/>
      </w:pPr>
      <w:r>
        <w:t>Review and interpretation of architectural, structural and specialist façade/roofing drawings.</w:t>
      </w:r>
    </w:p>
    <w:p>
      <w:pPr>
        <w:pStyle w:val="ListBullet"/>
        <w:spacing w:after="40"/>
        <w:ind w:left="360"/>
      </w:pPr>
      <w:r>
        <w:t>Element-level quantity measurement, scope decomposition and drawing-based take-off.</w:t>
      </w:r>
    </w:p>
    <w:p>
      <w:pPr>
        <w:pStyle w:val="ListBullet"/>
        <w:spacing w:after="40"/>
        <w:ind w:left="360"/>
      </w:pPr>
      <w:r>
        <w:t>Cost build-up support, BOQ preparation, tender pricing assistance and commercial tracking.</w:t>
      </w:r>
    </w:p>
    <w:p>
      <w:pPr>
        <w:pStyle w:val="ListBullet"/>
        <w:spacing w:after="40"/>
        <w:ind w:left="360"/>
      </w:pPr>
      <w:r>
        <w:t>Coordination of estimating and drafting outputs so quantities, drawings and specifications remain aligned.</w:t>
      </w:r>
    </w:p>
    <w:p>
      <w:pPr>
        <w:pStyle w:val="ListBullet"/>
        <w:spacing w:after="40"/>
        <w:ind w:left="360"/>
      </w:pPr>
      <w:r>
        <w:t>Variation and commercial documentation support, including cost tracking and preparation of reports/schedules.</w:t>
      </w:r>
    </w:p>
    <w:p>
      <w:pPr>
        <w:pStyle w:val="ListBullet"/>
        <w:spacing w:after="40"/>
        <w:ind w:left="360"/>
      </w:pPr>
      <w:r>
        <w:t>Production of technical information for tender, fabrication, installation and as-built stages.</w:t>
      </w:r>
    </w:p>
    <w:p>
      <w:pPr>
        <w:pStyle w:val="ListBullet"/>
        <w:spacing w:after="40"/>
        <w:ind w:left="360"/>
      </w:pPr>
      <w:r>
        <w:t>Client-specific workflows: templates, naming conventions, measurement rules, pricing structures and reporting formats can be embedded into delivery.</w:t>
      </w:r>
    </w:p>
    <w:p>
      <w:pPr>
        <w:pStyle w:val="Heading1"/>
        <w:spacing w:before="180" w:after="100"/>
      </w:pPr>
      <w:r>
        <w:t>4. Drawing Capabilities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top"/>
            <w:tcMar>
              <w:top w:w="100" w:type="dxa"/>
              <w:start w:w="120" w:type="dxa"/>
              <w:bottom w:w="100" w:type="dxa"/>
              <w:end w:w="120" w:type="dxa"/>
            </w:tcMar>
            <w:shd w:fill="16324F"/>
          </w:tcPr>
          <w:p>
            <w:pPr>
              <w:spacing w:after="60"/>
            </w:pPr>
            <w:r>
              <w:rPr>
                <w:rFonts w:ascii="Aptos" w:hAnsi="Aptos"/>
                <w:b/>
                <w:color w:val="FFFFFF"/>
                <w:sz w:val="19"/>
              </w:rPr>
              <w:t>Drawing capability</w:t>
            </w:r>
          </w:p>
        </w:tc>
        <w:tc>
          <w:tcPr>
            <w:tcW w:type="dxa" w:w="6912"/>
            <w:vAlign w:val="top"/>
            <w:tcMar>
              <w:top w:w="100" w:type="dxa"/>
              <w:start w:w="120" w:type="dxa"/>
              <w:bottom w:w="100" w:type="dxa"/>
              <w:end w:w="120" w:type="dxa"/>
            </w:tcMar>
            <w:shd w:fill="16324F"/>
          </w:tcPr>
          <w:p>
            <w:pPr>
              <w:spacing w:after="60"/>
            </w:pPr>
            <w:r>
              <w:rPr>
                <w:rFonts w:ascii="Aptos" w:hAnsi="Aptos"/>
                <w:b/>
                <w:color w:val="FFFFFF"/>
                <w:sz w:val="19"/>
              </w:rPr>
              <w:t>Typical output</w:t>
            </w:r>
          </w:p>
        </w:tc>
      </w:tr>
      <w:tr>
        <w:tc>
          <w:tcPr>
            <w:tcW w:type="dxa" w:w="5083"/>
            <w:vAlign w:val="top"/>
            <w:tcMar>
              <w:top w:w="100" w:type="dxa"/>
              <w:start w:w="120" w:type="dxa"/>
              <w:bottom w:w="100" w:type="dxa"/>
              <w:end w:w="120" w:type="dxa"/>
            </w:tcMar>
          </w:tcPr>
          <w:p>
            <w:pPr>
              <w:spacing w:after="60"/>
            </w:pPr>
            <w:r>
              <w:rPr>
                <w:rFonts w:ascii="Aptos" w:hAnsi="Aptos"/>
                <w:sz w:val="19"/>
              </w:rPr>
              <w:t>2D CAD drafting</w:t>
            </w:r>
          </w:p>
        </w:tc>
        <w:tc>
          <w:tcPr>
            <w:tcW w:type="dxa" w:w="5083"/>
            <w:vAlign w:val="top"/>
            <w:tcMar>
              <w:top w:w="100" w:type="dxa"/>
              <w:start w:w="120" w:type="dxa"/>
              <w:bottom w:w="100" w:type="dxa"/>
              <w:end w:w="120" w:type="dxa"/>
            </w:tcMar>
          </w:tcPr>
          <w:p>
            <w:pPr>
              <w:spacing w:after="60"/>
            </w:pPr>
            <w:r>
              <w:rPr>
                <w:rFonts w:ascii="Aptos" w:hAnsi="Aptos"/>
                <w:sz w:val="19"/>
              </w:rPr>
              <w:t>Plans, elevations, sections, details, setting-out information, revisions and construction details.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Façade / cladding detailing</w:t>
            </w:r>
          </w:p>
        </w:tc>
        <w:tc>
          <w:tcPr>
            <w:tcW w:type="dxa" w:w="5083"/>
            <w:vAlign w:val="top"/>
            <w:tcMar>
              <w:top w:w="100" w:type="dxa"/>
              <w:start w:w="120" w:type="dxa"/>
              <w:bottom w:w="100" w:type="dxa"/>
              <w:end w:w="120" w:type="dxa"/>
            </w:tcMar>
            <w:shd w:fill="F4F7FA"/>
          </w:tcPr>
          <w:p>
            <w:pPr>
              <w:spacing w:after="60"/>
            </w:pPr>
            <w:r>
              <w:rPr>
                <w:rFonts w:ascii="Aptos" w:hAnsi="Aptos"/>
                <w:sz w:val="19"/>
              </w:rPr>
              <w:t>Panel layouts, trims, flashings, coping, interfaces, support components and installation details.</w:t>
            </w:r>
          </w:p>
        </w:tc>
      </w:tr>
      <w:tr>
        <w:tc>
          <w:tcPr>
            <w:tcW w:type="dxa" w:w="5083"/>
            <w:vAlign w:val="top"/>
            <w:tcMar>
              <w:top w:w="100" w:type="dxa"/>
              <w:start w:w="120" w:type="dxa"/>
              <w:bottom w:w="100" w:type="dxa"/>
              <w:end w:w="120" w:type="dxa"/>
            </w:tcMar>
          </w:tcPr>
          <w:p>
            <w:pPr>
              <w:spacing w:after="60"/>
            </w:pPr>
            <w:r>
              <w:rPr>
                <w:rFonts w:ascii="Aptos" w:hAnsi="Aptos"/>
                <w:sz w:val="19"/>
              </w:rPr>
              <w:t>Shop drawings</w:t>
            </w:r>
          </w:p>
        </w:tc>
        <w:tc>
          <w:tcPr>
            <w:tcW w:type="dxa" w:w="5083"/>
            <w:vAlign w:val="top"/>
            <w:tcMar>
              <w:top w:w="100" w:type="dxa"/>
              <w:start w:w="120" w:type="dxa"/>
              <w:bottom w:w="100" w:type="dxa"/>
              <w:end w:w="120" w:type="dxa"/>
            </w:tcMar>
          </w:tcPr>
          <w:p>
            <w:pPr>
              <w:spacing w:after="60"/>
            </w:pPr>
            <w:r>
              <w:rPr>
                <w:rFonts w:ascii="Aptos" w:hAnsi="Aptos"/>
                <w:sz w:val="19"/>
              </w:rPr>
              <w:t>Fabrication and installation-oriented drawings prepared from design/tender information and coordinated against project requirements.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As-built documentation</w:t>
            </w:r>
          </w:p>
        </w:tc>
        <w:tc>
          <w:tcPr>
            <w:tcW w:type="dxa" w:w="5083"/>
            <w:vAlign w:val="top"/>
            <w:tcMar>
              <w:top w:w="100" w:type="dxa"/>
              <w:start w:w="120" w:type="dxa"/>
              <w:bottom w:w="100" w:type="dxa"/>
              <w:end w:w="120" w:type="dxa"/>
            </w:tcMar>
            <w:shd w:fill="F4F7FA"/>
          </w:tcPr>
          <w:p>
            <w:pPr>
              <w:spacing w:after="60"/>
            </w:pPr>
            <w:r>
              <w:rPr>
                <w:rFonts w:ascii="Aptos" w:hAnsi="Aptos"/>
                <w:sz w:val="19"/>
              </w:rPr>
              <w:t>Record drawings and documentation updates reflecting final installed information where supplied.</w:t>
            </w:r>
          </w:p>
        </w:tc>
      </w:tr>
      <w:tr>
        <w:tc>
          <w:tcPr>
            <w:tcW w:type="dxa" w:w="5083"/>
            <w:vAlign w:val="top"/>
            <w:tcMar>
              <w:top w:w="100" w:type="dxa"/>
              <w:start w:w="120" w:type="dxa"/>
              <w:bottom w:w="100" w:type="dxa"/>
              <w:end w:w="120" w:type="dxa"/>
            </w:tcMar>
          </w:tcPr>
          <w:p>
            <w:pPr>
              <w:spacing w:after="60"/>
            </w:pPr>
            <w:r>
              <w:rPr>
                <w:rFonts w:ascii="Aptos" w:hAnsi="Aptos"/>
                <w:sz w:val="19"/>
              </w:rPr>
              <w:t>Drawing review / redlining</w:t>
            </w:r>
          </w:p>
        </w:tc>
        <w:tc>
          <w:tcPr>
            <w:tcW w:type="dxa" w:w="5083"/>
            <w:vAlign w:val="top"/>
            <w:tcMar>
              <w:top w:w="100" w:type="dxa"/>
              <w:start w:w="120" w:type="dxa"/>
              <w:bottom w:w="100" w:type="dxa"/>
              <w:end w:w="120" w:type="dxa"/>
            </w:tcMar>
          </w:tcPr>
          <w:p>
            <w:pPr>
              <w:spacing w:after="60"/>
            </w:pPr>
            <w:r>
              <w:rPr>
                <w:rFonts w:ascii="Aptos" w:hAnsi="Aptos"/>
                <w:sz w:val="19"/>
              </w:rPr>
              <w:t>Mark-ups, comments, dimensional checks, scope checks and coordination observations.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Drawing registers / issue control</w:t>
            </w:r>
          </w:p>
        </w:tc>
        <w:tc>
          <w:tcPr>
            <w:tcW w:type="dxa" w:w="5083"/>
            <w:vAlign w:val="top"/>
            <w:tcMar>
              <w:top w:w="100" w:type="dxa"/>
              <w:start w:w="120" w:type="dxa"/>
              <w:bottom w:w="100" w:type="dxa"/>
              <w:end w:w="120" w:type="dxa"/>
            </w:tcMar>
            <w:shd w:fill="F4F7FA"/>
          </w:tcPr>
          <w:p>
            <w:pPr>
              <w:spacing w:after="60"/>
            </w:pPr>
            <w:r>
              <w:rPr>
                <w:rFonts w:ascii="Aptos" w:hAnsi="Aptos"/>
                <w:sz w:val="19"/>
              </w:rPr>
              <w:t>Structured issue tracking, revision references and submission-ready documentation sets.</w:t>
            </w:r>
          </w:p>
        </w:tc>
      </w:tr>
    </w:tbl>
    <w:p>
      <w:pPr>
        <w:pStyle w:val="Heading1"/>
        <w:spacing w:before="180" w:after="100"/>
      </w:pPr>
      <w:r>
        <w:t>5. BIM Capabilities</w:t>
      </w:r>
    </w:p>
    <w:p>
      <w:pPr>
        <w:pStyle w:val="ListBullet"/>
        <w:spacing w:after="40"/>
        <w:ind w:left="360"/>
      </w:pPr>
      <w:r>
        <w:t>Revit-based model creation and detailing support for façade/building-envelope workflows.</w:t>
      </w:r>
    </w:p>
    <w:p>
      <w:pPr>
        <w:pStyle w:val="ListBullet"/>
        <w:spacing w:after="40"/>
        <w:ind w:left="360"/>
      </w:pPr>
      <w:r>
        <w:t>Model-informed quantity support where the client/project standard permits model-based measurement.</w:t>
      </w:r>
    </w:p>
    <w:p>
      <w:pPr>
        <w:pStyle w:val="ListBullet"/>
        <w:spacing w:after="40"/>
        <w:ind w:left="360"/>
      </w:pPr>
      <w:r>
        <w:t>Coordinated views and documentation extracted from models for technical deliverables.</w:t>
      </w:r>
    </w:p>
    <w:p>
      <w:pPr>
        <w:pStyle w:val="ListBullet"/>
        <w:spacing w:after="40"/>
        <w:ind w:left="360"/>
      </w:pPr>
      <w:r>
        <w:t>BIM support as an extension of estimating and drafting rather than an isolated modelling service.</w:t>
      </w:r>
    </w:p>
    <w:p>
      <w:pPr>
        <w:pStyle w:val="ListBullet"/>
        <w:spacing w:after="40"/>
        <w:ind w:left="360"/>
      </w:pPr>
      <w:r>
        <w:t>Ability to work within client-defined BIM standards, naming conventions and information requirements.</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r>
              <w:rPr>
                <w:b/>
                <w:color w:val="16324F"/>
              </w:rPr>
              <w:t xml:space="preserve">Positioning: </w:t>
            </w:r>
            <w:r>
              <w:t>CoExtend Global should present BIM as a coordination and production capability that connects estimating, drawings and project information. This is stronger than positioning BIM as a generic modelling-only service.</w:t>
            </w:r>
          </w:p>
        </w:tc>
      </w:tr>
    </w:tbl>
    <w:p>
      <w:pPr>
        <w:spacing w:after="0"/>
      </w:pPr>
    </w:p>
    <w:p>
      <w:pPr>
        <w:pStyle w:val="Heading1"/>
        <w:spacing w:before="180" w:after="100"/>
      </w:pPr>
      <w:r>
        <w:t>6. Estimating Capabilities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96"/>
            <w:vAlign w:val="top"/>
            <w:tcMar>
              <w:top w:w="100" w:type="dxa"/>
              <w:start w:w="120" w:type="dxa"/>
              <w:bottom w:w="100" w:type="dxa"/>
              <w:end w:w="120" w:type="dxa"/>
            </w:tcMar>
            <w:shd w:fill="16324F"/>
          </w:tcPr>
          <w:p>
            <w:pPr>
              <w:spacing w:after="60"/>
            </w:pPr>
            <w:r>
              <w:rPr>
                <w:rFonts w:ascii="Aptos" w:hAnsi="Aptos"/>
                <w:b/>
                <w:color w:val="FFFFFF"/>
                <w:sz w:val="19"/>
              </w:rPr>
              <w:t>Estimating capability</w:t>
            </w:r>
          </w:p>
        </w:tc>
        <w:tc>
          <w:tcPr>
            <w:tcW w:type="dxa" w:w="6840"/>
            <w:vAlign w:val="top"/>
            <w:tcMar>
              <w:top w:w="100" w:type="dxa"/>
              <w:start w:w="120" w:type="dxa"/>
              <w:bottom w:w="100" w:type="dxa"/>
              <w:end w:w="120" w:type="dxa"/>
            </w:tcMar>
            <w:shd w:fill="16324F"/>
          </w:tcPr>
          <w:p>
            <w:pPr>
              <w:spacing w:after="60"/>
            </w:pPr>
            <w:r>
              <w:rPr>
                <w:rFonts w:ascii="Aptos" w:hAnsi="Aptos"/>
                <w:b/>
                <w:color w:val="FFFFFF"/>
                <w:sz w:val="19"/>
              </w:rPr>
              <w:t>Coverage</w:t>
            </w:r>
          </w:p>
        </w:tc>
      </w:tr>
      <w:tr>
        <w:tc>
          <w:tcPr>
            <w:tcW w:type="dxa" w:w="5083"/>
            <w:vAlign w:val="top"/>
            <w:tcMar>
              <w:top w:w="100" w:type="dxa"/>
              <w:start w:w="120" w:type="dxa"/>
              <w:bottom w:w="100" w:type="dxa"/>
              <w:end w:w="120" w:type="dxa"/>
            </w:tcMar>
          </w:tcPr>
          <w:p>
            <w:pPr>
              <w:spacing w:after="60"/>
            </w:pPr>
            <w:r>
              <w:rPr>
                <w:rFonts w:ascii="Aptos" w:hAnsi="Aptos"/>
                <w:sz w:val="19"/>
              </w:rPr>
              <w:t>Quantity take-off</w:t>
            </w:r>
          </w:p>
        </w:tc>
        <w:tc>
          <w:tcPr>
            <w:tcW w:type="dxa" w:w="5083"/>
            <w:vAlign w:val="top"/>
            <w:tcMar>
              <w:top w:w="100" w:type="dxa"/>
              <w:start w:w="120" w:type="dxa"/>
              <w:bottom w:w="100" w:type="dxa"/>
              <w:end w:w="120" w:type="dxa"/>
            </w:tcMar>
          </w:tcPr>
          <w:p>
            <w:pPr>
              <w:spacing w:after="60"/>
            </w:pPr>
            <w:r>
              <w:rPr>
                <w:rFonts w:ascii="Aptos" w:hAnsi="Aptos"/>
                <w:sz w:val="19"/>
              </w:rPr>
              <w:t>Detailed measurement from drawings/specifications/model information, including façade and roofing elements.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BOQ preparation</w:t>
            </w:r>
          </w:p>
        </w:tc>
        <w:tc>
          <w:tcPr>
            <w:tcW w:type="dxa" w:w="5083"/>
            <w:vAlign w:val="top"/>
            <w:tcMar>
              <w:top w:w="100" w:type="dxa"/>
              <w:start w:w="120" w:type="dxa"/>
              <w:bottom w:w="100" w:type="dxa"/>
              <w:end w:w="120" w:type="dxa"/>
            </w:tcMar>
            <w:shd w:fill="F4F7FA"/>
          </w:tcPr>
          <w:p>
            <w:pPr>
              <w:spacing w:after="60"/>
            </w:pPr>
            <w:r>
              <w:rPr>
                <w:rFonts w:ascii="Aptos" w:hAnsi="Aptos"/>
                <w:sz w:val="19"/>
              </w:rPr>
              <w:t>Structured line-item BOQs with descriptions, units, quantities, assumptions and scope breakdown.</w:t>
            </w:r>
          </w:p>
        </w:tc>
      </w:tr>
      <w:tr>
        <w:tc>
          <w:tcPr>
            <w:tcW w:type="dxa" w:w="5083"/>
            <w:vAlign w:val="top"/>
            <w:tcMar>
              <w:top w:w="100" w:type="dxa"/>
              <w:start w:w="120" w:type="dxa"/>
              <w:bottom w:w="100" w:type="dxa"/>
              <w:end w:w="120" w:type="dxa"/>
            </w:tcMar>
          </w:tcPr>
          <w:p>
            <w:pPr>
              <w:spacing w:after="60"/>
            </w:pPr>
            <w:r>
              <w:rPr>
                <w:rFonts w:ascii="Aptos" w:hAnsi="Aptos"/>
                <w:sz w:val="19"/>
              </w:rPr>
              <w:t>Cost estimating</w:t>
            </w:r>
          </w:p>
        </w:tc>
        <w:tc>
          <w:tcPr>
            <w:tcW w:type="dxa" w:w="5083"/>
            <w:vAlign w:val="top"/>
            <w:tcMar>
              <w:top w:w="100" w:type="dxa"/>
              <w:start w:w="120" w:type="dxa"/>
              <w:bottom w:w="100" w:type="dxa"/>
              <w:end w:w="120" w:type="dxa"/>
            </w:tcMar>
          </w:tcPr>
          <w:p>
            <w:pPr>
              <w:spacing w:after="60"/>
            </w:pPr>
            <w:r>
              <w:rPr>
                <w:rFonts w:ascii="Aptos" w:hAnsi="Aptos"/>
                <w:sz w:val="19"/>
              </w:rPr>
              <w:t>Material/labour/subcontractor/installation pricing support and cost build-ups based on client inputs.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Tender support</w:t>
            </w:r>
          </w:p>
        </w:tc>
        <w:tc>
          <w:tcPr>
            <w:tcW w:type="dxa" w:w="5083"/>
            <w:vAlign w:val="top"/>
            <w:tcMar>
              <w:top w:w="100" w:type="dxa"/>
              <w:start w:w="120" w:type="dxa"/>
              <w:bottom w:w="100" w:type="dxa"/>
              <w:end w:w="120" w:type="dxa"/>
            </w:tcMar>
            <w:shd w:fill="F4F7FA"/>
          </w:tcPr>
          <w:p>
            <w:pPr>
              <w:spacing w:after="60"/>
            </w:pPr>
            <w:r>
              <w:rPr>
                <w:rFonts w:ascii="Aptos" w:hAnsi="Aptos"/>
                <w:sz w:val="19"/>
              </w:rPr>
              <w:t>Tender pack review, scope extraction, pricing schedules, clarifications and submission support.</w:t>
            </w:r>
          </w:p>
        </w:tc>
      </w:tr>
      <w:tr>
        <w:tc>
          <w:tcPr>
            <w:tcW w:type="dxa" w:w="5083"/>
            <w:vAlign w:val="top"/>
            <w:tcMar>
              <w:top w:w="100" w:type="dxa"/>
              <w:start w:w="120" w:type="dxa"/>
              <w:bottom w:w="100" w:type="dxa"/>
              <w:end w:w="120" w:type="dxa"/>
            </w:tcMar>
          </w:tcPr>
          <w:p>
            <w:pPr>
              <w:spacing w:after="60"/>
            </w:pPr>
            <w:r>
              <w:rPr>
                <w:rFonts w:ascii="Aptos" w:hAnsi="Aptos"/>
                <w:sz w:val="19"/>
              </w:rPr>
              <w:t>Commercial support</w:t>
            </w:r>
          </w:p>
        </w:tc>
        <w:tc>
          <w:tcPr>
            <w:tcW w:type="dxa" w:w="5083"/>
            <w:vAlign w:val="top"/>
            <w:tcMar>
              <w:top w:w="100" w:type="dxa"/>
              <w:start w:w="120" w:type="dxa"/>
              <w:bottom w:w="100" w:type="dxa"/>
              <w:end w:w="120" w:type="dxa"/>
            </w:tcMar>
          </w:tcPr>
          <w:p>
            <w:pPr>
              <w:spacing w:after="60"/>
            </w:pPr>
            <w:r>
              <w:rPr>
                <w:rFonts w:ascii="Aptos" w:hAnsi="Aptos"/>
                <w:sz w:val="19"/>
              </w:rPr>
              <w:t>Budget tracking, variations, cost reporting, records and schedules.</w:t>
            </w:r>
          </w:p>
        </w:tc>
      </w:tr>
      <w:tr>
        <w:tc>
          <w:tcPr>
            <w:tcW w:type="dxa" w:w="5083"/>
            <w:vAlign w:val="top"/>
            <w:tcMar>
              <w:top w:w="100" w:type="dxa"/>
              <w:start w:w="120" w:type="dxa"/>
              <w:bottom w:w="100" w:type="dxa"/>
              <w:end w:w="120" w:type="dxa"/>
            </w:tcMar>
            <w:shd w:fill="F4F7FA"/>
          </w:tcPr>
          <w:p>
            <w:pPr>
              <w:spacing w:after="60"/>
            </w:pPr>
            <w:r>
              <w:rPr>
                <w:rFonts w:ascii="Aptos" w:hAnsi="Aptos"/>
                <w:sz w:val="19"/>
              </w:rPr>
              <w:t>Façade estimating</w:t>
            </w:r>
          </w:p>
        </w:tc>
        <w:tc>
          <w:tcPr>
            <w:tcW w:type="dxa" w:w="5083"/>
            <w:vAlign w:val="top"/>
            <w:tcMar>
              <w:top w:w="100" w:type="dxa"/>
              <w:start w:w="120" w:type="dxa"/>
              <w:bottom w:w="100" w:type="dxa"/>
              <w:end w:w="120" w:type="dxa"/>
            </w:tcMar>
            <w:shd w:fill="F4F7FA"/>
          </w:tcPr>
          <w:p>
            <w:pPr>
              <w:spacing w:after="60"/>
            </w:pPr>
            <w:r>
              <w:rPr>
                <w:rFonts w:ascii="Aptos" w:hAnsi="Aptos"/>
                <w:sz w:val="19"/>
              </w:rPr>
              <w:t>Cladding systems, panels, rails, brackets/clips, insulation, membranes, trims, flashings, coping and associated accessories, subject to project scope.</w:t>
            </w:r>
          </w:p>
        </w:tc>
      </w:tr>
      <w:tr>
        <w:tc>
          <w:tcPr>
            <w:tcW w:type="dxa" w:w="5083"/>
            <w:vAlign w:val="top"/>
            <w:tcMar>
              <w:top w:w="100" w:type="dxa"/>
              <w:start w:w="120" w:type="dxa"/>
              <w:bottom w:w="100" w:type="dxa"/>
              <w:end w:w="120" w:type="dxa"/>
            </w:tcMar>
          </w:tcPr>
          <w:p>
            <w:pPr>
              <w:spacing w:after="60"/>
            </w:pPr>
            <w:r>
              <w:rPr>
                <w:rFonts w:ascii="Aptos" w:hAnsi="Aptos"/>
                <w:sz w:val="19"/>
              </w:rPr>
              <w:t>Roofing estimating</w:t>
            </w:r>
          </w:p>
        </w:tc>
        <w:tc>
          <w:tcPr>
            <w:tcW w:type="dxa" w:w="5083"/>
            <w:vAlign w:val="top"/>
            <w:tcMar>
              <w:top w:w="100" w:type="dxa"/>
              <w:start w:w="120" w:type="dxa"/>
              <w:bottom w:w="100" w:type="dxa"/>
              <w:end w:w="120" w:type="dxa"/>
            </w:tcMar>
          </w:tcPr>
          <w:p>
            <w:pPr>
              <w:spacing w:after="60"/>
            </w:pPr>
            <w:r>
              <w:rPr>
                <w:rFonts w:ascii="Aptos" w:hAnsi="Aptos"/>
                <w:sz w:val="19"/>
              </w:rPr>
              <w:t>Roofing quantities and associated commercial support where drawings/specifications provide sufficient information.</w:t>
            </w:r>
          </w:p>
        </w:tc>
      </w:tr>
      <w:tr>
        <w:tc>
          <w:tcPr>
            <w:tcW w:type="dxa" w:w="5083"/>
            <w:vAlign w:val="top"/>
            <w:tcMar>
              <w:top w:w="100" w:type="dxa"/>
              <w:start w:w="120" w:type="dxa"/>
              <w:bottom w:w="100" w:type="dxa"/>
              <w:end w:w="120" w:type="dxa"/>
            </w:tcMar>
            <w:shd w:fill="F4F7FA"/>
          </w:tcPr>
          <w:p>
            <w:pPr>
              <w:spacing w:after="60"/>
            </w:pPr>
            <w:r>
              <w:rPr>
                <w:rFonts w:ascii="Aptos" w:hAnsi="Aptos"/>
                <w:sz w:val="19"/>
              </w:rPr>
              <w:t>Client-specific measurement</w:t>
            </w:r>
          </w:p>
        </w:tc>
        <w:tc>
          <w:tcPr>
            <w:tcW w:type="dxa" w:w="5083"/>
            <w:vAlign w:val="top"/>
            <w:tcMar>
              <w:top w:w="100" w:type="dxa"/>
              <w:start w:w="120" w:type="dxa"/>
              <w:bottom w:w="100" w:type="dxa"/>
              <w:end w:w="120" w:type="dxa"/>
            </w:tcMar>
            <w:shd w:fill="F4F7FA"/>
          </w:tcPr>
          <w:p>
            <w:pPr>
              <w:spacing w:after="60"/>
            </w:pPr>
            <w:r>
              <w:rPr>
                <w:rFonts w:ascii="Aptos" w:hAnsi="Aptos"/>
                <w:sz w:val="19"/>
              </w:rPr>
              <w:t>Adaptation to the client's preferred measurement rules, templates and pricing methodology.</w:t>
            </w:r>
          </w:p>
        </w:tc>
      </w:tr>
    </w:tbl>
    <w:p>
      <w:pPr>
        <w:pStyle w:val="Heading1"/>
        <w:spacing w:before="180" w:after="100"/>
      </w:pPr>
      <w:r>
        <w:t>7. Standards and Measurement Frameworks</w:t>
      </w:r>
    </w:p>
    <w:p>
      <w:pPr>
        <w:spacing w:after="120" w:line="259" w:lineRule="auto"/>
      </w:pPr>
      <w:r>
        <w:t>The company-linked public material specifically references different standard frameworks for the core target markets. Exact measurement rules should always be confirmed against the client's tender documents and contract requirements.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top"/>
            <w:tcMar>
              <w:top w:w="100" w:type="dxa"/>
              <w:start w:w="120" w:type="dxa"/>
              <w:bottom w:w="100" w:type="dxa"/>
              <w:end w:w="120" w:type="dxa"/>
            </w:tcMar>
            <w:shd w:fill="16324F"/>
          </w:tcPr>
          <w:p>
            <w:pPr>
              <w:spacing w:after="60"/>
            </w:pPr>
            <w:r>
              <w:rPr>
                <w:rFonts w:ascii="Aptos" w:hAnsi="Aptos"/>
                <w:b/>
                <w:color w:val="FFFFFF"/>
                <w:sz w:val="19"/>
              </w:rPr>
              <w:t>Market</w:t>
            </w:r>
          </w:p>
        </w:tc>
        <w:tc>
          <w:tcPr>
            <w:tcW w:type="dxa" w:w="3312"/>
            <w:vAlign w:val="top"/>
            <w:tcMar>
              <w:top w:w="100" w:type="dxa"/>
              <w:start w:w="120" w:type="dxa"/>
              <w:bottom w:w="100" w:type="dxa"/>
              <w:end w:w="120" w:type="dxa"/>
            </w:tcMar>
            <w:shd w:fill="16324F"/>
          </w:tcPr>
          <w:p>
            <w:pPr>
              <w:spacing w:after="60"/>
            </w:pPr>
            <w:r>
              <w:rPr>
                <w:rFonts w:ascii="Aptos" w:hAnsi="Aptos"/>
                <w:b/>
                <w:color w:val="FFFFFF"/>
                <w:sz w:val="19"/>
              </w:rPr>
              <w:t>Referenced framework</w:t>
            </w:r>
          </w:p>
        </w:tc>
        <w:tc>
          <w:tcPr>
            <w:tcW w:type="dxa" w:w="4536"/>
            <w:vAlign w:val="top"/>
            <w:tcMar>
              <w:top w:w="100" w:type="dxa"/>
              <w:start w:w="120" w:type="dxa"/>
              <w:bottom w:w="100" w:type="dxa"/>
              <w:end w:w="120" w:type="dxa"/>
            </w:tcMar>
            <w:shd w:fill="16324F"/>
          </w:tcPr>
          <w:p>
            <w:pPr>
              <w:spacing w:after="60"/>
            </w:pPr>
            <w:r>
              <w:rPr>
                <w:rFonts w:ascii="Aptos" w:hAnsi="Aptos"/>
                <w:b/>
                <w:color w:val="FFFFFF"/>
                <w:sz w:val="19"/>
              </w:rPr>
              <w:t>Use / interpretation</w:t>
            </w:r>
          </w:p>
        </w:tc>
      </w:tr>
      <w:tr>
        <w:tc>
          <w:tcPr>
            <w:tcW w:type="dxa" w:w="3389"/>
            <w:vAlign w:val="top"/>
            <w:tcMar>
              <w:top w:w="100" w:type="dxa"/>
              <w:start w:w="120" w:type="dxa"/>
              <w:bottom w:w="100" w:type="dxa"/>
              <w:end w:w="120" w:type="dxa"/>
            </w:tcMar>
          </w:tcPr>
          <w:p>
            <w:pPr>
              <w:spacing w:after="60"/>
            </w:pPr>
            <w:r>
              <w:rPr>
                <w:rFonts w:ascii="Aptos" w:hAnsi="Aptos"/>
                <w:sz w:val="19"/>
              </w:rPr>
              <w:t>UK</w:t>
            </w:r>
          </w:p>
        </w:tc>
        <w:tc>
          <w:tcPr>
            <w:tcW w:type="dxa" w:w="3389"/>
            <w:vAlign w:val="top"/>
            <w:tcMar>
              <w:top w:w="100" w:type="dxa"/>
              <w:start w:w="120" w:type="dxa"/>
              <w:bottom w:w="100" w:type="dxa"/>
              <w:end w:w="120" w:type="dxa"/>
            </w:tcMar>
          </w:tcPr>
          <w:p>
            <w:pPr>
              <w:spacing w:after="60"/>
            </w:pPr>
            <w:r>
              <w:rPr>
                <w:rFonts w:ascii="Aptos" w:hAnsi="Aptos"/>
                <w:sz w:val="19"/>
              </w:rPr>
              <w:t>NRM2 / SMM7</w:t>
            </w:r>
          </w:p>
        </w:tc>
        <w:tc>
          <w:tcPr>
            <w:tcW w:type="dxa" w:w="3389"/>
            <w:vAlign w:val="top"/>
            <w:tcMar>
              <w:top w:w="100" w:type="dxa"/>
              <w:start w:w="120" w:type="dxa"/>
              <w:bottom w:w="100" w:type="dxa"/>
              <w:end w:w="120" w:type="dxa"/>
            </w:tcMar>
          </w:tcPr>
          <w:p>
            <w:pPr>
              <w:spacing w:after="60"/>
            </w:pPr>
            <w:r>
              <w:rPr>
                <w:rFonts w:ascii="Aptos" w:hAnsi="Aptos"/>
                <w:sz w:val="19"/>
              </w:rPr>
              <w:t>Measurement and BOQ structuring support for UK estimating workflows; final project requirements govern.</w:t>
            </w:r>
          </w:p>
        </w:tc>
      </w:tr>
      <w:tr>
        <w:tc>
          <w:tcPr>
            <w:tcW w:type="dxa" w:w="3389"/>
            <w:vAlign w:val="top"/>
            <w:tcMar>
              <w:top w:w="100" w:type="dxa"/>
              <w:start w:w="120" w:type="dxa"/>
              <w:bottom w:w="100" w:type="dxa"/>
              <w:end w:w="120" w:type="dxa"/>
            </w:tcMar>
            <w:shd w:fill="F4F7FA"/>
          </w:tcPr>
          <w:p>
            <w:pPr>
              <w:spacing w:after="60"/>
            </w:pPr>
            <w:r>
              <w:rPr>
                <w:rFonts w:ascii="Aptos" w:hAnsi="Aptos"/>
                <w:sz w:val="19"/>
              </w:rPr>
              <w:t>US / Canada</w:t>
            </w:r>
          </w:p>
        </w:tc>
        <w:tc>
          <w:tcPr>
            <w:tcW w:type="dxa" w:w="3389"/>
            <w:vAlign w:val="top"/>
            <w:tcMar>
              <w:top w:w="100" w:type="dxa"/>
              <w:start w:w="120" w:type="dxa"/>
              <w:bottom w:w="100" w:type="dxa"/>
              <w:end w:w="120" w:type="dxa"/>
            </w:tcMar>
            <w:shd w:fill="F4F7FA"/>
          </w:tcPr>
          <w:p>
            <w:pPr>
              <w:spacing w:after="60"/>
            </w:pPr>
            <w:r>
              <w:rPr>
                <w:rFonts w:ascii="Aptos" w:hAnsi="Aptos"/>
                <w:sz w:val="19"/>
              </w:rPr>
              <w:t>CSI / MasterFormat</w:t>
            </w:r>
          </w:p>
        </w:tc>
        <w:tc>
          <w:tcPr>
            <w:tcW w:type="dxa" w:w="3389"/>
            <w:vAlign w:val="top"/>
            <w:tcMar>
              <w:top w:w="100" w:type="dxa"/>
              <w:start w:w="120" w:type="dxa"/>
              <w:bottom w:w="100" w:type="dxa"/>
              <w:end w:w="120" w:type="dxa"/>
            </w:tcMar>
            <w:shd w:fill="F4F7FA"/>
          </w:tcPr>
          <w:p>
            <w:pPr>
              <w:spacing w:after="60"/>
            </w:pPr>
            <w:r>
              <w:rPr>
                <w:rFonts w:ascii="Aptos" w:hAnsi="Aptos"/>
                <w:sz w:val="19"/>
              </w:rPr>
              <w:t>Specification/division-oriented structuring for estimating and construction information in North American workflows.</w:t>
            </w:r>
          </w:p>
        </w:tc>
      </w:tr>
      <w:tr>
        <w:tc>
          <w:tcPr>
            <w:tcW w:type="dxa" w:w="3389"/>
            <w:vAlign w:val="top"/>
            <w:tcMar>
              <w:top w:w="100" w:type="dxa"/>
              <w:start w:w="120" w:type="dxa"/>
              <w:bottom w:w="100" w:type="dxa"/>
              <w:end w:w="120" w:type="dxa"/>
            </w:tcMar>
          </w:tcPr>
          <w:p>
            <w:pPr>
              <w:spacing w:after="60"/>
            </w:pPr>
            <w:r>
              <w:rPr>
                <w:rFonts w:ascii="Aptos" w:hAnsi="Aptos"/>
                <w:sz w:val="19"/>
              </w:rPr>
              <w:t>Project-specific</w:t>
            </w:r>
          </w:p>
        </w:tc>
        <w:tc>
          <w:tcPr>
            <w:tcW w:type="dxa" w:w="3389"/>
            <w:vAlign w:val="top"/>
            <w:tcMar>
              <w:top w:w="100" w:type="dxa"/>
              <w:start w:w="120" w:type="dxa"/>
              <w:bottom w:w="100" w:type="dxa"/>
              <w:end w:w="120" w:type="dxa"/>
            </w:tcMar>
          </w:tcPr>
          <w:p>
            <w:pPr>
              <w:spacing w:after="60"/>
            </w:pPr>
            <w:r>
              <w:rPr>
                <w:rFonts w:ascii="Aptos" w:hAnsi="Aptos"/>
                <w:sz w:val="19"/>
              </w:rPr>
              <w:t>Client standard</w:t>
            </w:r>
          </w:p>
        </w:tc>
        <w:tc>
          <w:tcPr>
            <w:tcW w:type="dxa" w:w="3389"/>
            <w:vAlign w:val="top"/>
            <w:tcMar>
              <w:top w:w="100" w:type="dxa"/>
              <w:start w:w="120" w:type="dxa"/>
              <w:bottom w:w="100" w:type="dxa"/>
              <w:end w:w="120" w:type="dxa"/>
            </w:tcMar>
          </w:tcPr>
          <w:p>
            <w:pPr>
              <w:spacing w:after="60"/>
            </w:pPr>
            <w:r>
              <w:rPr>
                <w:rFonts w:ascii="Aptos" w:hAnsi="Aptos"/>
                <w:sz w:val="19"/>
              </w:rPr>
              <w:t>Client templates, work breakdown, scope responsibility matrix and tender-specific measurement requirements take priority.</w:t>
            </w:r>
          </w:p>
        </w:tc>
      </w:tr>
    </w:tbl>
    <w:p>
      <w:pPr>
        <w:pStyle w:val="Heading1"/>
        <w:spacing w:before="180" w:after="100"/>
      </w:pPr>
      <w:r>
        <w:t>8. Countries You Support</w:t>
      </w:r>
    </w:p>
    <w:p>
      <w:pPr>
        <w:spacing w:after="120" w:line="259" w:lineRule="auto"/>
      </w:pPr>
      <w:r>
        <w:t>CoExtend Global publicly positions itself for clients in the United Kingdom, United States and Canada. The delivery model is designed around remote technical support and dedicated resources that operate as an extension of the client team.</w:t>
      </w:r>
    </w:p>
    <w:p>
      <w:pPr>
        <w:pStyle w:val="ListBullet"/>
        <w:spacing w:after="40"/>
        <w:ind w:left="360"/>
      </w:pPr>
      <w:r>
        <w:t>United Kingdom — strong fit for façade, cladding, roofing, estimating and commercial support workflows; UK measurement conventions such as NRM2/SMM7 are referenced in company-linked material.</w:t>
      </w:r>
    </w:p>
    <w:p>
      <w:pPr>
        <w:pStyle w:val="ListBullet"/>
        <w:spacing w:after="40"/>
        <w:ind w:left="360"/>
      </w:pPr>
      <w:r>
        <w:t>United States — construction estimating, quantity take-offs, drawings and technical support; CSI/MasterFormat is referenced in company-linked material.</w:t>
      </w:r>
    </w:p>
    <w:p>
      <w:pPr>
        <w:pStyle w:val="ListBullet"/>
        <w:spacing w:after="40"/>
        <w:ind w:left="360"/>
      </w:pPr>
      <w:r>
        <w:t>Canada — construction estimating, quantity take-offs, drawings and technical support; North American workflows and CSI/MasterFormat structuring are referenced.</w:t>
      </w:r>
    </w:p>
    <w:p>
      <w:pPr>
        <w:pStyle w:val="Heading1"/>
        <w:spacing w:before="180" w:after="100"/>
      </w:pPr>
      <w:r>
        <w:t>9. Types of Façade Systems</w:t>
      </w:r>
    </w:p>
    <w:p>
      <w:pPr>
        <w:spacing w:after="120" w:line="259" w:lineRule="auto"/>
      </w:pPr>
      <w:r>
        <w:t>Based on CoExtend Global's façade-focused operating scope and the detailed project workflows developed with the company, the practical capability should be framed as system-agnostic rather than tied to one product manufacturer.</w:t>
      </w:r>
    </w:p>
    <w:p>
      <w:pPr>
        <w:pStyle w:val="ListBullet"/>
        <w:spacing w:after="40"/>
        <w:ind w:left="360"/>
      </w:pPr>
      <w:r>
        <w:t>Rainscreen / ventilated façade assemblies and support systems.</w:t>
      </w:r>
    </w:p>
    <w:p>
      <w:pPr>
        <w:pStyle w:val="ListBullet"/>
        <w:spacing w:after="40"/>
        <w:ind w:left="360"/>
      </w:pPr>
      <w:r>
        <w:t>Fibre cement and similar sheet/panel cladding systems.</w:t>
      </w:r>
    </w:p>
    <w:p>
      <w:pPr>
        <w:pStyle w:val="ListBullet"/>
        <w:spacing w:after="40"/>
        <w:ind w:left="360"/>
      </w:pPr>
      <w:r>
        <w:t>Aluminium sheet / cassette / composite-type cladding assemblies where specified.</w:t>
      </w:r>
    </w:p>
    <w:p>
      <w:pPr>
        <w:pStyle w:val="ListBullet"/>
        <w:spacing w:after="40"/>
        <w:ind w:left="360"/>
      </w:pPr>
      <w:r>
        <w:t>Metal panels, trims, flashings, coping and associated façade metalwork.</w:t>
      </w:r>
    </w:p>
    <w:p>
      <w:pPr>
        <w:pStyle w:val="ListBullet"/>
        <w:spacing w:after="40"/>
        <w:ind w:left="360"/>
      </w:pPr>
      <w:r>
        <w:t>Support rails, brackets, clips, subframes and secondary steelwork interfaces.</w:t>
      </w:r>
    </w:p>
    <w:p>
      <w:pPr>
        <w:pStyle w:val="ListBullet"/>
        <w:spacing w:after="40"/>
        <w:ind w:left="360"/>
      </w:pPr>
      <w:r>
        <w:t>Insulation, membranes and cavity-related façade build-ups.</w:t>
      </w:r>
    </w:p>
    <w:p>
      <w:pPr>
        <w:pStyle w:val="ListBullet"/>
        <w:spacing w:after="40"/>
        <w:ind w:left="360"/>
      </w:pPr>
      <w:r>
        <w:t>Open / drained / ventilated cavity façade details subject to project design.</w:t>
      </w:r>
    </w:p>
    <w:p>
      <w:pPr>
        <w:pStyle w:val="ListBullet"/>
        <w:spacing w:after="40"/>
        <w:ind w:left="360"/>
      </w:pPr>
      <w:r>
        <w:t>Interface items such as corners, reveals, penetrations, openings, parapets and terminations.</w:t>
      </w:r>
    </w:p>
    <w:tbl>
      <w:tblPr>
        <w:tblW w:type="auto" w:w="0"/>
        <w:jc w:val="center"/>
        <w:tblLook w:firstColumn="1" w:firstRow="1" w:lastColumn="0" w:lastRow="0" w:noHBand="0" w:noVBand="1" w:val="04A0"/>
      </w:tblPr>
      <w:tblGrid>
        <w:gridCol w:w="10166"/>
      </w:tblGrid>
      <w:tr>
        <w:trPr>
          <w:cantSplit/>
        </w:trPr>
        <w:tc>
          <w:tcPr>
            <w:tcW w:type="dxa" w:w="10166"/>
            <w:shd w:fill="FFF4E5"/>
            <w:tcMar>
              <w:top w:w="140" w:type="dxa"/>
              <w:start w:w="180" w:type="dxa"/>
              <w:bottom w:w="140" w:type="dxa"/>
              <w:end w:w="180" w:type="dxa"/>
            </w:tcMar>
          </w:tcPr>
          <w:p>
            <w:r>
              <w:rPr>
                <w:b/>
                <w:color w:val="16324F"/>
              </w:rPr>
              <w:t xml:space="preserve">Important: </w:t>
            </w:r>
            <w:r>
              <w:t>This list describes the capability scope visible in CoExtend Global's operating model and project discussions. It is not a claim that every system is approved, engineered or manufacturer-certified by CoExtend Global. Engineering responsibility remains with the appointed design/engineering party unless explicitly contracted.</w:t>
            </w:r>
          </w:p>
        </w:tc>
      </w:tr>
    </w:tbl>
    <w:p>
      <w:pPr>
        <w:spacing w:after="0"/>
      </w:pPr>
    </w:p>
    <w:p>
      <w:pPr>
        <w:pStyle w:val="Heading1"/>
        <w:spacing w:before="180" w:after="100"/>
      </w:pPr>
      <w:r>
        <w:t>10. Types of Projects</w:t>
      </w:r>
    </w:p>
    <w:p>
      <w:pPr>
        <w:pStyle w:val="ListBullet"/>
        <w:spacing w:after="40"/>
        <w:ind w:left="360"/>
      </w:pPr>
      <w:r>
        <w:t>Commercial buildings and mixed-use developments.</w:t>
      </w:r>
    </w:p>
    <w:p>
      <w:pPr>
        <w:pStyle w:val="ListBullet"/>
        <w:spacing w:after="40"/>
        <w:ind w:left="360"/>
      </w:pPr>
      <w:r>
        <w:t>Façade refurbishment / recladding and building-envelope upgrade packages.</w:t>
      </w:r>
    </w:p>
    <w:p>
      <w:pPr>
        <w:pStyle w:val="ListBullet"/>
        <w:spacing w:after="40"/>
        <w:ind w:left="360"/>
      </w:pPr>
      <w:r>
        <w:t>New-build façade and cladding packages.</w:t>
      </w:r>
    </w:p>
    <w:p>
      <w:pPr>
        <w:pStyle w:val="ListBullet"/>
        <w:spacing w:after="40"/>
        <w:ind w:left="360"/>
      </w:pPr>
      <w:r>
        <w:t>Roofing and associated envelope packages.</w:t>
      </w:r>
    </w:p>
    <w:p>
      <w:pPr>
        <w:pStyle w:val="ListBullet"/>
        <w:spacing w:after="40"/>
        <w:ind w:left="360"/>
      </w:pPr>
      <w:r>
        <w:t>Apartment / residential developments where façade estimation or detailing is required.</w:t>
      </w:r>
    </w:p>
    <w:p>
      <w:pPr>
        <w:pStyle w:val="ListBullet"/>
        <w:spacing w:after="40"/>
        <w:ind w:left="360"/>
      </w:pPr>
      <w:r>
        <w:t>Industrial, warehouse and manufacturing buildings with metal/envelope packages.</w:t>
      </w:r>
    </w:p>
    <w:p>
      <w:pPr>
        <w:pStyle w:val="ListBullet"/>
        <w:spacing w:after="40"/>
        <w:ind w:left="360"/>
      </w:pPr>
      <w:r>
        <w:t>Projects with tender, fabrication, shop-drawing and installation documentation requirements.</w:t>
      </w:r>
    </w:p>
    <w:p>
      <w:pPr>
        <w:pStyle w:val="ListBullet"/>
        <w:spacing w:after="40"/>
        <w:ind w:left="360"/>
      </w:pPr>
      <w:r>
        <w:t>Technology / SaaS projects for construction businesses, contractors, fabricators and technical-service providers.</w:t>
      </w:r>
    </w:p>
    <w:p>
      <w:pPr>
        <w:pStyle w:val="Heading1"/>
        <w:spacing w:before="180" w:after="100"/>
      </w:pPr>
      <w:r>
        <w:t>11. Team Capabilities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top"/>
            <w:tcMar>
              <w:top w:w="100" w:type="dxa"/>
              <w:start w:w="120" w:type="dxa"/>
              <w:bottom w:w="100" w:type="dxa"/>
              <w:end w:w="120" w:type="dxa"/>
            </w:tcMar>
            <w:shd w:fill="16324F"/>
          </w:tcPr>
          <w:p>
            <w:pPr>
              <w:spacing w:after="60"/>
            </w:pPr>
            <w:r>
              <w:rPr>
                <w:rFonts w:ascii="Aptos" w:hAnsi="Aptos"/>
                <w:b/>
                <w:color w:val="FFFFFF"/>
                <w:sz w:val="19"/>
              </w:rPr>
              <w:t>Team capability</w:t>
            </w:r>
          </w:p>
        </w:tc>
        <w:tc>
          <w:tcPr>
            <w:tcW w:type="dxa" w:w="3384"/>
            <w:vAlign w:val="top"/>
            <w:tcMar>
              <w:top w:w="100" w:type="dxa"/>
              <w:start w:w="120" w:type="dxa"/>
              <w:bottom w:w="100" w:type="dxa"/>
              <w:end w:w="120" w:type="dxa"/>
            </w:tcMar>
            <w:shd w:fill="16324F"/>
          </w:tcPr>
          <w:p>
            <w:pPr>
              <w:spacing w:after="60"/>
            </w:pPr>
            <w:r>
              <w:rPr>
                <w:rFonts w:ascii="Aptos" w:hAnsi="Aptos"/>
                <w:b/>
                <w:color w:val="FFFFFF"/>
                <w:sz w:val="19"/>
              </w:rPr>
              <w:t>Primary role</w:t>
            </w:r>
          </w:p>
        </w:tc>
        <w:tc>
          <w:tcPr>
            <w:tcW w:type="dxa" w:w="3960"/>
            <w:vAlign w:val="top"/>
            <w:tcMar>
              <w:top w:w="100" w:type="dxa"/>
              <w:start w:w="120" w:type="dxa"/>
              <w:bottom w:w="100" w:type="dxa"/>
              <w:end w:w="120" w:type="dxa"/>
            </w:tcMar>
            <w:shd w:fill="16324F"/>
          </w:tcPr>
          <w:p>
            <w:pPr>
              <w:spacing w:after="60"/>
            </w:pPr>
            <w:r>
              <w:rPr>
                <w:rFonts w:ascii="Aptos" w:hAnsi="Aptos"/>
                <w:b/>
                <w:color w:val="FFFFFF"/>
                <w:sz w:val="19"/>
              </w:rPr>
              <w:t>Typical outputs</w:t>
            </w:r>
          </w:p>
        </w:tc>
      </w:tr>
      <w:tr>
        <w:tc>
          <w:tcPr>
            <w:tcW w:type="dxa" w:w="3389"/>
            <w:vAlign w:val="top"/>
            <w:tcMar>
              <w:top w:w="100" w:type="dxa"/>
              <w:start w:w="120" w:type="dxa"/>
              <w:bottom w:w="100" w:type="dxa"/>
              <w:end w:w="120" w:type="dxa"/>
            </w:tcMar>
          </w:tcPr>
          <w:p>
            <w:pPr>
              <w:spacing w:after="60"/>
            </w:pPr>
            <w:r>
              <w:rPr>
                <w:rFonts w:ascii="Aptos" w:hAnsi="Aptos"/>
                <w:sz w:val="19"/>
              </w:rPr>
              <w:t>Estimating</w:t>
            </w:r>
          </w:p>
        </w:tc>
        <w:tc>
          <w:tcPr>
            <w:tcW w:type="dxa" w:w="3389"/>
            <w:vAlign w:val="top"/>
            <w:tcMar>
              <w:top w:w="100" w:type="dxa"/>
              <w:start w:w="120" w:type="dxa"/>
              <w:bottom w:w="100" w:type="dxa"/>
              <w:end w:w="120" w:type="dxa"/>
            </w:tcMar>
          </w:tcPr>
          <w:p>
            <w:pPr>
              <w:spacing w:after="60"/>
            </w:pPr>
            <w:r>
              <w:rPr>
                <w:rFonts w:ascii="Aptos" w:hAnsi="Aptos"/>
                <w:sz w:val="19"/>
              </w:rPr>
              <w:t>Estimator / quantity survey support</w:t>
            </w:r>
          </w:p>
        </w:tc>
        <w:tc>
          <w:tcPr>
            <w:tcW w:type="dxa" w:w="3389"/>
            <w:vAlign w:val="top"/>
            <w:tcMar>
              <w:top w:w="100" w:type="dxa"/>
              <w:start w:w="120" w:type="dxa"/>
              <w:bottom w:w="100" w:type="dxa"/>
              <w:end w:w="120" w:type="dxa"/>
            </w:tcMar>
          </w:tcPr>
          <w:p>
            <w:pPr>
              <w:spacing w:after="60"/>
            </w:pPr>
            <w:r>
              <w:rPr>
                <w:rFonts w:ascii="Aptos" w:hAnsi="Aptos"/>
                <w:sz w:val="19"/>
              </w:rPr>
              <w:t>Take-offs, BOQs, cost plans, tender pricing support, variations.</w:t>
            </w:r>
          </w:p>
        </w:tc>
      </w:tr>
      <w:tr>
        <w:tc>
          <w:tcPr>
            <w:tcW w:type="dxa" w:w="3389"/>
            <w:vAlign w:val="top"/>
            <w:tcMar>
              <w:top w:w="100" w:type="dxa"/>
              <w:start w:w="120" w:type="dxa"/>
              <w:bottom w:w="100" w:type="dxa"/>
              <w:end w:w="120" w:type="dxa"/>
            </w:tcMar>
            <w:shd w:fill="F4F7FA"/>
          </w:tcPr>
          <w:p>
            <w:pPr>
              <w:spacing w:after="60"/>
            </w:pPr>
            <w:r>
              <w:rPr>
                <w:rFonts w:ascii="Aptos" w:hAnsi="Aptos"/>
                <w:sz w:val="19"/>
              </w:rPr>
              <w:t>Façade technical</w:t>
            </w:r>
          </w:p>
        </w:tc>
        <w:tc>
          <w:tcPr>
            <w:tcW w:type="dxa" w:w="3389"/>
            <w:vAlign w:val="top"/>
            <w:tcMar>
              <w:top w:w="100" w:type="dxa"/>
              <w:start w:w="120" w:type="dxa"/>
              <w:bottom w:w="100" w:type="dxa"/>
              <w:end w:w="120" w:type="dxa"/>
            </w:tcMar>
            <w:shd w:fill="F4F7FA"/>
          </w:tcPr>
          <w:p>
            <w:pPr>
              <w:spacing w:after="60"/>
            </w:pPr>
            <w:r>
              <w:rPr>
                <w:rFonts w:ascii="Aptos" w:hAnsi="Aptos"/>
                <w:sz w:val="19"/>
              </w:rPr>
              <w:t>Façade specialist / engineering support</w:t>
            </w:r>
          </w:p>
        </w:tc>
        <w:tc>
          <w:tcPr>
            <w:tcW w:type="dxa" w:w="3389"/>
            <w:vAlign w:val="top"/>
            <w:tcMar>
              <w:top w:w="100" w:type="dxa"/>
              <w:start w:w="120" w:type="dxa"/>
              <w:bottom w:w="100" w:type="dxa"/>
              <w:end w:w="120" w:type="dxa"/>
            </w:tcMar>
            <w:shd w:fill="F4F7FA"/>
          </w:tcPr>
          <w:p>
            <w:pPr>
              <w:spacing w:after="60"/>
            </w:pPr>
            <w:r>
              <w:rPr>
                <w:rFonts w:ascii="Aptos" w:hAnsi="Aptos"/>
                <w:sz w:val="19"/>
              </w:rPr>
              <w:t>System review, detailing support, interfaces, technical notes and coordination.</w:t>
            </w:r>
          </w:p>
        </w:tc>
      </w:tr>
      <w:tr>
        <w:tc>
          <w:tcPr>
            <w:tcW w:type="dxa" w:w="3389"/>
            <w:vAlign w:val="top"/>
            <w:tcMar>
              <w:top w:w="100" w:type="dxa"/>
              <w:start w:w="120" w:type="dxa"/>
              <w:bottom w:w="100" w:type="dxa"/>
              <w:end w:w="120" w:type="dxa"/>
            </w:tcMar>
          </w:tcPr>
          <w:p>
            <w:pPr>
              <w:spacing w:after="60"/>
            </w:pPr>
            <w:r>
              <w:rPr>
                <w:rFonts w:ascii="Aptos" w:hAnsi="Aptos"/>
                <w:sz w:val="19"/>
              </w:rPr>
              <w:t>CAD drafting</w:t>
            </w:r>
          </w:p>
        </w:tc>
        <w:tc>
          <w:tcPr>
            <w:tcW w:type="dxa" w:w="3389"/>
            <w:vAlign w:val="top"/>
            <w:tcMar>
              <w:top w:w="100" w:type="dxa"/>
              <w:start w:w="120" w:type="dxa"/>
              <w:bottom w:w="100" w:type="dxa"/>
              <w:end w:w="120" w:type="dxa"/>
            </w:tcMar>
          </w:tcPr>
          <w:p>
            <w:pPr>
              <w:spacing w:after="60"/>
            </w:pPr>
            <w:r>
              <w:rPr>
                <w:rFonts w:ascii="Aptos" w:hAnsi="Aptos"/>
                <w:sz w:val="19"/>
              </w:rPr>
              <w:t>CAD technician / drafter</w:t>
            </w:r>
          </w:p>
        </w:tc>
        <w:tc>
          <w:tcPr>
            <w:tcW w:type="dxa" w:w="3389"/>
            <w:vAlign w:val="top"/>
            <w:tcMar>
              <w:top w:w="100" w:type="dxa"/>
              <w:start w:w="120" w:type="dxa"/>
              <w:bottom w:w="100" w:type="dxa"/>
              <w:end w:w="120" w:type="dxa"/>
            </w:tcMar>
          </w:tcPr>
          <w:p>
            <w:pPr>
              <w:spacing w:after="60"/>
            </w:pPr>
            <w:r>
              <w:rPr>
                <w:rFonts w:ascii="Aptos" w:hAnsi="Aptos"/>
                <w:sz w:val="19"/>
              </w:rPr>
              <w:t>Shop drawings, details, layouts, revisions and fabrication documentation.</w:t>
            </w:r>
          </w:p>
        </w:tc>
      </w:tr>
      <w:tr>
        <w:tc>
          <w:tcPr>
            <w:tcW w:type="dxa" w:w="3389"/>
            <w:vAlign w:val="top"/>
            <w:tcMar>
              <w:top w:w="100" w:type="dxa"/>
              <w:start w:w="120" w:type="dxa"/>
              <w:bottom w:w="100" w:type="dxa"/>
              <w:end w:w="120" w:type="dxa"/>
            </w:tcMar>
            <w:shd w:fill="F4F7FA"/>
          </w:tcPr>
          <w:p>
            <w:pPr>
              <w:spacing w:after="60"/>
            </w:pPr>
            <w:r>
              <w:rPr>
                <w:rFonts w:ascii="Aptos" w:hAnsi="Aptos"/>
                <w:sz w:val="19"/>
              </w:rPr>
              <w:t>BIM</w:t>
            </w:r>
          </w:p>
        </w:tc>
        <w:tc>
          <w:tcPr>
            <w:tcW w:type="dxa" w:w="3389"/>
            <w:vAlign w:val="top"/>
            <w:tcMar>
              <w:top w:w="100" w:type="dxa"/>
              <w:start w:w="120" w:type="dxa"/>
              <w:bottom w:w="100" w:type="dxa"/>
              <w:end w:w="120" w:type="dxa"/>
            </w:tcMar>
            <w:shd w:fill="F4F7FA"/>
          </w:tcPr>
          <w:p>
            <w:pPr>
              <w:spacing w:after="60"/>
            </w:pPr>
            <w:r>
              <w:rPr>
                <w:rFonts w:ascii="Aptos" w:hAnsi="Aptos"/>
                <w:sz w:val="19"/>
              </w:rPr>
              <w:t>BIM modeller / coordinator support</w:t>
            </w:r>
          </w:p>
        </w:tc>
        <w:tc>
          <w:tcPr>
            <w:tcW w:type="dxa" w:w="3389"/>
            <w:vAlign w:val="top"/>
            <w:tcMar>
              <w:top w:w="100" w:type="dxa"/>
              <w:start w:w="120" w:type="dxa"/>
              <w:bottom w:w="100" w:type="dxa"/>
              <w:end w:w="120" w:type="dxa"/>
            </w:tcMar>
            <w:shd w:fill="F4F7FA"/>
          </w:tcPr>
          <w:p>
            <w:pPr>
              <w:spacing w:after="60"/>
            </w:pPr>
            <w:r>
              <w:rPr>
                <w:rFonts w:ascii="Aptos" w:hAnsi="Aptos"/>
                <w:sz w:val="19"/>
              </w:rPr>
              <w:t>Revit models, coordinated views, model-based documentation.</w:t>
            </w:r>
          </w:p>
        </w:tc>
      </w:tr>
      <w:tr>
        <w:tc>
          <w:tcPr>
            <w:tcW w:type="dxa" w:w="3389"/>
            <w:vAlign w:val="top"/>
            <w:tcMar>
              <w:top w:w="100" w:type="dxa"/>
              <w:start w:w="120" w:type="dxa"/>
              <w:bottom w:w="100" w:type="dxa"/>
              <w:end w:w="120" w:type="dxa"/>
            </w:tcMar>
          </w:tcPr>
          <w:p>
            <w:pPr>
              <w:spacing w:after="60"/>
            </w:pPr>
            <w:r>
              <w:rPr>
                <w:rFonts w:ascii="Aptos" w:hAnsi="Aptos"/>
                <w:sz w:val="19"/>
              </w:rPr>
              <w:t>Commercial support</w:t>
            </w:r>
          </w:p>
        </w:tc>
        <w:tc>
          <w:tcPr>
            <w:tcW w:type="dxa" w:w="3389"/>
            <w:vAlign w:val="top"/>
            <w:tcMar>
              <w:top w:w="100" w:type="dxa"/>
              <w:start w:w="120" w:type="dxa"/>
              <w:bottom w:w="100" w:type="dxa"/>
              <w:end w:w="120" w:type="dxa"/>
            </w:tcMar>
          </w:tcPr>
          <w:p>
            <w:pPr>
              <w:spacing w:after="60"/>
            </w:pPr>
            <w:r>
              <w:rPr>
                <w:rFonts w:ascii="Aptos" w:hAnsi="Aptos"/>
                <w:sz w:val="19"/>
              </w:rPr>
              <w:t>Commercial assistant</w:t>
            </w:r>
          </w:p>
        </w:tc>
        <w:tc>
          <w:tcPr>
            <w:tcW w:type="dxa" w:w="3389"/>
            <w:vAlign w:val="top"/>
            <w:tcMar>
              <w:top w:w="100" w:type="dxa"/>
              <w:start w:w="120" w:type="dxa"/>
              <w:bottom w:w="100" w:type="dxa"/>
              <w:end w:w="120" w:type="dxa"/>
            </w:tcMar>
          </w:tcPr>
          <w:p>
            <w:pPr>
              <w:spacing w:after="60"/>
            </w:pPr>
            <w:r>
              <w:rPr>
                <w:rFonts w:ascii="Aptos" w:hAnsi="Aptos"/>
                <w:sz w:val="19"/>
              </w:rPr>
              <w:t>Budget tracking, reports, schedules, records and tender/commercial administration.</w:t>
            </w:r>
          </w:p>
        </w:tc>
      </w:tr>
      <w:tr>
        <w:tc>
          <w:tcPr>
            <w:tcW w:type="dxa" w:w="3389"/>
            <w:vAlign w:val="top"/>
            <w:tcMar>
              <w:top w:w="100" w:type="dxa"/>
              <w:start w:w="120" w:type="dxa"/>
              <w:bottom w:w="100" w:type="dxa"/>
              <w:end w:w="120" w:type="dxa"/>
            </w:tcMar>
            <w:shd w:fill="F4F7FA"/>
          </w:tcPr>
          <w:p>
            <w:pPr>
              <w:spacing w:after="60"/>
            </w:pPr>
            <w:r>
              <w:rPr>
                <w:rFonts w:ascii="Aptos" w:hAnsi="Aptos"/>
                <w:sz w:val="19"/>
              </w:rPr>
              <w:t>Software</w:t>
            </w:r>
          </w:p>
        </w:tc>
        <w:tc>
          <w:tcPr>
            <w:tcW w:type="dxa" w:w="3389"/>
            <w:vAlign w:val="top"/>
            <w:tcMar>
              <w:top w:w="100" w:type="dxa"/>
              <w:start w:w="120" w:type="dxa"/>
              <w:bottom w:w="100" w:type="dxa"/>
              <w:end w:w="120" w:type="dxa"/>
            </w:tcMar>
            <w:shd w:fill="F4F7FA"/>
          </w:tcPr>
          <w:p>
            <w:pPr>
              <w:spacing w:after="60"/>
            </w:pPr>
            <w:r>
              <w:rPr>
                <w:rFonts w:ascii="Aptos" w:hAnsi="Aptos"/>
                <w:sz w:val="19"/>
              </w:rPr>
              <w:t>Full-stack / application development</w:t>
            </w:r>
          </w:p>
        </w:tc>
        <w:tc>
          <w:tcPr>
            <w:tcW w:type="dxa" w:w="3389"/>
            <w:vAlign w:val="top"/>
            <w:tcMar>
              <w:top w:w="100" w:type="dxa"/>
              <w:start w:w="120" w:type="dxa"/>
              <w:bottom w:w="100" w:type="dxa"/>
              <w:end w:w="120" w:type="dxa"/>
            </w:tcMar>
            <w:shd w:fill="F4F7FA"/>
          </w:tcPr>
          <w:p>
            <w:pPr>
              <w:spacing w:after="60"/>
            </w:pPr>
            <w:r>
              <w:rPr>
                <w:rFonts w:ascii="Aptos" w:hAnsi="Aptos"/>
                <w:sz w:val="19"/>
              </w:rPr>
              <w:t>Web, mobile, SaaS and cloud-based business applications.</w:t>
            </w:r>
          </w:p>
        </w:tc>
      </w:tr>
      <w:tr>
        <w:tc>
          <w:tcPr>
            <w:tcW w:type="dxa" w:w="3389"/>
            <w:vAlign w:val="top"/>
            <w:tcMar>
              <w:top w:w="100" w:type="dxa"/>
              <w:start w:w="120" w:type="dxa"/>
              <w:bottom w:w="100" w:type="dxa"/>
              <w:end w:w="120" w:type="dxa"/>
            </w:tcMar>
          </w:tcPr>
          <w:p>
            <w:pPr>
              <w:spacing w:after="60"/>
            </w:pPr>
            <w:r>
              <w:rPr>
                <w:rFonts w:ascii="Aptos" w:hAnsi="Aptos"/>
                <w:sz w:val="19"/>
              </w:rPr>
              <w:t>Project coordination</w:t>
            </w:r>
          </w:p>
        </w:tc>
        <w:tc>
          <w:tcPr>
            <w:tcW w:type="dxa" w:w="3389"/>
            <w:vAlign w:val="top"/>
            <w:tcMar>
              <w:top w:w="100" w:type="dxa"/>
              <w:start w:w="120" w:type="dxa"/>
              <w:bottom w:w="100" w:type="dxa"/>
              <w:end w:w="120" w:type="dxa"/>
            </w:tcMar>
          </w:tcPr>
          <w:p>
            <w:pPr>
              <w:spacing w:after="60"/>
            </w:pPr>
            <w:r>
              <w:rPr>
                <w:rFonts w:ascii="Aptos" w:hAnsi="Aptos"/>
                <w:sz w:val="19"/>
              </w:rPr>
              <w:t>Delivery / account coordination</w:t>
            </w:r>
          </w:p>
        </w:tc>
        <w:tc>
          <w:tcPr>
            <w:tcW w:type="dxa" w:w="3389"/>
            <w:vAlign w:val="top"/>
            <w:tcMar>
              <w:top w:w="100" w:type="dxa"/>
              <w:start w:w="120" w:type="dxa"/>
              <w:bottom w:w="100" w:type="dxa"/>
              <w:end w:w="120" w:type="dxa"/>
            </w:tcMar>
          </w:tcPr>
          <w:p>
            <w:pPr>
              <w:spacing w:after="60"/>
            </w:pPr>
            <w:r>
              <w:rPr>
                <w:rFonts w:ascii="Aptos" w:hAnsi="Aptos"/>
                <w:sz w:val="19"/>
              </w:rPr>
              <w:t>Brief intake, document control, progress tracking, QA and client communication.</w:t>
            </w:r>
          </w:p>
        </w:tc>
      </w:tr>
    </w:tbl>
    <w:p>
      <w:pPr>
        <w:pStyle w:val="Heading1"/>
        <w:spacing w:before="180" w:after="100"/>
      </w:pPr>
      <w:r>
        <w:t>12. Operating Model Behind the Capabilities</w:t>
      </w:r>
    </w:p>
    <w:p>
      <w:pPr>
        <w:spacing w:after="120" w:line="259" w:lineRule="auto"/>
      </w:pPr>
      <w:r>
        <w:t>CoExtend Global's capabilities are designed to be consumed in different ways depending on the client's workload and internal team structure.</w:t>
      </w:r>
    </w:p>
    <w:p>
      <w:pPr>
        <w:pStyle w:val="ListBullet"/>
        <w:spacing w:after="40"/>
        <w:ind w:left="360"/>
      </w:pPr>
      <w:r>
        <w:t>Project-based delivery: defined scope, agreed output, fixed or quoted project fee and delivery timeline.</w:t>
      </w:r>
    </w:p>
    <w:p>
      <w:pPr>
        <w:pStyle w:val="ListBullet"/>
        <w:spacing w:after="40"/>
        <w:ind w:left="360"/>
      </w:pPr>
      <w:r>
        <w:t>Dedicated monthly resource: an assigned estimator/drafter/developer acts as an extension of the client's team, following client procedures and templates.</w:t>
      </w:r>
    </w:p>
    <w:p>
      <w:pPr>
        <w:pStyle w:val="ListBullet"/>
        <w:spacing w:after="40"/>
        <w:ind w:left="360"/>
      </w:pPr>
      <w:r>
        <w:t>Hourly resource: flexible support for peak workloads, urgent packages, backlog reduction or specialist tasks.</w:t>
      </w:r>
    </w:p>
    <w:p>
      <w:pPr>
        <w:pStyle w:val="ListBullet"/>
        <w:spacing w:after="40"/>
        <w:ind w:left="360"/>
      </w:pPr>
      <w:r>
        <w:t>Integrated workflow support: estimating, drawings, commercial information and digital tools can be connected rather than procured as isolated services.</w:t>
      </w:r>
    </w:p>
    <w:p>
      <w:pPr>
        <w:pStyle w:val="Heading1"/>
        <w:spacing w:before="180" w:after="100"/>
      </w:pPr>
      <w:r>
        <w:t>13. Competitive Capability Positioning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vAlign w:val="top"/>
            <w:tcMar>
              <w:top w:w="100" w:type="dxa"/>
              <w:start w:w="120" w:type="dxa"/>
              <w:bottom w:w="100" w:type="dxa"/>
              <w:end w:w="120" w:type="dxa"/>
            </w:tcMar>
            <w:shd w:fill="16324F"/>
          </w:tcPr>
          <w:p>
            <w:pPr>
              <w:spacing w:after="60"/>
            </w:pPr>
            <w:r>
              <w:rPr>
                <w:rFonts w:ascii="Aptos" w:hAnsi="Aptos"/>
                <w:b/>
                <w:color w:val="FFFFFF"/>
                <w:sz w:val="19"/>
              </w:rPr>
              <w:t>Differentiator</w:t>
            </w:r>
          </w:p>
        </w:tc>
        <w:tc>
          <w:tcPr>
            <w:tcW w:type="dxa" w:w="6984"/>
            <w:vAlign w:val="top"/>
            <w:tcMar>
              <w:top w:w="100" w:type="dxa"/>
              <w:start w:w="120" w:type="dxa"/>
              <w:bottom w:w="100" w:type="dxa"/>
              <w:end w:w="120" w:type="dxa"/>
            </w:tcMar>
            <w:shd w:fill="16324F"/>
          </w:tcPr>
          <w:p>
            <w:pPr>
              <w:spacing w:after="60"/>
            </w:pPr>
            <w:r>
              <w:rPr>
                <w:rFonts w:ascii="Aptos" w:hAnsi="Aptos"/>
                <w:b/>
                <w:color w:val="FFFFFF"/>
                <w:sz w:val="19"/>
              </w:rPr>
              <w:t>Why it matters</w:t>
            </w:r>
          </w:p>
        </w:tc>
      </w:tr>
      <w:tr>
        <w:tc>
          <w:tcPr>
            <w:tcW w:type="dxa" w:w="5083"/>
            <w:vAlign w:val="top"/>
            <w:tcMar>
              <w:top w:w="100" w:type="dxa"/>
              <w:start w:w="120" w:type="dxa"/>
              <w:bottom w:w="100" w:type="dxa"/>
              <w:end w:w="120" w:type="dxa"/>
            </w:tcMar>
          </w:tcPr>
          <w:p>
            <w:pPr>
              <w:spacing w:after="60"/>
            </w:pPr>
            <w:r>
              <w:rPr>
                <w:rFonts w:ascii="Aptos" w:hAnsi="Aptos"/>
                <w:sz w:val="19"/>
              </w:rPr>
              <w:t>Façade + estimating</w:t>
            </w:r>
          </w:p>
        </w:tc>
        <w:tc>
          <w:tcPr>
            <w:tcW w:type="dxa" w:w="5083"/>
            <w:vAlign w:val="top"/>
            <w:tcMar>
              <w:top w:w="100" w:type="dxa"/>
              <w:start w:w="120" w:type="dxa"/>
              <w:bottom w:w="100" w:type="dxa"/>
              <w:end w:w="120" w:type="dxa"/>
            </w:tcMar>
          </w:tcPr>
          <w:p>
            <w:pPr>
              <w:spacing w:after="60"/>
            </w:pPr>
            <w:r>
              <w:rPr>
                <w:rFonts w:ascii="Aptos" w:hAnsi="Aptos"/>
                <w:sz w:val="19"/>
              </w:rPr>
              <w:t>The combination reduces hand-off between quantity take-off, technical interpretation and drawing production.</w:t>
            </w:r>
          </w:p>
        </w:tc>
      </w:tr>
      <w:tr>
        <w:tc>
          <w:tcPr>
            <w:tcW w:type="dxa" w:w="5083"/>
            <w:vAlign w:val="top"/>
            <w:tcMar>
              <w:top w:w="100" w:type="dxa"/>
              <w:start w:w="120" w:type="dxa"/>
              <w:bottom w:w="100" w:type="dxa"/>
              <w:end w:w="120" w:type="dxa"/>
            </w:tcMar>
            <w:shd w:fill="F4F7FA"/>
          </w:tcPr>
          <w:p>
            <w:pPr>
              <w:spacing w:after="60"/>
            </w:pPr>
            <w:r>
              <w:rPr>
                <w:rFonts w:ascii="Aptos" w:hAnsi="Aptos"/>
                <w:sz w:val="19"/>
              </w:rPr>
              <w:t>Engineering-aware production</w:t>
            </w:r>
          </w:p>
        </w:tc>
        <w:tc>
          <w:tcPr>
            <w:tcW w:type="dxa" w:w="5083"/>
            <w:vAlign w:val="top"/>
            <w:tcMar>
              <w:top w:w="100" w:type="dxa"/>
              <w:start w:w="120" w:type="dxa"/>
              <w:bottom w:w="100" w:type="dxa"/>
              <w:end w:w="120" w:type="dxa"/>
            </w:tcMar>
            <w:shd w:fill="F4F7FA"/>
          </w:tcPr>
          <w:p>
            <w:pPr>
              <w:spacing w:after="60"/>
            </w:pPr>
            <w:r>
              <w:rPr>
                <w:rFonts w:ascii="Aptos" w:hAnsi="Aptos"/>
                <w:sz w:val="19"/>
              </w:rPr>
              <w:t>Outputs are built with an understanding of how façade systems, interfaces and construction details affect quantities and drawings.</w:t>
            </w:r>
          </w:p>
        </w:tc>
      </w:tr>
      <w:tr>
        <w:tc>
          <w:tcPr>
            <w:tcW w:type="dxa" w:w="5083"/>
            <w:vAlign w:val="top"/>
            <w:tcMar>
              <w:top w:w="100" w:type="dxa"/>
              <w:start w:w="120" w:type="dxa"/>
              <w:bottom w:w="100" w:type="dxa"/>
              <w:end w:w="120" w:type="dxa"/>
            </w:tcMar>
          </w:tcPr>
          <w:p>
            <w:pPr>
              <w:spacing w:after="60"/>
            </w:pPr>
            <w:r>
              <w:rPr>
                <w:rFonts w:ascii="Aptos" w:hAnsi="Aptos"/>
                <w:sz w:val="19"/>
              </w:rPr>
              <w:t>Client-process adaptation</w:t>
            </w:r>
          </w:p>
        </w:tc>
        <w:tc>
          <w:tcPr>
            <w:tcW w:type="dxa" w:w="5083"/>
            <w:vAlign w:val="top"/>
            <w:tcMar>
              <w:top w:w="100" w:type="dxa"/>
              <w:start w:w="120" w:type="dxa"/>
              <w:bottom w:w="100" w:type="dxa"/>
              <w:end w:w="120" w:type="dxa"/>
            </w:tcMar>
          </w:tcPr>
          <w:p>
            <w:pPr>
              <w:spacing w:after="60"/>
            </w:pPr>
            <w:r>
              <w:rPr>
                <w:rFonts w:ascii="Aptos" w:hAnsi="Aptos"/>
                <w:sz w:val="19"/>
              </w:rPr>
              <w:t>Templates, work breakdown structures, scope matrices and deliverable formats can be aligned to the client rather than forcing one generic output.</w:t>
            </w:r>
          </w:p>
        </w:tc>
      </w:tr>
      <w:tr>
        <w:tc>
          <w:tcPr>
            <w:tcW w:type="dxa" w:w="5083"/>
            <w:vAlign w:val="top"/>
            <w:tcMar>
              <w:top w:w="100" w:type="dxa"/>
              <w:start w:w="120" w:type="dxa"/>
              <w:bottom w:w="100" w:type="dxa"/>
              <w:end w:w="120" w:type="dxa"/>
            </w:tcMar>
            <w:shd w:fill="F4F7FA"/>
          </w:tcPr>
          <w:p>
            <w:pPr>
              <w:spacing w:after="60"/>
            </w:pPr>
            <w:r>
              <w:rPr>
                <w:rFonts w:ascii="Aptos" w:hAnsi="Aptos"/>
                <w:sz w:val="19"/>
              </w:rPr>
              <w:t>Dedicated resource model</w:t>
            </w:r>
          </w:p>
        </w:tc>
        <w:tc>
          <w:tcPr>
            <w:tcW w:type="dxa" w:w="5083"/>
            <w:vAlign w:val="top"/>
            <w:tcMar>
              <w:top w:w="100" w:type="dxa"/>
              <w:start w:w="120" w:type="dxa"/>
              <w:bottom w:w="100" w:type="dxa"/>
              <w:end w:w="120" w:type="dxa"/>
            </w:tcMar>
            <w:shd w:fill="F4F7FA"/>
          </w:tcPr>
          <w:p>
            <w:pPr>
              <w:spacing w:after="60"/>
            </w:pPr>
            <w:r>
              <w:rPr>
                <w:rFonts w:ascii="Aptos" w:hAnsi="Aptos"/>
                <w:sz w:val="19"/>
              </w:rPr>
              <w:t>Clients can add technical capacity without immediately building a full local team.</w:t>
            </w:r>
          </w:p>
        </w:tc>
      </w:tr>
      <w:tr>
        <w:tc>
          <w:tcPr>
            <w:tcW w:type="dxa" w:w="5083"/>
            <w:vAlign w:val="top"/>
            <w:tcMar>
              <w:top w:w="100" w:type="dxa"/>
              <w:start w:w="120" w:type="dxa"/>
              <w:bottom w:w="100" w:type="dxa"/>
              <w:end w:w="120" w:type="dxa"/>
            </w:tcMar>
          </w:tcPr>
          <w:p>
            <w:pPr>
              <w:spacing w:after="60"/>
            </w:pPr>
            <w:r>
              <w:rPr>
                <w:rFonts w:ascii="Aptos" w:hAnsi="Aptos"/>
                <w:sz w:val="19"/>
              </w:rPr>
              <w:t>Construction + software</w:t>
            </w:r>
          </w:p>
        </w:tc>
        <w:tc>
          <w:tcPr>
            <w:tcW w:type="dxa" w:w="5083"/>
            <w:vAlign w:val="top"/>
            <w:tcMar>
              <w:top w:w="100" w:type="dxa"/>
              <w:start w:w="120" w:type="dxa"/>
              <w:bottom w:w="100" w:type="dxa"/>
              <w:end w:w="120" w:type="dxa"/>
            </w:tcMar>
          </w:tcPr>
          <w:p>
            <w:pPr>
              <w:spacing w:after="60"/>
            </w:pPr>
            <w:r>
              <w:rPr>
                <w:rFonts w:ascii="Aptos" w:hAnsi="Aptos"/>
                <w:sz w:val="19"/>
              </w:rPr>
              <w:t>The company can understand both the construction workflow and the digital systems needed to improve it.</w:t>
            </w:r>
          </w:p>
        </w:tc>
      </w:tr>
      <w:tr>
        <w:tc>
          <w:tcPr>
            <w:tcW w:type="dxa" w:w="5083"/>
            <w:vAlign w:val="top"/>
            <w:tcMar>
              <w:top w:w="100" w:type="dxa"/>
              <w:start w:w="120" w:type="dxa"/>
              <w:bottom w:w="100" w:type="dxa"/>
              <w:end w:w="120" w:type="dxa"/>
            </w:tcMar>
            <w:shd w:fill="F4F7FA"/>
          </w:tcPr>
          <w:p>
            <w:pPr>
              <w:spacing w:after="60"/>
            </w:pPr>
            <w:r>
              <w:rPr>
                <w:rFonts w:ascii="Aptos" w:hAnsi="Aptos"/>
                <w:sz w:val="19"/>
              </w:rPr>
              <w:t>Global delivery</w:t>
            </w:r>
          </w:p>
        </w:tc>
        <w:tc>
          <w:tcPr>
            <w:tcW w:type="dxa" w:w="5083"/>
            <w:vAlign w:val="top"/>
            <w:tcMar>
              <w:top w:w="100" w:type="dxa"/>
              <w:start w:w="120" w:type="dxa"/>
              <w:bottom w:w="100" w:type="dxa"/>
              <w:end w:w="120" w:type="dxa"/>
            </w:tcMar>
            <w:shd w:fill="F4F7FA"/>
          </w:tcPr>
          <w:p>
            <w:pPr>
              <w:spacing w:after="60"/>
            </w:pPr>
            <w:r>
              <w:rPr>
                <w:rFonts w:ascii="Aptos" w:hAnsi="Aptos"/>
                <w:sz w:val="19"/>
              </w:rPr>
              <w:t>UK/US/Canada market orientation supports offshore/remote delivery while retaining market-specific estimating conventions.</w:t>
            </w:r>
          </w:p>
        </w:tc>
      </w:tr>
    </w:tbl>
    <w:p>
      <w:pPr>
        <w:pStyle w:val="Heading1"/>
        <w:spacing w:before="180" w:after="100"/>
      </w:pPr>
      <w:r>
        <w:t>14. Claims That Should Be Presented Carefully</w:t>
      </w:r>
    </w:p>
    <w:p>
      <w:pPr>
        <w:spacing w:after="120" w:line="259" w:lineRule="auto"/>
      </w:pPr>
      <w:r>
        <w:t>Some company-linked public posts include performance claims such as 24–72 hour turnaround, 98% on-time delivery and 300+ successful projects. These should be treated as company-published marketing claims unless supported by a formal internal evidence base. They are therefore not presented here as independently verified facts.</w:t>
      </w:r>
    </w:p>
    <w:p>
      <w:pPr>
        <w:spacing w:after="120" w:line="259" w:lineRule="auto"/>
      </w:pPr>
      <w:r>
        <w:t>Similarly, the capability lists in this document describe a current operating scope. Contractual responsibility for design, structural adequacy, fire performance, wind loading, warranties, certifications or statutory approvals should always be assigned explicitly in project documents.</w:t>
      </w:r>
    </w:p>
    <w:p>
      <w:pPr>
        <w:pStyle w:val="Heading1"/>
        <w:spacing w:before="180" w:after="100"/>
      </w:pPr>
      <w:r>
        <w:t>15. Recommended Capability Statement</w:t>
      </w:r>
    </w:p>
    <w:tbl>
      <w:tblPr>
        <w:tblW w:type="auto" w:w="0"/>
        <w:tblLook w:firstColumn="1" w:firstRow="1" w:lastColumn="0" w:lastRow="0" w:noHBand="0" w:noVBand="1" w:val="04A0"/>
      </w:tblPr>
      <w:tblGrid>
        <w:gridCol w:w="10166"/>
      </w:tblGrid>
      <w:tr>
        <w:tc>
          <w:tcPr>
            <w:tcW w:type="dxa" w:w="10166"/>
            <w:shd w:fill="16324F"/>
            <w:tcMar>
              <w:top w:w="220" w:type="dxa"/>
              <w:start w:w="220" w:type="dxa"/>
              <w:bottom w:w="220" w:type="dxa"/>
              <w:end w:w="220" w:type="dxa"/>
            </w:tcMar>
          </w:tcPr>
          <w:p>
            <w:r>
              <w:rPr>
                <w:color w:val="FFFFFF"/>
                <w:sz w:val="22"/>
              </w:rPr>
              <w:t>CoExtend Global LLP combines construction estimating, façade technical support, CAD/BIM production and digital software capability to act as an extended technical team for contractors, fabricators, consultants and technology businesses. The company supports UK, US and Canadian workflows across quantity take-offs, BOQs, cost estimating, tender support, shop/fabrication drawings, commercial documentation and construction-focused software development. Its value proposition is the integration of technical understanding, production capacity and flexible resource models into one delivery partner.</w:t>
            </w:r>
          </w:p>
        </w:tc>
      </w:tr>
    </w:tbl>
    <w:p>
      <w:pPr>
        <w:pStyle w:val="Heading1"/>
        <w:spacing w:before="180" w:after="100"/>
      </w:pPr>
      <w:r>
        <w:t>16. Research Sources</w:t>
      </w:r>
    </w:p>
    <w:p>
      <w:pPr>
        <w:spacing w:after="120" w:line="259" w:lineRule="auto"/>
      </w:pPr>
      <w:r>
        <w:t>The capability research in this document is based primarily on the following current public sources and the operational information supplied/discussed during CoExtend Global work:</w:t>
      </w:r>
    </w:p>
    <w:p>
      <w:pPr>
        <w:pStyle w:val="ListBullet"/>
        <w:spacing w:after="80"/>
      </w:pPr>
      <w:r>
        <w:t>LinkedIn — CoExtend Global LLP, Facade Estimator / Commercial Assistant role description. Public company description identifies construction estimating, quantity takeoffs, drafting, software development, UK/US/Canada delivery, cost estimation, tender support, shop/fabrication drawings, as-built documentation, custom web/mobile apps, SaaS and cloud solutions. https://in.linkedin.com/jobs/view/facade-estimator-commercial-assistant-remote-at-coextend-global-llp-4451703137</w:t>
      </w:r>
    </w:p>
    <w:p>
      <w:pPr>
        <w:pStyle w:val="ListBullet"/>
        <w:spacing w:after="80"/>
      </w:pPr>
      <w:r>
        <w:t>LinkedIn — Suuraj Jangamm profile and CoExtend Global-linked activity. Public material references AutoCAD, Revit, Bluebeam, PlanSwift; React, Next.js, Node.js, React Native; CSI/MasterFormat and NRM2/SMM7; and company-published delivery/performance claims. https://in.linkedin.com/in/suuraj-jangamm-9b70a392</w:t>
      </w:r>
    </w:p>
    <w:p>
      <w:pPr>
        <w:pStyle w:val="ListBullet"/>
        <w:spacing w:after="80"/>
      </w:pPr>
      <w:r>
        <w:t>JobLeads mirror of the CoExtend Global estimator recruitment posting. Used as corroborating evidence for Bluebeam, AutoCAD and UK/US façade/construction estimating scope. https://www.jobleads.com/us/job/remote-facade-estimator-for-global-uk-us-projects--united-states--ead32c098ca2c56e945979b5b62a42518</w:t>
      </w:r>
    </w:p>
    <w:p>
      <w:pPr>
        <w:pStyle w:val="ListBullet"/>
        <w:spacing w:after="80"/>
      </w:pPr>
      <w:r>
        <w:t>Internal operational context used across CoExtend Global planning and workflow discussions, including façade estimating, project breakdowns, detailed take-offs, shop drawings, engineering support, retainer resources, hourly resources and construction software initiatives.</w:t>
      </w:r>
    </w:p>
    <w:tbl>
      <w:tblPr>
        <w:tblW w:type="auto" w:w="0"/>
        <w:jc w:val="center"/>
        <w:tblLook w:firstColumn="1" w:firstRow="1" w:lastColumn="0" w:lastRow="0" w:noHBand="0" w:noVBand="1" w:val="04A0"/>
      </w:tblPr>
      <w:tblGrid>
        <w:gridCol w:w="10166"/>
      </w:tblGrid>
      <w:tr>
        <w:trPr>
          <w:cantSplit/>
        </w:trPr>
        <w:tc>
          <w:tcPr>
            <w:tcW w:type="dxa" w:w="10166"/>
            <w:shd w:fill="EAF2F8"/>
            <w:tcMar>
              <w:top w:w="140" w:type="dxa"/>
              <w:start w:w="180" w:type="dxa"/>
              <w:bottom w:w="140" w:type="dxa"/>
              <w:end w:w="180" w:type="dxa"/>
            </w:tcMar>
          </w:tcPr>
          <w:p>
            <w:r>
              <w:rPr>
                <w:b/>
                <w:color w:val="16324F"/>
              </w:rPr>
              <w:t xml:space="preserve">Verification status: </w:t>
            </w:r>
            <w:r>
              <w:t>Public sources were checked on 8 September 2026. Where a statement is based on internal company information rather than a public source, this document labels it as capability/operational scope rather than independently verified fact.</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Confidential company profile  |  Research basis current to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COEXTEND GLOBAL LLP  |  COMPANY CAPABILITIES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Company Capabilities - CoExtend Global LLP</dc:title>
  <dc:subject>Company capabilities profile</dc:subject>
  <dc:creator>CoExtend Global LLP</dc:creator>
  <cp:keywords>CoExtend Global, estimating, facade, BIM, CAD, quantity takeoff, software development</cp:keywords>
  <dc:description>generated by python-docx</dc:description>
  <cp:lastModifiedBy/>
  <cp:revision>1</cp:revision>
  <dcterms:created xsi:type="dcterms:W3CDTF">2013-12-23T23:15:00Z</dcterms:created>
  <dcterms:modified xsi:type="dcterms:W3CDTF">2013-12-23T23:15:00Z</dcterms:modified>
  <cp:category/>
</cp:coreProperties>
</file>