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b/>
          <w:color w:val="2F5B8A"/>
          <w:sz w:val="30"/>
        </w:rPr>
        <w:t>COEXTEND GLOBAL LLP</w:t>
      </w:r>
    </w:p>
    <w:p>
      <w:pPr>
        <w:jc w:val="center"/>
      </w:pPr>
      <w:r>
        <w:rPr>
          <w:b/>
          <w:color w:val="17233C"/>
          <w:sz w:val="60"/>
        </w:rPr>
        <w:t>SALES POSITIONING</w:t>
      </w:r>
    </w:p>
    <w:p>
      <w:pPr>
        <w:jc w:val="center"/>
      </w:pPr>
      <w:r>
        <w:rPr>
          <w:color w:val="333333"/>
          <w:sz w:val="24"/>
        </w:rPr>
        <w:t>Who we help • Problems we solve • Why clients choose us • Differentiation</w:t>
      </w:r>
    </w:p>
    <w:p>
      <w:pPr>
        <w:spacing w:before="480"/>
        <w:jc w:val="center"/>
      </w:pPr>
      <w:r>
        <w:rPr>
          <w:i/>
          <w:sz w:val="20"/>
        </w:rPr>
        <w:t>Built around CoExtend Global's façade, construction estimating, drafting/BIM and dedicated-resource model.</w:t>
      </w:r>
    </w:p>
    <w:p>
      <w:r>
        <w:br w:type="page"/>
      </w:r>
    </w:p>
    <w:p>
      <w:pPr>
        <w:pStyle w:val="Heading1"/>
      </w:pPr>
      <w:r>
        <w:t>1. Executive Sales Positioning</w:t>
      </w:r>
    </w:p>
    <w:p>
      <w:pPr>
        <w:spacing w:after="120" w:line="259" w:lineRule="auto"/>
      </w:pPr>
      <w:r>
        <w:t>CoExtend Global should not sell itself primarily as a generic outsourcing vendor. The stronger position is: an extended technical delivery team for façade, roofing, building-envelope and construction businesses that need more estimating, drafting, BIM and commercial capacity without committing to immediate local hiring.</w:t>
      </w:r>
    </w:p>
    <w:p>
      <w:pPr>
        <w:spacing w:after="120" w:line="259" w:lineRule="auto"/>
      </w:pPr>
      <w:r>
        <w:t xml:space="preserve">This positioning fits the company's public description of construction estimating, quantity takeoffs, drafting, BIM/software support and dedicated resources for UK, US and Canadian clients. Public company/job material also positions the business around contractors, fabricators, consultants and technology companies. [Source: research notes]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Positioning question</w:t>
            </w:r>
          </w:p>
        </w:tc>
        <w:tc>
          <w:tcPr>
            <w:tcW w:type="dxa" w:w="6768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Recommended CoExtend answer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Who we help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Façade/cladding/roofing contractors, specialist subcontractors, fabricators, main contractors, commercial teams, consultants and selected construction/proptech technology companies.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What we help them do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Estimate more work, prepare tenders faster, produce construction-ready drawings and BIM outputs, and add technical capacity during peaks.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What problem we solve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Capacity bottlenecks, tender deadlines, repetitive production workload, recruitment delays, inconsistent takeoffs/drawings and the overhead of maintaining every specialist in-house.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How we are different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A specialist, engineering-led extension of the client team rather than a generic low-cost task vendor: façade knowledge + estimating + drafting/BIM + flexible resourcing.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Core proof points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 xml:space="preserve">Publicly stated 15+ years of combined industry experience; software/tool familiarity; UK/US/Canada focus; published 24–72 hour example turnaround and 300+ project / 98% on-time claims in company LinkedIn activity. Treat the performance figures as company-published claims, not independently audited facts. [Source: research notes] </w:t>
            </w:r>
          </w:p>
        </w:tc>
      </w:tr>
    </w:tbl>
    <w:p>
      <w:r>
        <w:br w:type="page"/>
      </w:r>
    </w:p>
    <w:p>
      <w:pPr>
        <w:pStyle w:val="Heading1"/>
      </w:pPr>
      <w:r>
        <w:t>2. Who We Help</w:t>
      </w:r>
    </w:p>
    <w:p>
      <w:pPr>
        <w:spacing w:after="120" w:line="259" w:lineRule="auto"/>
      </w:pPr>
      <w:r>
        <w:t>The best-fit customer is not simply “any company that needs estimating.” CoExtend creates the most value where technical workload fluctuates, deadlines are commercially important and the client already has a delivery process into which an external technical team can plug.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792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024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Ideal client profile</w:t>
            </w:r>
          </w:p>
        </w:tc>
        <w:tc>
          <w:tcPr>
            <w:tcW w:type="dxa" w:w="3528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they buy from CoExtend</w:t>
            </w:r>
          </w:p>
        </w:tc>
        <w:tc>
          <w:tcPr>
            <w:tcW w:type="dxa" w:w="2808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Trigger event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A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Façade / cladding / roofing subcontractor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Takeoffs, BOQs, estimates, tender support, shop drawings, BIM, dedicated estimator/drafter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Tender backlog, bid deadline, estimator leaves, new framework/project wins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A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Façade / envelope fabricator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Detailed takeoffs, fabrication/shop drawings, schedules, revisions, production support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Factory workload rises; drawing revisions; need to release fabrication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A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Main contractor / commercial team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Trade takeoffs, package estimates, drawing review, tender support, document production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Multiple tenders live at once; internal QS team overloaded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B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Façade consultant / specialist design practice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Drafting, BIM production, coordination support, documentation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Design workload spikes or delivery deadline compresses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B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Construction technology / proptech company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Product/UI/full-stack support where construction-domain understanding matters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Product backlog or need for domain-aware technical resources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B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SME contractor needing a dedicated remote team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Monthly dedicated estimator/CAD/BIM resource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Wants recurring capacity without local headcount expansion</w:t>
            </w:r>
          </w:p>
        </w:tc>
      </w:tr>
    </w:tbl>
    <w:p>
      <w:pPr>
        <w:spacing w:after="120" w:line="259" w:lineRule="auto"/>
      </w:pPr>
      <w:r>
        <w:t>Decision-maker map: Managing Director/Owner usually buys capacity and risk reduction; Commercial Director/Estimator buys tender throughput and accuracy; Technical Director/Design Manager buys drawing/BIM capacity; Operations/Project Manager buys delivery reliability; Procurement/Finance evaluates commercial fit and contract risk.</w:t>
      </w:r>
    </w:p>
    <w:p>
      <w:r>
        <w:br w:type="page"/>
      </w:r>
    </w:p>
    <w:p>
      <w:pPr>
        <w:pStyle w:val="Heading1"/>
      </w:pPr>
      <w:r>
        <w:t>3. What Problem We Solve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</w:t>
            </w:r>
          </w:p>
        </w:tc>
        <w:tc>
          <w:tcPr>
            <w:tcW w:type="dxa" w:w="3744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the client experiences</w:t>
            </w:r>
          </w:p>
        </w:tc>
        <w:tc>
          <w:tcPr>
            <w:tcW w:type="dxa" w:w="3816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CoExtend response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Tender overload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A small estimating team has more opportunities than it can measure and price before bid deadlines.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Move production takeoff/estimate work to a dedicated technical extension team while the client retains commercial control.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Recruitment bottleneck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The client needs another estimator, drafter or BIM technician but hiring locally takes time and adds fixed overhead.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Provide project-based or dedicated monthly technical capacity.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High-value staff doing production work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Senior estimators/designers spend hours on repetitive takeoffs, markups, schedules, revisions and document formatting.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Shift repeatable production tasks to a trained support team so senior staff can focus on judgement, clients and winning work.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Inconsistent outputs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Different people use different formats, assumptions and drawing conventions, making review slow.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Work to the client's templates, naming conventions, scope structures and agreed review process.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Peak/valley workload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Technical workload varies by tender cycles and project stages.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Scale resource up or down by project or month rather than carrying all capacity permanently.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Cost pressure without quality loss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The client needs additional capacity but local payroll cost makes permanent expansion unattractive.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Offer a remote capacity model where appropriate, while positioning quality, process and technical understanding ahead of low price alone.</w:t>
            </w:r>
          </w:p>
        </w:tc>
      </w:tr>
    </w:tbl>
    <w:p>
      <w:pPr>
        <w:spacing w:after="120" w:line="259" w:lineRule="auto"/>
      </w:pPr>
      <w:r>
        <w:t>Important sales rule: do not lead with “cheap outsourcing.” Lead with “capacity, speed, specialist knowledge and dependable production,” then explain the commercial efficiency of the remote model.</w:t>
      </w:r>
    </w:p>
    <w:p>
      <w:r>
        <w:br w:type="page"/>
      </w:r>
    </w:p>
    <w:p>
      <w:pPr>
        <w:pStyle w:val="Heading1"/>
      </w:pPr>
      <w:r>
        <w:t>4. Why Clients Use 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Client job-to-be-done</w:t>
            </w:r>
          </w:p>
        </w:tc>
        <w:tc>
          <w:tcPr>
            <w:tcW w:type="dxa" w:w="3168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Value created</w:t>
            </w:r>
          </w:p>
        </w:tc>
        <w:tc>
          <w:tcPr>
            <w:tcW w:type="dxa" w:w="3528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Sales language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Get a tender out on time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More bid capacity without increasing internal workload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“Give us the drawing package; we will turn the production workload into a structured tender output.”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Free senior people from repetitive production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More time for client meetings, strategy, pricing judgement and project management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“We handle the production layer so your senior team can focus on decisions.”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Absorb workload spikes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Avoid recruitment for temporary peaks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“Use us when the pipeline is heavy, not only when the org chart is full.”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Standardize estimating/drawing outputs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Cleaner review and faster handover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“We can work inside your existing templates, naming and QA process.”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Increase bid throughput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More opportunities can be reviewed and priced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“Capacity becomes scalable rather than fixed.”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Keep sensitive work controlled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Confidentiality and access arrangements support remote delivery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“NDA-friendly, controlled access and defined project scope.”</w:t>
            </w:r>
          </w:p>
        </w:tc>
      </w:tr>
    </w:tbl>
    <w:p>
      <w:r>
        <w:br w:type="page"/>
      </w:r>
    </w:p>
    <w:p>
      <w:pPr>
        <w:pStyle w:val="Heading1"/>
      </w:pPr>
      <w:r>
        <w:t>5. Why Clients Choose Us</w:t>
      </w:r>
    </w:p>
    <w:p>
      <w:pPr>
        <w:spacing w:after="120" w:line="259" w:lineRule="auto"/>
      </w:pPr>
      <w:r>
        <w:t>This section should answer the question: “Why you rather than another estimator, freelancer or offshore provider?”</w:t>
      </w:r>
    </w:p>
    <w:p>
      <w:pPr>
        <w:spacing w:after="80"/>
      </w:pPr>
      <w:r>
        <w:rPr>
          <w:b/>
        </w:rPr>
        <w:t xml:space="preserve">1. Façade-first technical identity — </w:t>
      </w:r>
      <w:r>
        <w:t>CoExtend can present façade/cladding, roofing and building-envelope work as a specialist capability rather than treating it as one trade inside a generic estimating menu.</w:t>
      </w:r>
    </w:p>
    <w:p>
      <w:pPr>
        <w:spacing w:after="80"/>
      </w:pPr>
      <w:r>
        <w:rPr>
          <w:b/>
        </w:rPr>
        <w:t xml:space="preserve">2. Estimate + drawing + BIM in one relationship — </w:t>
      </w:r>
      <w:r>
        <w:t>The combination of takeoff/estimating and drawing/BIM support reduces handoffs between separate vendors. This is strategically stronger than selling isolated measurement only.</w:t>
      </w:r>
    </w:p>
    <w:p>
      <w:pPr>
        <w:spacing w:after="80"/>
      </w:pPr>
      <w:r>
        <w:rPr>
          <w:b/>
        </w:rPr>
        <w:t xml:space="preserve">3. Flexible commercial models — </w:t>
      </w:r>
      <w:r>
        <w:t>Clients can use one-off project support, hourly resources or a dedicated monthly/retainer model depending on workload.</w:t>
      </w:r>
    </w:p>
    <w:p>
      <w:pPr>
        <w:spacing w:after="80"/>
      </w:pPr>
      <w:r>
        <w:rPr>
          <w:b/>
        </w:rPr>
        <w:t xml:space="preserve">4. Client-workflow alignment — </w:t>
      </w:r>
      <w:r>
        <w:t xml:space="preserve">The strongest promise is not merely “we know AutoCAD/Revit/Bluebeam.” It is “we can fit into the way your team already works.” Public CoExtend material specifically references AutoCAD, Revit, Bluebeam and PlanSwift, along with React/Next.js/Node.js/React Native for software work. [Source: research notes] </w:t>
      </w:r>
    </w:p>
    <w:p>
      <w:pPr>
        <w:spacing w:after="80"/>
      </w:pPr>
      <w:r>
        <w:rPr>
          <w:b/>
        </w:rPr>
        <w:t xml:space="preserve">5. Cross-border operating model — </w:t>
      </w:r>
      <w:r>
        <w:t xml:space="preserve">The company is positioned for UK, US and Canadian clients and can sell the time-zone advantage as an extension-team model rather than a transactional outsourcing service. [Source: research notes] </w:t>
      </w:r>
    </w:p>
    <w:p>
      <w:pPr>
        <w:spacing w:after="80"/>
      </w:pPr>
      <w:r>
        <w:rPr>
          <w:b/>
        </w:rPr>
        <w:t xml:space="preserve">6. Pilot-first risk reduction — </w:t>
      </w:r>
      <w:r>
        <w:t>A free or low-risk pilot is a strong commercial mechanism because clients can judge accuracy, communication and turnaround before moving to a recurring engagement. This should be used intentionally, with a defined sample scope and success criteria.</w:t>
      </w:r>
    </w:p>
    <w:p>
      <w:r>
        <w:br w:type="page"/>
      </w:r>
    </w:p>
    <w:p>
      <w:pPr>
        <w:pStyle w:val="Heading1"/>
      </w:pPr>
      <w:r>
        <w:t>6. Key Differentiators &amp; Strongest Selling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160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Differentiator</w:t>
            </w:r>
          </w:p>
        </w:tc>
        <w:tc>
          <w:tcPr>
            <w:tcW w:type="dxa" w:w="2880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Why it matters</w:t>
            </w:r>
          </w:p>
        </w:tc>
        <w:tc>
          <w:tcPr>
            <w:tcW w:type="dxa" w:w="1296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Strength today</w:t>
            </w:r>
          </w:p>
        </w:tc>
        <w:tc>
          <w:tcPr>
            <w:tcW w:type="dxa" w:w="3024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How to make it stronger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Façade specialization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Buyers prefer domain knowledge when drawings, systems and scope are complex.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High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Build sample packs, system-specific capability sheets and case studies.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Integrated estimating + drafting/BIM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One partner can carry information between commercial and technical outputs.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High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Demonstrate “takeoff → estimate → shop drawing/BIM” workflow.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Dedicated resource model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Useful for recurring workload and long-term client integration.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High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Publish clear resource roles, onboarding, QA and communication model.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Fast response / turnaround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Critical when tenders are deadline-driven.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Medium-High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Measure real median turnaround and publish only verified metrics.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International standards familiarity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Reduces rework for UK/US/Canada projects.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Medium-High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Document NRM2/SMM7 and CSI/MasterFormat examples and sample outputs.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Construction + software capability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Potentially valuable for proptech clients.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Differentiating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Keep this as a second vertical; avoid confusing the core façade/estimating message.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Pilot / low-risk entry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Reduces buyer resistance.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Strong sales tactic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Standardize pilot scope, pricing/terms and conversion pathway.</w:t>
            </w:r>
          </w:p>
        </w:tc>
      </w:tr>
    </w:tbl>
    <w:p>
      <w:r>
        <w:br w:type="page"/>
      </w:r>
    </w:p>
    <w:p>
      <w:pPr>
        <w:pStyle w:val="Heading1"/>
      </w:pPr>
      <w:r>
        <w:t>7. Our Strongest Selling Points</w:t>
      </w:r>
    </w:p>
    <w:p>
      <w:pPr>
        <w:spacing w:after="100"/>
      </w:pPr>
      <w:r>
        <w:rPr>
          <w:b/>
        </w:rPr>
        <w:t xml:space="preserve">Capacity on demand — </w:t>
      </w:r>
      <w:r>
        <w:t>The clearest commercial proposition: the client can add specialist production capacity when needed without immediately adding equivalent local headcount.</w:t>
      </w:r>
    </w:p>
    <w:p>
      <w:pPr>
        <w:spacing w:after="100"/>
      </w:pPr>
      <w:r>
        <w:rPr>
          <w:b/>
        </w:rPr>
        <w:t xml:space="preserve">Façade technical understanding — </w:t>
      </w:r>
      <w:r>
        <w:t>A façade-focused identity is more defensible than generic “data entry / outsourcing / takeoff” positioning.</w:t>
      </w:r>
    </w:p>
    <w:p>
      <w:pPr>
        <w:spacing w:after="100"/>
      </w:pPr>
      <w:r>
        <w:rPr>
          <w:b/>
        </w:rPr>
        <w:t xml:space="preserve">Production + commercial support — </w:t>
      </w:r>
      <w:r>
        <w:t>CoExtend can support the chain from drawing review and quantities through BOQ, costing, tender support and drawing production.</w:t>
      </w:r>
    </w:p>
    <w:p>
      <w:pPr>
        <w:spacing w:after="100"/>
      </w:pPr>
      <w:r>
        <w:rPr>
          <w:b/>
        </w:rPr>
        <w:t xml:space="preserve">Recurring partnership — </w:t>
      </w:r>
      <w:r>
        <w:t>The retainer/dedicated-resource model can move the relationship from one-off project vendor to embedded technical partner.</w:t>
      </w:r>
    </w:p>
    <w:p>
      <w:pPr>
        <w:spacing w:after="100"/>
      </w:pPr>
      <w:r>
        <w:rPr>
          <w:b/>
        </w:rPr>
        <w:t xml:space="preserve">Practical communication — </w:t>
      </w:r>
      <w:r>
        <w:t>For overseas clients, responsiveness, clear questions, assumptions registers and revision discipline can matter as much as raw technical skill.</w:t>
      </w:r>
    </w:p>
    <w:p>
      <w:pPr>
        <w:spacing w:after="100"/>
      </w:pPr>
      <w:r>
        <w:rPr>
          <w:b/>
        </w:rPr>
        <w:t xml:space="preserve">Scalable scope — </w:t>
      </w:r>
      <w:r>
        <w:t>Clients can start with a small tender or pilot and expand to recurring resource support once trust is established.</w:t>
      </w:r>
    </w:p>
    <w:p>
      <w:r>
        <w:br w:type="page"/>
      </w:r>
    </w:p>
    <w:p>
      <w:pPr>
        <w:pStyle w:val="Heading1"/>
      </w:pPr>
      <w:r>
        <w:t>8. Weaknesses / Sales Risks</w:t>
      </w:r>
    </w:p>
    <w:p>
      <w:pPr>
        <w:spacing w:after="120" w:line="259" w:lineRule="auto"/>
      </w:pPr>
      <w:r>
        <w:t>A strong sales document should expose the weaknesses that buyers may notice. These are strategic observations, not statements of legal or financial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76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Potential weakness</w:t>
            </w:r>
          </w:p>
        </w:tc>
        <w:tc>
          <w:tcPr>
            <w:tcW w:type="dxa" w:w="3384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Why it matters</w:t>
            </w:r>
          </w:p>
        </w:tc>
        <w:tc>
          <w:tcPr>
            <w:tcW w:type="dxa" w:w="3528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Relatively small brand visibility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Large contractors may default to established global outsourcing/consulting brands.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Use proof aggressively: samples, case studies, references, named processes, response SLA, and pilot.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Limited public case-study depth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Buyers cannot easily judge the quality of outputs before engaging.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Create 5–8 anonymized case studies covering takeoff, estimate, shop drawing and BIM.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Performance claims need substantiation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Claims such as 98% on-time / 300+ projects are useful but should be evidence-backed before appearing in formal proposals.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Maintain an internal delivery dashboard and use verified numbers only.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Broad service menu can dilute specialization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Estimating + BIM + software may look unfocused.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Lead with façade/building-envelope technical services. Present software as a separate capability or digital innovation arm.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Offshore perception / commoditization risk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Some buyers equate offshore with low-cost transactional work.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Sell integration, technical quality, dedicated people, QA and accountability rather than price.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Dependency on founder-led sales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A founder-led relationship is powerful but difficult to scale indefinitely.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Systematize ICP, qualification, proposal templates, CRM stages, case studies and account management.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Proof of standards / certifications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Buyers may ask for formal accreditations or documented QA procedures.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Keep an evidence pack ready: sample deliverables, QA checklist, NDA process, cybersecurity/access controls and standards matrix.</w:t>
            </w:r>
          </w:p>
        </w:tc>
      </w:tr>
    </w:tbl>
    <w:p>
      <w:r>
        <w:br w:type="page"/>
      </w:r>
    </w:p>
    <w:p>
      <w:pPr>
        <w:pStyle w:val="Heading1"/>
      </w:pPr>
      <w:r>
        <w:t>9. Competitor Landscape</w:t>
      </w:r>
    </w:p>
    <w:p>
      <w:pPr>
        <w:spacing w:after="120" w:line="259" w:lineRule="auto"/>
      </w:pPr>
      <w:r>
        <w:t>The competitive set is broad. CoExtend is not only competing with façade specialists; it can lose a deal to a freelancer, a general estimating service, a dedicated outsourcing provider, a staffing firm or increasingly an AI takeoff product. The examples below are benchmark references identified during September 2026 research, not claims of direct commercial rivalry or market share.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Competitor / category</w:t>
            </w:r>
          </w:p>
        </w:tc>
        <w:tc>
          <w:tcPr>
            <w:tcW w:type="dxa" w:w="3744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Observed proposition</w:t>
            </w:r>
          </w:p>
        </w:tc>
        <w:tc>
          <w:tcPr>
            <w:tcW w:type="dxa" w:w="2160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Where they are strong</w:t>
            </w:r>
          </w:p>
        </w:tc>
        <w:tc>
          <w:tcPr>
            <w:tcW w:type="dxa" w:w="2520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CoExtend counter-position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TakeOff Technology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 xml:space="preserve">UK-based quantity surveying, BOQs, cost estimates, takeoffs, tender support; publishes 48-hour takeoff positioning. [Source: research notes] 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UK QS credibility, clear standardized deliverables, speed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Differentiate on façade specialist depth + integrated drafting/BIM + dedicated resource option.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TSC Facade / specialist façade estimating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 xml:space="preserve">Facade/cladding/roofing estimating with BOQ, takeoff, pricing and subscription-style support. [Source: research notes] 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Strong UK façade focus and commercial packaging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Compete on broader technical production stack and India-based dedicated-resource leverage; prove quality with samples.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Facade Estimators / specialist support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 xml:space="preserve">Overflow façade estimating for UK subcontractors, structured Bluebeam takeoffs and fixed-fee positioning. [Source: research notes] 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Clear niche and simple buying path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Offer same clarity plus drafting/BIM and recurring embedded team capability.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Takeofix / general takeoff providers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 xml:space="preserve">Remote estimating/takeoff across multiple countries and trades. [Source: research notes] 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Broad coverage and simple outsourced workflow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Avoid competing trade-by-trade; sell specialist façade depth and integrated workflow.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K2E / estimating outsourcing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 xml:space="preserve">Remote estimates, takeoffs, quote leveling and next-day bid support. [Source: research notes] 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Fast GC-oriented bid support and review workflow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Target specialist façade/envelope and production integration; demonstrate domain knowledge.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AI / software takeoff tools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 xml:space="preserve">Automated drawing interpretation and estimation; some offer free trials and low monthly pricing. [Source: research notes] 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Very low marginal cost and speed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Position people + QA + interpretation + client-specific scope rules as the safety layer; use AI internally, not as a price-only race.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Freelance estimator / QS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One expert directly handles a tender.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Judgement, direct accountability, often simple engagement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Win when client needs more capacity, recurring support, drafting/BIM or scalable coverage rather than one person.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In-house hiring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Permanent estimator/drafter/QS.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Control, continuity, team integration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Win on speed to capacity, flexibility and lower commitment for peak workload; acknowledge that some clients still need in-house ownership.</w:t>
            </w:r>
          </w:p>
        </w:tc>
      </w:tr>
    </w:tbl>
    <w:p>
      <w:r>
        <w:br w:type="page"/>
      </w:r>
    </w:p>
    <w:p>
      <w:pPr>
        <w:pStyle w:val="Heading1"/>
      </w:pPr>
      <w:r>
        <w:t>10. Why We Are Different from Competitors</w:t>
      </w:r>
    </w:p>
    <w:p>
      <w:pPr>
        <w:spacing w:after="120" w:line="259" w:lineRule="auto"/>
      </w:pPr>
      <w:r>
        <w:t>The most defensible differentiation is a combination, not a single feature: specialist façade understanding + estimating + drawings/BIM + flexible dedicated-resource delivery + an overseas extended-team operating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Competitor choice</w:t>
            </w:r>
          </w:p>
        </w:tc>
        <w:tc>
          <w:tcPr>
            <w:tcW w:type="dxa" w:w="2880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buyer gets</w:t>
            </w:r>
          </w:p>
        </w:tc>
        <w:tc>
          <w:tcPr>
            <w:tcW w:type="dxa" w:w="4320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CoExtend advantage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Freelancer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One person / one project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Broader bench, backup capacity and ability to combine estimating + drafting/BIM.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Generic takeoff vendor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Measured quantities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More of the project information chain: takeoff, estimate, tender support, drawings and BIM.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Large outsourcing company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Scale and standardized delivery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More specialized façade identity and potentially more agile founder-led communication.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Local hire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Permanent internal capacity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Faster access to capacity and flexible commitment; client avoids immediate recruitment cycle.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AI takeoff software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Automation and low unit cost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Human judgement, interpretation, scope control, drawing production and accountability around the output.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Specialist façade estimator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Strong trade knowledge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Add integrated drawings/BIM, dedicated resource model and wider technical support.</w:t>
            </w:r>
          </w:p>
        </w:tc>
      </w:tr>
    </w:tbl>
    <w:p>
      <w:r>
        <w:br w:type="page"/>
      </w:r>
    </w:p>
    <w:p>
      <w:pPr>
        <w:pStyle w:val="Heading1"/>
      </w:pPr>
      <w:r>
        <w:t>11. Core Sales Messages</w:t>
      </w:r>
    </w:p>
    <w:p>
      <w:pPr>
        <w:spacing w:after="120"/>
      </w:pPr>
      <w:r>
        <w:rPr>
          <w:b/>
        </w:rPr>
        <w:t xml:space="preserve">Primary one-liner — </w:t>
      </w:r>
      <w:r>
        <w:t>“CoExtend Global is the extended technical team for façade and construction businesses that need more estimating, drafting and BIM capacity without adding immediate local overhead.”</w:t>
      </w:r>
    </w:p>
    <w:p>
      <w:pPr>
        <w:spacing w:after="120"/>
      </w:pPr>
      <w:r>
        <w:rPr>
          <w:b/>
        </w:rPr>
        <w:t xml:space="preserve">Capacity-led version — </w:t>
      </w:r>
      <w:r>
        <w:t>“When your tender pipeline grows faster than your team, we add the technical capacity to measure, estimate, draw and deliver.”</w:t>
      </w:r>
    </w:p>
    <w:p>
      <w:pPr>
        <w:spacing w:after="120"/>
      </w:pPr>
      <w:r>
        <w:rPr>
          <w:b/>
        </w:rPr>
        <w:t xml:space="preserve">Façade-led version — </w:t>
      </w:r>
      <w:r>
        <w:t>“We support façade, cladding, roofing and building-envelope teams with specialist takeoffs, estimating, shop drawings, BIM and dedicated technical resources.”</w:t>
      </w:r>
    </w:p>
    <w:p>
      <w:pPr>
        <w:spacing w:after="120"/>
      </w:pPr>
      <w:r>
        <w:rPr>
          <w:b/>
        </w:rPr>
        <w:t xml:space="preserve">Retainer version — </w:t>
      </w:r>
      <w:r>
        <w:t>“Add a dedicated remote estimator/drafter to your team without waiting through another recruitment cycle.”</w:t>
      </w:r>
    </w:p>
    <w:p>
      <w:pPr>
        <w:spacing w:after="120"/>
      </w:pPr>
      <w:r>
        <w:rPr>
          <w:b/>
        </w:rPr>
        <w:t xml:space="preserve">Pilot version — </w:t>
      </w:r>
      <w:r>
        <w:t>“Start with one project. Review the quality, communication and turnaround. Scale only when the fit is proven.”</w:t>
      </w:r>
    </w:p>
    <w:p>
      <w:r>
        <w:br w:type="page"/>
      </w:r>
    </w:p>
    <w:p>
      <w:pPr>
        <w:pStyle w:val="Heading1"/>
      </w:pPr>
      <w:r>
        <w:t>12. Buyer Objections &amp; Recommended Responses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Likely objection</w:t>
            </w:r>
          </w:p>
        </w:tc>
        <w:tc>
          <w:tcPr>
            <w:tcW w:type="dxa" w:w="4392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Best response angle</w:t>
            </w:r>
          </w:p>
        </w:tc>
        <w:tc>
          <w:tcPr>
            <w:tcW w:type="dxa" w:w="2664"/>
            <w:shd w:fill="17233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to provide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“We already have estimators.”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“We are not asking you to replace them. We take the production load when they are overloaded.”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Pilot takeoff / sample turnaround.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“We can hire someone locally.”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“You can. The question is whether you need permanent capacity or flexible capacity now.”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Simple cost/time comparison; do not overpromise savings.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“How do I know your quantities are accurate?”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“We use defined scope, assumptions, drawing references, QA/review and your agreed format.”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Anonymized sample with markups and review checklist.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“We have had bad offshore experiences.”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“Start small and measure us against a defined pilot.”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Pilot scope, NDA, named point of contact, review gates.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“Your service sounds too broad.”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“Our core is façade/estimating/drafting/BIM. Software is a separate capability for clients who need digital support.”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Capability matrix and two focused service sheets.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“Will your team understand our standards?”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“We align to the measurement, drawing and commercial format you already use, including the applicable UK/US frameworks.”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33333"/>
                <w:sz w:val="17"/>
              </w:rPr>
              <w:t>Standards matrix + sample output.</w:t>
            </w:r>
          </w:p>
        </w:tc>
      </w:tr>
    </w:tbl>
    <w:p>
      <w:r>
        <w:br w:type="page"/>
      </w:r>
    </w:p>
    <w:p>
      <w:pPr>
        <w:pStyle w:val="Heading1"/>
      </w:pPr>
      <w:r>
        <w:t>13. Sales Strategy Recommendations</w:t>
      </w:r>
    </w:p>
    <w:p>
      <w:pPr>
        <w:spacing w:after="100"/>
      </w:pPr>
      <w:r>
        <w:rPr>
          <w:b/>
        </w:rPr>
        <w:t xml:space="preserve">Narrow the top-of-funnel ICP — </w:t>
      </w:r>
      <w:r>
        <w:t>Prioritize UK and North American façade/cladding/roofing subcontractors and specialist fabricators before broadening into general construction.</w:t>
      </w:r>
    </w:p>
    <w:p>
      <w:pPr>
        <w:spacing w:after="100"/>
      </w:pPr>
      <w:r>
        <w:rPr>
          <w:b/>
        </w:rPr>
        <w:t xml:space="preserve">Sell outcomes, not task names — </w:t>
      </w:r>
      <w:r>
        <w:t>“More bids submitted” and “senior estimator freed from production” are stronger than a list of software skills.</w:t>
      </w:r>
    </w:p>
    <w:p>
      <w:pPr>
        <w:spacing w:after="100"/>
      </w:pPr>
      <w:r>
        <w:rPr>
          <w:b/>
        </w:rPr>
        <w:t xml:space="preserve">Make the proof visible — </w:t>
      </w:r>
      <w:r>
        <w:t>Build a reusable evidence pack: anonymized takeoff, BOQ, cost sheet, shop drawing, BIM snapshot, QA checklist, assumptions register and turnaround example.</w:t>
      </w:r>
    </w:p>
    <w:p>
      <w:pPr>
        <w:spacing w:after="100"/>
      </w:pPr>
      <w:r>
        <w:rPr>
          <w:b/>
        </w:rPr>
        <w:t xml:space="preserve">Use a two-step offer — </w:t>
      </w:r>
      <w:r>
        <w:t>Offer (1) a defined pilot project and (2) conversion to monthly dedicated resource / retainer when workload is recurring.</w:t>
      </w:r>
    </w:p>
    <w:p>
      <w:pPr>
        <w:spacing w:after="100"/>
      </w:pPr>
      <w:r>
        <w:rPr>
          <w:b/>
        </w:rPr>
        <w:t xml:space="preserve">Build a pricing ladder — </w:t>
      </w:r>
      <w:r>
        <w:t>One-off job → recurring project support → part-time dedicated resource → full dedicated team. This creates a natural expansion path.</w:t>
      </w:r>
    </w:p>
    <w:p>
      <w:pPr>
        <w:spacing w:after="100"/>
      </w:pPr>
      <w:r>
        <w:rPr>
          <w:b/>
        </w:rPr>
        <w:t xml:space="preserve">Turn every project into proof — </w:t>
      </w:r>
      <w:r>
        <w:t>Track scope, turnaround, revisions, client feedback, rework and win outcomes so sales claims increasingly come from measured internal data.</w:t>
      </w:r>
    </w:p>
    <w:p>
      <w:pPr>
        <w:spacing w:after="100"/>
      </w:pPr>
      <w:r>
        <w:rPr>
          <w:b/>
        </w:rPr>
        <w:t xml:space="preserve">Keep software as a strategic differentiator — </w:t>
      </w:r>
      <w:r>
        <w:t>Use software/AI capability to show CoExtend can improve the client's workflow, but do not let it obscure the core façade/estimating proposition.</w:t>
      </w:r>
    </w:p>
    <w:p>
      <w:r>
        <w:br w:type="page"/>
      </w:r>
    </w:p>
    <w:p>
      <w:pPr>
        <w:pStyle w:val="Heading1"/>
      </w:pPr>
      <w:r>
        <w:t>14. Research &amp; Verification Notes</w:t>
      </w:r>
    </w:p>
    <w:p>
      <w:pPr>
        <w:spacing w:after="120" w:line="259" w:lineRule="auto"/>
      </w:pPr>
      <w:r>
        <w:t>This document combines CoExtend Global information visible in current public sources with strategic positioning based on the company/service work developed in this engagement. Publicly sourced facts are cited below. Internal recommendations and strategic judgments are intentionally labelled as such.</w:t>
      </w:r>
    </w:p>
    <w:p>
      <w:pPr>
        <w:pStyle w:val="Small"/>
        <w:spacing w:after="60"/>
      </w:pPr>
      <w:r>
        <w:rPr>
          <w:b/>
        </w:rPr>
        <w:t xml:space="preserve">CoExtend Global LLP – LinkedIn job/company description — </w:t>
      </w:r>
      <w:r>
        <w:t>Public company description: construction estimating, quantity takeoffs, drafting, software development, UK/US/Canada, 15+ years combined experience, project lifecycle support. URL: https://in.linkedin.com/jobs/view/facade-estimator-commercial-assistant-remote-at-coextend-global-llp-4451703137</w:t>
      </w:r>
    </w:p>
    <w:p>
      <w:pPr>
        <w:pStyle w:val="Small"/>
        <w:spacing w:after="60"/>
      </w:pPr>
      <w:r>
        <w:rPr>
          <w:b/>
        </w:rPr>
        <w:t xml:space="preserve">CoExtend Global activity surfaced on LinkedIn — </w:t>
      </w:r>
      <w:r>
        <w:t>Company-published positioning around contractors/fabricators/tech startups, tools, turnaround and performance claims. URL: https://in.linkedin.com/in/nitin-giri-mittsdigitalmedia</w:t>
      </w:r>
    </w:p>
    <w:p>
      <w:pPr>
        <w:pStyle w:val="Small"/>
        <w:spacing w:after="60"/>
      </w:pPr>
      <w:r>
        <w:rPr>
          <w:b/>
        </w:rPr>
        <w:t xml:space="preserve">TakeOff Technology — </w:t>
      </w:r>
      <w:r>
        <w:t>Benchmark for UK takeoff/BOQ/cost estimating and tender support positioning. URL: https://takeofftechnology.uk/</w:t>
      </w:r>
    </w:p>
    <w:p>
      <w:pPr>
        <w:pStyle w:val="Small"/>
        <w:spacing w:after="60"/>
      </w:pPr>
      <w:r>
        <w:rPr>
          <w:b/>
        </w:rPr>
        <w:t xml:space="preserve">TakeOff Technology – Quantity Takeoffs — </w:t>
      </w:r>
      <w:r>
        <w:t>Benchmark for 48-hour takeoff positioning and PDF/DWG/BIM intake. URL: https://takeofftechnology.uk/services/quantity-takeoffs</w:t>
      </w:r>
    </w:p>
    <w:p>
      <w:pPr>
        <w:pStyle w:val="Small"/>
        <w:spacing w:after="60"/>
      </w:pPr>
      <w:r>
        <w:rPr>
          <w:b/>
        </w:rPr>
        <w:t xml:space="preserve">TSC Facades — </w:t>
      </w:r>
      <w:r>
        <w:t>Benchmark for specialist façade estimating and subscription packaging. URL: https://tscfacades.com/</w:t>
      </w:r>
    </w:p>
    <w:p>
      <w:pPr>
        <w:pStyle w:val="Small"/>
        <w:spacing w:after="60"/>
      </w:pPr>
      <w:r>
        <w:rPr>
          <w:b/>
        </w:rPr>
        <w:t xml:space="preserve">Facade Estimators UK — </w:t>
      </w:r>
      <w:r>
        <w:t>Benchmark for overflow façade estimating / fixed-fee support. URL: https://facade-estimators.co.uk/</w:t>
      </w:r>
    </w:p>
    <w:p>
      <w:pPr>
        <w:pStyle w:val="Small"/>
        <w:spacing w:after="60"/>
      </w:pPr>
      <w:r>
        <w:rPr>
          <w:b/>
        </w:rPr>
        <w:t xml:space="preserve">Takeofix — </w:t>
      </w:r>
      <w:r>
        <w:t>Benchmark for broad remote estimating/takeoff positioning. URL: https://www.takeofix.com/</w:t>
      </w:r>
    </w:p>
    <w:p>
      <w:pPr>
        <w:pStyle w:val="Small"/>
        <w:spacing w:after="60"/>
      </w:pPr>
      <w:r>
        <w:rPr>
          <w:b/>
        </w:rPr>
        <w:t xml:space="preserve">K2E — </w:t>
      </w:r>
      <w:r>
        <w:t>Benchmark for outsourced estimating / takeoff / bid support. URL: https://www.getk2e.com/</w:t>
      </w:r>
    </w:p>
    <w:p>
      <w:pPr>
        <w:pStyle w:val="Small"/>
        <w:spacing w:after="60"/>
      </w:pPr>
      <w:r>
        <w:rPr>
          <w:b/>
        </w:rPr>
        <w:t xml:space="preserve">TradeOff by Blue Shuck — </w:t>
      </w:r>
      <w:r>
        <w:t>Benchmark for AI/software-driven takeoff and estimating competition. URL: https://tradeoff.blueshuckconsulting.com/</w:t>
      </w:r>
    </w:p>
    <w:p>
      <w:pPr>
        <w:spacing w:after="120" w:line="259" w:lineRule="auto"/>
      </w:pPr>
      <w:r>
        <w:t xml:space="preserve">Important: performance figures such as “98% on-time delivery” and “300+ successful projects” are treated as company-published claims because the public source identifies them as marketing statements; they should be substantiated internally before being used in formal tenders or contractual representations. [Source: research notes]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480"/>
        <w:sz w:val="16"/>
      </w:rPr>
      <w:t>Internal strategic working document  |  Research reviewed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C7480"/>
        <w:sz w:val="16"/>
      </w:rPr>
      <w:t>COEXTEND GLOBAL LLP  |  SALES POSITIONING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