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5B9BD5"/>
          <w:sz w:val="20"/>
        </w:rPr>
        <w:t>FILE 5</w:t>
      </w:r>
    </w:p>
    <w:p>
      <w:pPr>
        <w:pStyle w:val="Title"/>
      </w:pPr>
      <w:r>
        <w:t>Ideal Customer Profile</w:t>
      </w:r>
    </w:p>
    <w:p>
      <w:r>
        <w:rPr>
          <w:i/>
        </w:rPr>
        <w:t>CoExtend Global LLP | ICP, buyer roles, prospect qualification and automated lead-scoring framework</w:t>
      </w:r>
    </w:p>
    <w:p>
      <w:pPr>
        <w:pStyle w:val="Heading1"/>
      </w:pPr>
      <w:r>
        <w:t>1. ICP Executive Summary</w:t>
      </w:r>
    </w:p>
    <w:p>
      <w:r>
        <w:t>The strongest-fit customer for CoExtend Global is a specialist façade, cladding, roofing or broader building-envelope contractor/fabricator/consultancy in the UK, US or Canada that regularly faces tender-volume pressure, needs accurate takeoffs and pricing support, and can benefit from a dedicated offshore technical resource without adding permanent local headcount.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728"/>
            <w:vAlign w:val="center"/>
            <w:shd w:fill="17365D"/>
          </w:tcPr>
          <w:p>
            <w:pPr>
              <w:spacing w:after="0"/>
            </w:pPr>
            <w:r/>
            <w:r>
              <w:rPr>
                <w:b/>
                <w:color w:val="FFFFFF"/>
                <w:sz w:val="17"/>
              </w:rPr>
              <w:t>ICP dimension</w:t>
            </w:r>
          </w:p>
        </w:tc>
        <w:tc>
          <w:tcPr>
            <w:tcW w:type="dxa" w:w="2880"/>
            <w:vAlign w:val="center"/>
            <w:shd w:fill="17365D"/>
          </w:tcPr>
          <w:p>
            <w:pPr>
              <w:spacing w:after="0"/>
            </w:pPr>
            <w:r/>
            <w:r>
              <w:rPr>
                <w:b/>
                <w:color w:val="FFFFFF"/>
                <w:sz w:val="17"/>
              </w:rPr>
              <w:t>Primary target</w:t>
            </w:r>
          </w:p>
        </w:tc>
        <w:tc>
          <w:tcPr>
            <w:tcW w:type="dxa" w:w="2880"/>
            <w:vAlign w:val="center"/>
            <w:shd w:fill="17365D"/>
          </w:tcPr>
          <w:p>
            <w:pPr>
              <w:spacing w:after="0"/>
            </w:pPr>
            <w:r/>
            <w:r>
              <w:rPr>
                <w:b/>
                <w:color w:val="FFFFFF"/>
                <w:sz w:val="17"/>
              </w:rPr>
              <w:t>Secondary target</w:t>
            </w:r>
          </w:p>
        </w:tc>
        <w:tc>
          <w:tcPr>
            <w:tcW w:type="dxa" w:w="2592"/>
            <w:vAlign w:val="center"/>
            <w:shd w:fill="17365D"/>
          </w:tcPr>
          <w:p>
            <w:pPr>
              <w:spacing w:after="0"/>
            </w:pPr>
            <w:r/>
            <w:r>
              <w:rPr>
                <w:b/>
                <w:color w:val="FFFFFF"/>
                <w:sz w:val="17"/>
              </w:rPr>
              <w:t>Low priority</w:t>
            </w:r>
          </w:p>
        </w:tc>
      </w:tr>
      <w:tr>
        <w:tc>
          <w:tcPr>
            <w:tcW w:type="dxa" w:w="1728"/>
            <w:vAlign w:val="center"/>
          </w:tcPr>
          <w:p>
            <w:pPr>
              <w:spacing w:after="0"/>
            </w:pPr>
            <w:r/>
            <w:r>
              <w:rPr>
                <w:b w:val="0"/>
                <w:sz w:val="17"/>
              </w:rPr>
              <w:t>Geography</w:t>
            </w:r>
          </w:p>
        </w:tc>
        <w:tc>
          <w:tcPr>
            <w:tcW w:type="dxa" w:w="2880"/>
            <w:vAlign w:val="center"/>
          </w:tcPr>
          <w:p>
            <w:pPr>
              <w:spacing w:after="0"/>
            </w:pPr>
            <w:r/>
            <w:r>
              <w:rPr>
                <w:b w:val="0"/>
                <w:sz w:val="17"/>
              </w:rPr>
              <w:t>United Kingdom; United States; Canada</w:t>
            </w:r>
          </w:p>
        </w:tc>
        <w:tc>
          <w:tcPr>
            <w:tcW w:type="dxa" w:w="2880"/>
            <w:vAlign w:val="center"/>
          </w:tcPr>
          <w:p>
            <w:pPr>
              <w:spacing w:after="0"/>
            </w:pPr>
            <w:r/>
            <w:r>
              <w:rPr>
                <w:b w:val="0"/>
                <w:sz w:val="17"/>
              </w:rPr>
              <w:t>Australia / selected English-speaking AEC markets</w:t>
            </w:r>
          </w:p>
        </w:tc>
        <w:tc>
          <w:tcPr>
            <w:tcW w:type="dxa" w:w="2592"/>
            <w:vAlign w:val="center"/>
          </w:tcPr>
          <w:p>
            <w:pPr>
              <w:spacing w:after="0"/>
            </w:pPr>
            <w:r/>
            <w:r>
              <w:rPr>
                <w:b w:val="0"/>
                <w:sz w:val="17"/>
              </w:rPr>
              <w:t>Markets requiring heavy local-language/local-code support</w:t>
            </w:r>
          </w:p>
        </w:tc>
      </w:tr>
      <w:tr>
        <w:tc>
          <w:tcPr>
            <w:tcW w:type="dxa" w:w="1728"/>
            <w:vAlign w:val="center"/>
          </w:tcPr>
          <w:p>
            <w:pPr>
              <w:spacing w:after="0"/>
            </w:pPr>
            <w:r/>
            <w:r>
              <w:rPr>
                <w:b w:val="0"/>
                <w:sz w:val="17"/>
              </w:rPr>
              <w:t>Company type</w:t>
            </w:r>
          </w:p>
        </w:tc>
        <w:tc>
          <w:tcPr>
            <w:tcW w:type="dxa" w:w="2880"/>
            <w:vAlign w:val="center"/>
          </w:tcPr>
          <w:p>
            <w:pPr>
              <w:spacing w:after="0"/>
            </w:pPr>
            <w:r/>
            <w:r>
              <w:rPr>
                <w:b w:val="0"/>
                <w:sz w:val="17"/>
              </w:rPr>
              <w:t>Façade/cladding/roofing/building-envelope subcontractors, specialist contractors, fabricators</w:t>
            </w:r>
          </w:p>
        </w:tc>
        <w:tc>
          <w:tcPr>
            <w:tcW w:type="dxa" w:w="2880"/>
            <w:vAlign w:val="center"/>
          </w:tcPr>
          <w:p>
            <w:pPr>
              <w:spacing w:after="0"/>
            </w:pPr>
            <w:r/>
            <w:r>
              <w:rPr>
                <w:b w:val="0"/>
                <w:sz w:val="17"/>
              </w:rPr>
              <w:t>Design-build firms, façade consultants, architects/engineers with production overflow</w:t>
            </w:r>
          </w:p>
        </w:tc>
        <w:tc>
          <w:tcPr>
            <w:tcW w:type="dxa" w:w="2592"/>
            <w:vAlign w:val="center"/>
          </w:tcPr>
          <w:p>
            <w:pPr>
              <w:spacing w:after="0"/>
            </w:pPr>
            <w:r/>
            <w:r>
              <w:rPr>
                <w:b w:val="0"/>
                <w:sz w:val="17"/>
              </w:rPr>
              <w:t>General businesses with little façade/envelope work</w:t>
            </w:r>
          </w:p>
        </w:tc>
      </w:tr>
      <w:tr>
        <w:tc>
          <w:tcPr>
            <w:tcW w:type="dxa" w:w="1728"/>
            <w:vAlign w:val="center"/>
          </w:tcPr>
          <w:p>
            <w:pPr>
              <w:spacing w:after="0"/>
            </w:pPr>
            <w:r/>
            <w:r>
              <w:rPr>
                <w:b w:val="0"/>
                <w:sz w:val="17"/>
              </w:rPr>
              <w:t>Size</w:t>
            </w:r>
          </w:p>
        </w:tc>
        <w:tc>
          <w:tcPr>
            <w:tcW w:type="dxa" w:w="2880"/>
            <w:vAlign w:val="center"/>
          </w:tcPr>
          <w:p>
            <w:pPr>
              <w:spacing w:after="0"/>
            </w:pPr>
            <w:r/>
            <w:r>
              <w:rPr>
                <w:b w:val="0"/>
                <w:sz w:val="17"/>
              </w:rPr>
              <w:t>Approx. 10-250 employees</w:t>
            </w:r>
          </w:p>
        </w:tc>
        <w:tc>
          <w:tcPr>
            <w:tcW w:type="dxa" w:w="2880"/>
            <w:vAlign w:val="center"/>
          </w:tcPr>
          <w:p>
            <w:pPr>
              <w:spacing w:after="0"/>
            </w:pPr>
            <w:r/>
            <w:r>
              <w:rPr>
                <w:b w:val="0"/>
                <w:sz w:val="17"/>
              </w:rPr>
              <w:t>250-1,000 where a dedicated offshore pod is justified</w:t>
            </w:r>
          </w:p>
        </w:tc>
        <w:tc>
          <w:tcPr>
            <w:tcW w:type="dxa" w:w="2592"/>
            <w:vAlign w:val="center"/>
          </w:tcPr>
          <w:p>
            <w:pPr>
              <w:spacing w:after="0"/>
            </w:pPr>
            <w:r/>
            <w:r>
              <w:rPr>
                <w:b w:val="0"/>
                <w:sz w:val="17"/>
              </w:rPr>
              <w:t>1-9 unless tender volume or founder-led outsourcing need is clear</w:t>
            </w:r>
          </w:p>
        </w:tc>
      </w:tr>
      <w:tr>
        <w:tc>
          <w:tcPr>
            <w:tcW w:type="dxa" w:w="1728"/>
            <w:vAlign w:val="center"/>
          </w:tcPr>
          <w:p>
            <w:pPr>
              <w:spacing w:after="0"/>
            </w:pPr>
            <w:r/>
            <w:r>
              <w:rPr>
                <w:b w:val="0"/>
                <w:sz w:val="17"/>
              </w:rPr>
              <w:t>Buying need</w:t>
            </w:r>
          </w:p>
        </w:tc>
        <w:tc>
          <w:tcPr>
            <w:tcW w:type="dxa" w:w="2880"/>
            <w:vAlign w:val="center"/>
          </w:tcPr>
          <w:p>
            <w:pPr>
              <w:spacing w:after="0"/>
            </w:pPr>
            <w:r/>
            <w:r>
              <w:rPr>
                <w:b w:val="0"/>
                <w:sz w:val="17"/>
              </w:rPr>
              <w:t>Recurring tender/takeoff/drafting workload; resource gaps; deadline pressure</w:t>
            </w:r>
          </w:p>
        </w:tc>
        <w:tc>
          <w:tcPr>
            <w:tcW w:type="dxa" w:w="2880"/>
            <w:vAlign w:val="center"/>
          </w:tcPr>
          <w:p>
            <w:pPr>
              <w:spacing w:after="0"/>
            </w:pPr>
            <w:r/>
            <w:r>
              <w:rPr>
                <w:b w:val="0"/>
                <w:sz w:val="17"/>
              </w:rPr>
              <w:t>Backlog support, second-estimate validation, BIM/shop-drawing capacity</w:t>
            </w:r>
          </w:p>
        </w:tc>
        <w:tc>
          <w:tcPr>
            <w:tcW w:type="dxa" w:w="2592"/>
            <w:vAlign w:val="center"/>
          </w:tcPr>
          <w:p>
            <w:pPr>
              <w:spacing w:after="0"/>
            </w:pPr>
            <w:r/>
            <w:r>
              <w:rPr>
                <w:b w:val="0"/>
                <w:sz w:val="17"/>
              </w:rPr>
              <w:t>One-off low-value drawing/measurement requests</w:t>
            </w:r>
          </w:p>
        </w:tc>
      </w:tr>
      <w:tr>
        <w:tc>
          <w:tcPr>
            <w:tcW w:type="dxa" w:w="1728"/>
            <w:vAlign w:val="center"/>
          </w:tcPr>
          <w:p>
            <w:pPr>
              <w:spacing w:after="0"/>
            </w:pPr>
            <w:r/>
            <w:r>
              <w:rPr>
                <w:b w:val="0"/>
                <w:sz w:val="17"/>
              </w:rPr>
              <w:t>Engagement</w:t>
            </w:r>
          </w:p>
        </w:tc>
        <w:tc>
          <w:tcPr>
            <w:tcW w:type="dxa" w:w="2880"/>
            <w:vAlign w:val="center"/>
          </w:tcPr>
          <w:p>
            <w:pPr>
              <w:spacing w:after="0"/>
            </w:pPr>
            <w:r/>
            <w:r>
              <w:rPr>
                <w:b w:val="0"/>
                <w:sz w:val="17"/>
              </w:rPr>
              <w:t>Retainer / dedicated resource / recurring project support</w:t>
            </w:r>
          </w:p>
        </w:tc>
        <w:tc>
          <w:tcPr>
            <w:tcW w:type="dxa" w:w="2880"/>
            <w:vAlign w:val="center"/>
          </w:tcPr>
          <w:p>
            <w:pPr>
              <w:spacing w:after="0"/>
            </w:pPr>
            <w:r/>
            <w:r>
              <w:rPr>
                <w:b w:val="0"/>
                <w:sz w:val="17"/>
              </w:rPr>
              <w:t>Hourly overflow / fixed-scope pilot</w:t>
            </w:r>
          </w:p>
        </w:tc>
        <w:tc>
          <w:tcPr>
            <w:tcW w:type="dxa" w:w="2592"/>
            <w:vAlign w:val="center"/>
          </w:tcPr>
          <w:p>
            <w:pPr>
              <w:spacing w:after="0"/>
            </w:pPr>
            <w:r/>
            <w:r>
              <w:rPr>
                <w:b w:val="0"/>
                <w:sz w:val="17"/>
              </w:rPr>
              <w:t>Price-only transactional work</w:t>
            </w:r>
          </w:p>
        </w:tc>
      </w:tr>
    </w:tbl>
    <w:p>
      <w:pPr>
        <w:pStyle w:val="Heading1"/>
      </w:pPr>
      <w:r>
        <w:t>2. TARGET MARKET</w:t>
      </w:r>
    </w:p>
    <w:p>
      <w:pPr>
        <w:pStyle w:val="Heading2"/>
      </w:pPr>
      <w:r>
        <w:t>Country</w:t>
      </w:r>
    </w:p>
    <w:p>
      <w:pPr>
        <w:pStyle w:val="ListBullet"/>
        <w:spacing w:after="40"/>
      </w:pPr>
      <w:r>
        <w:t>Tier 1 - United Kingdom: highest strategic fit for façade estimating, quantity takeoffs, BOQ/tender support and shop/fabrication drawings. UK procurement and tender cycles create recurring pre-construction workload.</w:t>
      </w:r>
    </w:p>
    <w:p>
      <w:pPr>
        <w:pStyle w:val="ListBullet"/>
        <w:spacing w:after="40"/>
      </w:pPr>
      <w:r>
        <w:t>Tier 1 - United States: strong fit for façade, roofing and building-envelope contractors that need scalable estimating and drafting capacity and can operate with offshore technical teams.</w:t>
      </w:r>
    </w:p>
    <w:p>
      <w:pPr>
        <w:pStyle w:val="ListBullet"/>
        <w:spacing w:after="40"/>
      </w:pPr>
      <w:r>
        <w:t>Tier 1 - Canada: strong fit for cladding/façade contractors and estimators requiring drawing review, material takeoffs, quotations and production support.</w:t>
      </w:r>
    </w:p>
    <w:p>
      <w:pPr>
        <w:pStyle w:val="ListBullet"/>
        <w:spacing w:after="40"/>
      </w:pPr>
      <w:r>
        <w:t>Tier 2 - Australia: potentially attractive as an expansion market, but use only once delivery standards, target lists and regional code/measurement requirements are validated.</w:t>
      </w:r>
    </w:p>
    <w:p>
      <w:r>
        <w:t>Research basis: CoExtend’s current public hiring description explicitly states support for clients in the United Kingdom, United States and Canada; its public LinkedIn/company presence also describes façade, roofing and building-envelope technical services and virtual staffing. [Sources listed at end.]</w:t>
      </w:r>
    </w:p>
    <w:p>
      <w:pPr>
        <w:pStyle w:val="Heading2"/>
      </w:pPr>
      <w:r>
        <w:t>Industry / trade</w:t>
      </w:r>
    </w:p>
    <w:p>
      <w:pPr>
        <w:pStyle w:val="ListBullet"/>
        <w:spacing w:after="40"/>
      </w:pPr>
      <w:r>
        <w:t>Façade / cladding contractors and subcontractors</w:t>
      </w:r>
    </w:p>
    <w:p>
      <w:pPr>
        <w:pStyle w:val="ListBullet"/>
        <w:spacing w:after="40"/>
      </w:pPr>
      <w:r>
        <w:t>Curtain wall, glazing and aluminium façade specialists</w:t>
      </w:r>
    </w:p>
    <w:p>
      <w:pPr>
        <w:pStyle w:val="ListBullet"/>
        <w:spacing w:after="40"/>
      </w:pPr>
      <w:r>
        <w:t>Rainscreen, ACM/MCM, fibre cement, terracotta, stone and architectural cladding contractors</w:t>
      </w:r>
    </w:p>
    <w:p>
      <w:pPr>
        <w:pStyle w:val="ListBullet"/>
        <w:spacing w:after="40"/>
      </w:pPr>
      <w:r>
        <w:t>Roofing contractors with commercial estimating or drafting workload</w:t>
      </w:r>
    </w:p>
    <w:p>
      <w:pPr>
        <w:pStyle w:val="ListBullet"/>
        <w:spacing w:after="40"/>
      </w:pPr>
      <w:r>
        <w:t>Building-envelope contractors and remediation specialists</w:t>
      </w:r>
    </w:p>
    <w:p>
      <w:pPr>
        <w:pStyle w:val="ListBullet"/>
        <w:spacing w:after="40"/>
      </w:pPr>
      <w:r>
        <w:t>Façade/architectural metal fabricators and installers</w:t>
      </w:r>
    </w:p>
    <w:p>
      <w:pPr>
        <w:pStyle w:val="ListBullet"/>
        <w:spacing w:after="40"/>
      </w:pPr>
      <w:r>
        <w:t>Design-build and specialist construction firms with significant pre-construction workload</w:t>
      </w:r>
    </w:p>
    <w:p>
      <w:pPr>
        <w:pStyle w:val="ListBullet"/>
        <w:spacing w:after="40"/>
      </w:pPr>
      <w:r>
        <w:t>Façade engineering / design consultancies needing production, detailing or BIM overflow</w:t>
      </w:r>
    </w:p>
    <w:p>
      <w:pPr>
        <w:pStyle w:val="Heading2"/>
      </w:pPr>
      <w:r>
        <w:t>Company type</w:t>
      </w:r>
    </w:p>
    <w:p>
      <w:pPr>
        <w:pStyle w:val="ListBullet"/>
        <w:spacing w:after="40"/>
      </w:pPr>
      <w:r>
        <w:t>Best: specialist subcontractor/fabricator with an internal estimator, commercial manager, pre-construction team or design/drafting function.</w:t>
      </w:r>
    </w:p>
    <w:p>
      <w:pPr>
        <w:pStyle w:val="ListBullet"/>
        <w:spacing w:after="40"/>
      </w:pPr>
      <w:r>
        <w:t>Good: smaller founder-led specialist contractor where the managing director directly controls estimating and outsourcing decisions.</w:t>
      </w:r>
    </w:p>
    <w:p>
      <w:pPr>
        <w:pStyle w:val="ListBullet"/>
        <w:spacing w:after="40"/>
      </w:pPr>
      <w:r>
        <w:t>Good: mid-sized contractor with repeated peaks in bids and shop-drawing workload.</w:t>
      </w:r>
    </w:p>
    <w:p>
      <w:pPr>
        <w:pStyle w:val="ListBullet"/>
        <w:spacing w:after="40"/>
      </w:pPr>
      <w:r>
        <w:t>Selective: larger contractors if the opportunity can be packaged as a dedicated team/pod rather than general outsourced support.</w:t>
      </w:r>
    </w:p>
    <w:p>
      <w:pPr>
        <w:pStyle w:val="Heading2"/>
      </w:pPr>
      <w:r>
        <w:t>Company size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440"/>
            <w:vAlign w:val="center"/>
            <w:shd w:fill="17365D"/>
          </w:tcPr>
          <w:p>
            <w:pPr>
              <w:spacing w:after="0"/>
            </w:pPr>
            <w:r/>
            <w:r>
              <w:rPr>
                <w:b/>
                <w:color w:val="FFFFFF"/>
                <w:sz w:val="17"/>
              </w:rPr>
              <w:t>Employee band</w:t>
            </w:r>
          </w:p>
        </w:tc>
        <w:tc>
          <w:tcPr>
            <w:tcW w:type="dxa" w:w="1152"/>
            <w:vAlign w:val="center"/>
            <w:shd w:fill="17365D"/>
          </w:tcPr>
          <w:p>
            <w:pPr>
              <w:spacing w:after="0"/>
            </w:pPr>
            <w:r/>
            <w:r>
              <w:rPr>
                <w:b/>
                <w:color w:val="FFFFFF"/>
                <w:sz w:val="17"/>
              </w:rPr>
              <w:t>Priority</w:t>
            </w:r>
          </w:p>
        </w:tc>
        <w:tc>
          <w:tcPr>
            <w:tcW w:type="dxa" w:w="3600"/>
            <w:vAlign w:val="center"/>
            <w:shd w:fill="17365D"/>
          </w:tcPr>
          <w:p>
            <w:pPr>
              <w:spacing w:after="0"/>
            </w:pPr>
            <w:r/>
            <w:r>
              <w:rPr>
                <w:b/>
                <w:color w:val="FFFFFF"/>
                <w:sz w:val="17"/>
              </w:rPr>
              <w:t>Why it matters</w:t>
            </w:r>
          </w:p>
        </w:tc>
        <w:tc>
          <w:tcPr>
            <w:tcW w:type="dxa" w:w="3024"/>
            <w:vAlign w:val="center"/>
            <w:shd w:fill="17365D"/>
          </w:tcPr>
          <w:p>
            <w:pPr>
              <w:spacing w:after="0"/>
            </w:pPr>
            <w:r/>
            <w:r>
              <w:rPr>
                <w:b/>
                <w:color w:val="FFFFFF"/>
                <w:sz w:val="17"/>
              </w:rPr>
              <w:t>Typical offer</w:t>
            </w:r>
          </w:p>
        </w:tc>
      </w:tr>
      <w:tr>
        <w:tc>
          <w:tcPr>
            <w:tcW w:type="dxa" w:w="1440"/>
            <w:vAlign w:val="center"/>
          </w:tcPr>
          <w:p>
            <w:pPr>
              <w:spacing w:after="0"/>
            </w:pPr>
            <w:r/>
            <w:r>
              <w:rPr>
                <w:b w:val="0"/>
                <w:sz w:val="17"/>
              </w:rPr>
              <w:t>1-9</w:t>
            </w:r>
          </w:p>
        </w:tc>
        <w:tc>
          <w:tcPr>
            <w:tcW w:type="dxa" w:w="1152"/>
            <w:vAlign w:val="center"/>
          </w:tcPr>
          <w:p>
            <w:pPr>
              <w:spacing w:after="0"/>
            </w:pPr>
            <w:r/>
            <w:r>
              <w:rPr>
                <w:b w:val="0"/>
                <w:sz w:val="17"/>
              </w:rPr>
              <w:t>Selective</w:t>
            </w:r>
          </w:p>
        </w:tc>
        <w:tc>
          <w:tcPr>
            <w:tcW w:type="dxa" w:w="3600"/>
            <w:vAlign w:val="center"/>
          </w:tcPr>
          <w:p>
            <w:pPr>
              <w:spacing w:after="0"/>
            </w:pPr>
            <w:r/>
            <w:r>
              <w:rPr>
                <w:b w:val="0"/>
                <w:sz w:val="17"/>
              </w:rPr>
              <w:t>Often founder-controlled and price-sensitive; can have abrupt workload spikes.</w:t>
            </w:r>
          </w:p>
        </w:tc>
        <w:tc>
          <w:tcPr>
            <w:tcW w:type="dxa" w:w="3024"/>
            <w:vAlign w:val="center"/>
          </w:tcPr>
          <w:p>
            <w:pPr>
              <w:spacing w:after="0"/>
            </w:pPr>
            <w:r/>
            <w:r>
              <w:rPr>
                <w:b w:val="0"/>
                <w:sz w:val="17"/>
              </w:rPr>
              <w:t>Pilot project / hourly overflow</w:t>
            </w:r>
          </w:p>
        </w:tc>
      </w:tr>
      <w:tr>
        <w:tc>
          <w:tcPr>
            <w:tcW w:type="dxa" w:w="1440"/>
            <w:vAlign w:val="center"/>
          </w:tcPr>
          <w:p>
            <w:pPr>
              <w:spacing w:after="0"/>
            </w:pPr>
            <w:r/>
            <w:r>
              <w:rPr>
                <w:b w:val="0"/>
                <w:sz w:val="17"/>
              </w:rPr>
              <w:t>10-49</w:t>
            </w:r>
          </w:p>
        </w:tc>
        <w:tc>
          <w:tcPr>
            <w:tcW w:type="dxa" w:w="1152"/>
            <w:vAlign w:val="center"/>
          </w:tcPr>
          <w:p>
            <w:pPr>
              <w:spacing w:after="0"/>
            </w:pPr>
            <w:r/>
            <w:r>
              <w:rPr>
                <w:b w:val="0"/>
                <w:sz w:val="17"/>
              </w:rPr>
              <w:t>Very high</w:t>
            </w:r>
          </w:p>
        </w:tc>
        <w:tc>
          <w:tcPr>
            <w:tcW w:type="dxa" w:w="3600"/>
            <w:vAlign w:val="center"/>
          </w:tcPr>
          <w:p>
            <w:pPr>
              <w:spacing w:after="0"/>
            </w:pPr>
            <w:r/>
            <w:r>
              <w:rPr>
                <w:b w:val="0"/>
                <w:sz w:val="17"/>
              </w:rPr>
              <w:t>Enough recurring work to justify external technical capacity; usually limited need for large in-house departments.</w:t>
            </w:r>
          </w:p>
        </w:tc>
        <w:tc>
          <w:tcPr>
            <w:tcW w:type="dxa" w:w="3024"/>
            <w:vAlign w:val="center"/>
          </w:tcPr>
          <w:p>
            <w:pPr>
              <w:spacing w:after="0"/>
            </w:pPr>
            <w:r/>
            <w:r>
              <w:rPr>
                <w:b w:val="0"/>
                <w:sz w:val="17"/>
              </w:rPr>
              <w:t>Retainer / dedicated estimator / drafting resource</w:t>
            </w:r>
          </w:p>
        </w:tc>
      </w:tr>
      <w:tr>
        <w:tc>
          <w:tcPr>
            <w:tcW w:type="dxa" w:w="1440"/>
            <w:vAlign w:val="center"/>
          </w:tcPr>
          <w:p>
            <w:pPr>
              <w:spacing w:after="0"/>
            </w:pPr>
            <w:r/>
            <w:r>
              <w:rPr>
                <w:b w:val="0"/>
                <w:sz w:val="17"/>
              </w:rPr>
              <w:t>50-249</w:t>
            </w:r>
          </w:p>
        </w:tc>
        <w:tc>
          <w:tcPr>
            <w:tcW w:type="dxa" w:w="1152"/>
            <w:vAlign w:val="center"/>
          </w:tcPr>
          <w:p>
            <w:pPr>
              <w:spacing w:after="0"/>
            </w:pPr>
            <w:r/>
            <w:r>
              <w:rPr>
                <w:b w:val="0"/>
                <w:sz w:val="17"/>
              </w:rPr>
              <w:t>Very high</w:t>
            </w:r>
          </w:p>
        </w:tc>
        <w:tc>
          <w:tcPr>
            <w:tcW w:type="dxa" w:w="3600"/>
            <w:vAlign w:val="center"/>
          </w:tcPr>
          <w:p>
            <w:pPr>
              <w:spacing w:after="0"/>
            </w:pPr>
            <w:r/>
            <w:r>
              <w:rPr>
                <w:b w:val="0"/>
                <w:sz w:val="17"/>
              </w:rPr>
              <w:t>Multiple bids, PMs and disciplines create repeatable outsourcing opportunities.</w:t>
            </w:r>
          </w:p>
        </w:tc>
        <w:tc>
          <w:tcPr>
            <w:tcW w:type="dxa" w:w="3024"/>
            <w:vAlign w:val="center"/>
          </w:tcPr>
          <w:p>
            <w:pPr>
              <w:spacing w:after="0"/>
            </w:pPr>
            <w:r/>
            <w:r>
              <w:rPr>
                <w:b w:val="0"/>
                <w:sz w:val="17"/>
              </w:rPr>
              <w:t>Dedicated multi-person resource / managed delivery</w:t>
            </w:r>
          </w:p>
        </w:tc>
      </w:tr>
      <w:tr>
        <w:tc>
          <w:tcPr>
            <w:tcW w:type="dxa" w:w="1440"/>
            <w:vAlign w:val="center"/>
          </w:tcPr>
          <w:p>
            <w:pPr>
              <w:spacing w:after="0"/>
            </w:pPr>
            <w:r/>
            <w:r>
              <w:rPr>
                <w:b w:val="0"/>
                <w:sz w:val="17"/>
              </w:rPr>
              <w:t>250-1,000</w:t>
            </w:r>
          </w:p>
        </w:tc>
        <w:tc>
          <w:tcPr>
            <w:tcW w:type="dxa" w:w="1152"/>
            <w:vAlign w:val="center"/>
          </w:tcPr>
          <w:p>
            <w:pPr>
              <w:spacing w:after="0"/>
            </w:pPr>
            <w:r/>
            <w:r>
              <w:rPr>
                <w:b w:val="0"/>
                <w:sz w:val="17"/>
              </w:rPr>
              <w:t>Medium-high</w:t>
            </w:r>
          </w:p>
        </w:tc>
        <w:tc>
          <w:tcPr>
            <w:tcW w:type="dxa" w:w="3600"/>
            <w:vAlign w:val="center"/>
          </w:tcPr>
          <w:p>
            <w:pPr>
              <w:spacing w:after="0"/>
            </w:pPr>
            <w:r/>
            <w:r>
              <w:rPr>
                <w:b w:val="0"/>
                <w:sz w:val="17"/>
              </w:rPr>
              <w:t>Larger budgets and volume, but stronger procurement, QA and security expectations.</w:t>
            </w:r>
          </w:p>
        </w:tc>
        <w:tc>
          <w:tcPr>
            <w:tcW w:type="dxa" w:w="3024"/>
            <w:vAlign w:val="center"/>
          </w:tcPr>
          <w:p>
            <w:pPr>
              <w:spacing w:after="0"/>
            </w:pPr>
            <w:r/>
            <w:r>
              <w:rPr>
                <w:b w:val="0"/>
                <w:sz w:val="17"/>
              </w:rPr>
              <w:t>Department-specific dedicated pod</w:t>
            </w:r>
          </w:p>
        </w:tc>
      </w:tr>
      <w:tr>
        <w:tc>
          <w:tcPr>
            <w:tcW w:type="dxa" w:w="1440"/>
            <w:vAlign w:val="center"/>
          </w:tcPr>
          <w:p>
            <w:pPr>
              <w:spacing w:after="0"/>
            </w:pPr>
            <w:r/>
            <w:r>
              <w:rPr>
                <w:b w:val="0"/>
                <w:sz w:val="17"/>
              </w:rPr>
              <w:t>1,000+</w:t>
            </w:r>
          </w:p>
        </w:tc>
        <w:tc>
          <w:tcPr>
            <w:tcW w:type="dxa" w:w="1152"/>
            <w:vAlign w:val="center"/>
          </w:tcPr>
          <w:p>
            <w:pPr>
              <w:spacing w:after="0"/>
            </w:pPr>
            <w:r/>
            <w:r>
              <w:rPr>
                <w:b w:val="0"/>
                <w:sz w:val="17"/>
              </w:rPr>
              <w:t>Selective</w:t>
            </w:r>
          </w:p>
        </w:tc>
        <w:tc>
          <w:tcPr>
            <w:tcW w:type="dxa" w:w="3600"/>
            <w:vAlign w:val="center"/>
          </w:tcPr>
          <w:p>
            <w:pPr>
              <w:spacing w:after="0"/>
            </w:pPr>
            <w:r/>
            <w:r>
              <w:rPr>
                <w:b w:val="0"/>
                <w:sz w:val="17"/>
              </w:rPr>
              <w:t>Potentially large volume but longer procurement cycles and more incumbent suppliers.</w:t>
            </w:r>
          </w:p>
        </w:tc>
        <w:tc>
          <w:tcPr>
            <w:tcW w:type="dxa" w:w="3024"/>
            <w:vAlign w:val="center"/>
          </w:tcPr>
          <w:p>
            <w:pPr>
              <w:spacing w:after="0"/>
            </w:pPr>
            <w:r/>
            <w:r>
              <w:rPr>
                <w:b w:val="0"/>
                <w:sz w:val="17"/>
              </w:rPr>
              <w:t>Enterprise / specialist work package</w:t>
            </w:r>
          </w:p>
        </w:tc>
      </w:tr>
    </w:tbl>
    <w:p>
      <w:pPr>
        <w:pStyle w:val="Heading1"/>
      </w:pPr>
      <w:r>
        <w:t>3. TARGET JOB TITLES</w:t>
      </w:r>
    </w:p>
    <w:p>
      <w:r>
        <w:rPr>
          <w:b/>
        </w:rPr>
        <w:t xml:space="preserve">Tier 1 - economic buyer: </w:t>
      </w:r>
      <w:r>
        <w:t>Managing Director; Commercial Director; Pre-Construction Director; Estimating Director / Head of Estimating; Director of Commercial; Operations Director</w:t>
      </w:r>
    </w:p>
    <w:p>
      <w:r>
        <w:rPr>
          <w:b/>
        </w:rPr>
        <w:t xml:space="preserve">Tier 2 - primary champion: </w:t>
      </w:r>
      <w:r>
        <w:t>Commercial Manager; Estimating Manager; Senior Estimator; Estimator; Pre-Construction Manager; Design Manager; Technical Director; Façade Design Manager</w:t>
      </w:r>
    </w:p>
    <w:p>
      <w:r>
        <w:rPr>
          <w:b/>
        </w:rPr>
        <w:t xml:space="preserve">Tier 3 - influencers: </w:t>
      </w:r>
      <w:r>
        <w:t>Procurement Manager; Quantity Surveyor; Senior QS; BIM Manager; Design Coordinator; Technical Manager; Project Manager</w:t>
      </w:r>
    </w:p>
    <w:p>
      <w:r>
        <w:rPr>
          <w:b/>
        </w:rPr>
        <w:t xml:space="preserve">Founder-led targets: </w:t>
      </w:r>
      <w:r>
        <w:t>Managing Partner; Owner; Founder; Director / Principal of a specialist façade or cladding contractor</w:t>
      </w:r>
    </w:p>
    <w:p>
      <w:r>
        <w:t>Sales Navigator note: prioritise decision makers and champions rather than generic “construction” titles. Current UK market job postings show Pre-Construction Directors commonly own bid strategy, estimators, cost planning, commercial performance, client relationships and work-winning outcomes, making them strong prospects for a capacity/outsourcing proposition. [Research sources at end.]</w:t>
      </w:r>
    </w:p>
    <w:p>
      <w:pPr>
        <w:pStyle w:val="Heading1"/>
      </w:pPr>
      <w:r>
        <w:t>4. IDEAL COMPANY CHARACTERISTICS</w:t>
      </w:r>
    </w:p>
    <w:tbl>
      <w:tblPr>
        <w:tblStyle w:val="TableGrid"/>
        <w:tblW w:type="auto" w:w="0"/>
        <w:jc w:val="center"/>
        <w:tblLook w:firstColumn="1" w:firstRow="1" w:lastColumn="0" w:lastRow="0" w:noHBand="0" w:noVBand="1" w:val="04A0"/>
      </w:tblPr>
      <w:tblGrid>
        <w:gridCol w:w="3408"/>
        <w:gridCol w:w="3408"/>
        <w:gridCol w:w="3408"/>
      </w:tblGrid>
      <w:tr>
        <w:tc>
          <w:tcPr>
            <w:tcW w:type="dxa" w:w="2304"/>
            <w:vAlign w:val="center"/>
            <w:shd w:fill="17365D"/>
          </w:tcPr>
          <w:p>
            <w:pPr>
              <w:spacing w:after="0"/>
            </w:pPr>
            <w:r/>
            <w:r>
              <w:rPr>
                <w:b/>
                <w:color w:val="FFFFFF"/>
                <w:sz w:val="17"/>
              </w:rPr>
              <w:t>Characteristic</w:t>
            </w:r>
          </w:p>
        </w:tc>
        <w:tc>
          <w:tcPr>
            <w:tcW w:type="dxa" w:w="3456"/>
            <w:vAlign w:val="center"/>
            <w:shd w:fill="17365D"/>
          </w:tcPr>
          <w:p>
            <w:pPr>
              <w:spacing w:after="0"/>
            </w:pPr>
            <w:r/>
            <w:r>
              <w:rPr>
                <w:b/>
                <w:color w:val="FFFFFF"/>
                <w:sz w:val="17"/>
              </w:rPr>
              <w:t>Ideal signal</w:t>
            </w:r>
          </w:p>
        </w:tc>
        <w:tc>
          <w:tcPr>
            <w:tcW w:type="dxa" w:w="3600"/>
            <w:vAlign w:val="center"/>
            <w:shd w:fill="17365D"/>
          </w:tcPr>
          <w:p>
            <w:pPr>
              <w:spacing w:after="0"/>
            </w:pPr>
            <w:r/>
            <w:r>
              <w:rPr>
                <w:b/>
                <w:color w:val="FFFFFF"/>
                <w:sz w:val="17"/>
              </w:rPr>
              <w:t>Why it increases fit</w:t>
            </w:r>
          </w:p>
        </w:tc>
      </w:tr>
      <w:tr>
        <w:tc>
          <w:tcPr>
            <w:tcW w:type="dxa" w:w="2304"/>
            <w:vAlign w:val="center"/>
          </w:tcPr>
          <w:p>
            <w:pPr>
              <w:spacing w:after="0"/>
            </w:pPr>
            <w:r/>
            <w:r>
              <w:rPr>
                <w:b w:val="0"/>
                <w:sz w:val="17"/>
              </w:rPr>
              <w:t>Specialist trade focus</w:t>
            </w:r>
          </w:p>
        </w:tc>
        <w:tc>
          <w:tcPr>
            <w:tcW w:type="dxa" w:w="3456"/>
            <w:vAlign w:val="center"/>
          </w:tcPr>
          <w:p>
            <w:pPr>
              <w:spacing w:after="0"/>
            </w:pPr>
            <w:r/>
            <w:r>
              <w:rPr>
                <w:b w:val="0"/>
                <w:sz w:val="17"/>
              </w:rPr>
              <w:t>Facade/cladding/roofing/building envelope forms a material part of revenue</w:t>
            </w:r>
          </w:p>
        </w:tc>
        <w:tc>
          <w:tcPr>
            <w:tcW w:type="dxa" w:w="3600"/>
            <w:vAlign w:val="center"/>
          </w:tcPr>
          <w:p>
            <w:pPr>
              <w:spacing w:after="0"/>
            </w:pPr>
            <w:r/>
            <w:r>
              <w:rPr>
                <w:b w:val="0"/>
                <w:sz w:val="17"/>
              </w:rPr>
              <w:t>CoExtend can sell deep trade familiarity rather than generic estimating</w:t>
            </w:r>
          </w:p>
        </w:tc>
      </w:tr>
      <w:tr>
        <w:tc>
          <w:tcPr>
            <w:tcW w:type="dxa" w:w="2304"/>
            <w:vAlign w:val="center"/>
          </w:tcPr>
          <w:p>
            <w:pPr>
              <w:spacing w:after="0"/>
            </w:pPr>
            <w:r/>
            <w:r>
              <w:rPr>
                <w:b w:val="0"/>
                <w:sz w:val="17"/>
              </w:rPr>
              <w:t>Recurring tender activity</w:t>
            </w:r>
          </w:p>
        </w:tc>
        <w:tc>
          <w:tcPr>
            <w:tcW w:type="dxa" w:w="3456"/>
            <w:vAlign w:val="center"/>
          </w:tcPr>
          <w:p>
            <w:pPr>
              <w:spacing w:after="0"/>
            </w:pPr>
            <w:r/>
            <w:r>
              <w:rPr>
                <w:b w:val="0"/>
                <w:sz w:val="17"/>
              </w:rPr>
              <w:t>Multiple live bids every month; active tender pipeline</w:t>
            </w:r>
          </w:p>
        </w:tc>
        <w:tc>
          <w:tcPr>
            <w:tcW w:type="dxa" w:w="3600"/>
            <w:vAlign w:val="center"/>
          </w:tcPr>
          <w:p>
            <w:pPr>
              <w:spacing w:after="0"/>
            </w:pPr>
            <w:r/>
            <w:r>
              <w:rPr>
                <w:b w:val="0"/>
                <w:sz w:val="17"/>
              </w:rPr>
              <w:t>Creates recurring takeoff, BOQ and pricing workload</w:t>
            </w:r>
          </w:p>
        </w:tc>
      </w:tr>
      <w:tr>
        <w:tc>
          <w:tcPr>
            <w:tcW w:type="dxa" w:w="2304"/>
            <w:vAlign w:val="center"/>
          </w:tcPr>
          <w:p>
            <w:pPr>
              <w:spacing w:after="0"/>
            </w:pPr>
            <w:r/>
            <w:r>
              <w:rPr>
                <w:b w:val="0"/>
                <w:sz w:val="17"/>
              </w:rPr>
              <w:t>Peak workload</w:t>
            </w:r>
          </w:p>
        </w:tc>
        <w:tc>
          <w:tcPr>
            <w:tcW w:type="dxa" w:w="3456"/>
            <w:vAlign w:val="center"/>
          </w:tcPr>
          <w:p>
            <w:pPr>
              <w:spacing w:after="0"/>
            </w:pPr>
            <w:r/>
            <w:r>
              <w:rPr>
                <w:b w:val="0"/>
                <w:sz w:val="17"/>
              </w:rPr>
              <w:t>Backlog, tender deadline pressure, recruitment gaps, holiday cover</w:t>
            </w:r>
          </w:p>
        </w:tc>
        <w:tc>
          <w:tcPr>
            <w:tcW w:type="dxa" w:w="3600"/>
            <w:vAlign w:val="center"/>
          </w:tcPr>
          <w:p>
            <w:pPr>
              <w:spacing w:after="0"/>
            </w:pPr>
            <w:r/>
            <w:r>
              <w:rPr>
                <w:b w:val="0"/>
                <w:sz w:val="17"/>
              </w:rPr>
              <w:t>Strong trigger for outsourced resource</w:t>
            </w:r>
          </w:p>
        </w:tc>
      </w:tr>
      <w:tr>
        <w:tc>
          <w:tcPr>
            <w:tcW w:type="dxa" w:w="2304"/>
            <w:vAlign w:val="center"/>
          </w:tcPr>
          <w:p>
            <w:pPr>
              <w:spacing w:after="0"/>
            </w:pPr>
            <w:r/>
            <w:r>
              <w:rPr>
                <w:b w:val="0"/>
                <w:sz w:val="17"/>
              </w:rPr>
              <w:t>Technical drawing workload</w:t>
            </w:r>
          </w:p>
        </w:tc>
        <w:tc>
          <w:tcPr>
            <w:tcW w:type="dxa" w:w="3456"/>
            <w:vAlign w:val="center"/>
          </w:tcPr>
          <w:p>
            <w:pPr>
              <w:spacing w:after="0"/>
            </w:pPr>
            <w:r/>
            <w:r>
              <w:rPr>
                <w:b w:val="0"/>
                <w:sz w:val="17"/>
              </w:rPr>
              <w:t>Shop drawings, fabrication details, as-builts, BIM or coordination required</w:t>
            </w:r>
          </w:p>
        </w:tc>
        <w:tc>
          <w:tcPr>
            <w:tcW w:type="dxa" w:w="3600"/>
            <w:vAlign w:val="center"/>
          </w:tcPr>
          <w:p>
            <w:pPr>
              <w:spacing w:after="0"/>
            </w:pPr>
            <w:r/>
            <w:r>
              <w:rPr>
                <w:b w:val="0"/>
                <w:sz w:val="17"/>
              </w:rPr>
              <w:t>Creates cross-sell from estimating into drafting/BIM</w:t>
            </w:r>
          </w:p>
        </w:tc>
      </w:tr>
      <w:tr>
        <w:tc>
          <w:tcPr>
            <w:tcW w:type="dxa" w:w="2304"/>
            <w:vAlign w:val="center"/>
          </w:tcPr>
          <w:p>
            <w:pPr>
              <w:spacing w:after="0"/>
            </w:pPr>
            <w:r/>
            <w:r>
              <w:rPr>
                <w:b w:val="0"/>
                <w:sz w:val="17"/>
              </w:rPr>
              <w:t>Existing estimator/commercial team</w:t>
            </w:r>
          </w:p>
        </w:tc>
        <w:tc>
          <w:tcPr>
            <w:tcW w:type="dxa" w:w="3456"/>
            <w:vAlign w:val="center"/>
          </w:tcPr>
          <w:p>
            <w:pPr>
              <w:spacing w:after="0"/>
            </w:pPr>
            <w:r/>
            <w:r>
              <w:rPr>
                <w:b w:val="0"/>
                <w:sz w:val="17"/>
              </w:rPr>
              <w:t>Has in-house experts but insufficient capacity</w:t>
            </w:r>
          </w:p>
        </w:tc>
        <w:tc>
          <w:tcPr>
            <w:tcW w:type="dxa" w:w="3600"/>
            <w:vAlign w:val="center"/>
          </w:tcPr>
          <w:p>
            <w:pPr>
              <w:spacing w:after="0"/>
            </w:pPr>
            <w:r/>
            <w:r>
              <w:rPr>
                <w:b w:val="0"/>
                <w:sz w:val="17"/>
              </w:rPr>
              <w:t>Best “extension of your team” positioning</w:t>
            </w:r>
          </w:p>
        </w:tc>
      </w:tr>
      <w:tr>
        <w:tc>
          <w:tcPr>
            <w:tcW w:type="dxa" w:w="2304"/>
            <w:vAlign w:val="center"/>
          </w:tcPr>
          <w:p>
            <w:pPr>
              <w:spacing w:after="0"/>
            </w:pPr>
            <w:r/>
            <w:r>
              <w:rPr>
                <w:b w:val="0"/>
                <w:sz w:val="17"/>
              </w:rPr>
              <w:t>Digital workflow</w:t>
            </w:r>
          </w:p>
        </w:tc>
        <w:tc>
          <w:tcPr>
            <w:tcW w:type="dxa" w:w="3456"/>
            <w:vAlign w:val="center"/>
          </w:tcPr>
          <w:p>
            <w:pPr>
              <w:spacing w:after="0"/>
            </w:pPr>
            <w:r/>
            <w:r>
              <w:rPr>
                <w:b w:val="0"/>
                <w:sz w:val="17"/>
              </w:rPr>
              <w:t>Uses PDF/DWG/Revit/Bluebeam/Excel/Teams or cloud collaboration</w:t>
            </w:r>
          </w:p>
        </w:tc>
        <w:tc>
          <w:tcPr>
            <w:tcW w:type="dxa" w:w="3600"/>
            <w:vAlign w:val="center"/>
          </w:tcPr>
          <w:p>
            <w:pPr>
              <w:spacing w:after="0"/>
            </w:pPr>
            <w:r/>
            <w:r>
              <w:rPr>
                <w:b w:val="0"/>
                <w:sz w:val="17"/>
              </w:rPr>
              <w:t>Lower friction for offshore delivery</w:t>
            </w:r>
          </w:p>
        </w:tc>
      </w:tr>
      <w:tr>
        <w:tc>
          <w:tcPr>
            <w:tcW w:type="dxa" w:w="2304"/>
            <w:vAlign w:val="center"/>
          </w:tcPr>
          <w:p>
            <w:pPr>
              <w:spacing w:after="0"/>
            </w:pPr>
            <w:r/>
            <w:r>
              <w:rPr>
                <w:b w:val="0"/>
                <w:sz w:val="17"/>
              </w:rPr>
              <w:t>Quality conscious</w:t>
            </w:r>
          </w:p>
        </w:tc>
        <w:tc>
          <w:tcPr>
            <w:tcW w:type="dxa" w:w="3456"/>
            <w:vAlign w:val="center"/>
          </w:tcPr>
          <w:p>
            <w:pPr>
              <w:spacing w:after="0"/>
            </w:pPr>
            <w:r/>
            <w:r>
              <w:rPr>
                <w:b w:val="0"/>
                <w:sz w:val="17"/>
              </w:rPr>
              <w:t>Values QA, revisions tracking, assumptions and traceability</w:t>
            </w:r>
          </w:p>
        </w:tc>
        <w:tc>
          <w:tcPr>
            <w:tcW w:type="dxa" w:w="3600"/>
            <w:vAlign w:val="center"/>
          </w:tcPr>
          <w:p>
            <w:pPr>
              <w:spacing w:after="0"/>
            </w:pPr>
            <w:r/>
            <w:r>
              <w:rPr>
                <w:b w:val="0"/>
                <w:sz w:val="17"/>
              </w:rPr>
              <w:t>Matches CoExtend delivery model</w:t>
            </w:r>
          </w:p>
        </w:tc>
      </w:tr>
      <w:tr>
        <w:tc>
          <w:tcPr>
            <w:tcW w:type="dxa" w:w="2304"/>
            <w:vAlign w:val="center"/>
          </w:tcPr>
          <w:p>
            <w:pPr>
              <w:spacing w:after="0"/>
            </w:pPr>
            <w:r/>
            <w:r>
              <w:rPr>
                <w:b w:val="0"/>
                <w:sz w:val="17"/>
              </w:rPr>
              <w:t>International collaboration</w:t>
            </w:r>
          </w:p>
        </w:tc>
        <w:tc>
          <w:tcPr>
            <w:tcW w:type="dxa" w:w="3456"/>
            <w:vAlign w:val="center"/>
          </w:tcPr>
          <w:p>
            <w:pPr>
              <w:spacing w:after="0"/>
            </w:pPr>
            <w:r/>
            <w:r>
              <w:rPr>
                <w:b w:val="0"/>
                <w:sz w:val="17"/>
              </w:rPr>
              <w:t>Already uses remote/offshore suppliers or distributed teams</w:t>
            </w:r>
          </w:p>
        </w:tc>
        <w:tc>
          <w:tcPr>
            <w:tcW w:type="dxa" w:w="3600"/>
            <w:vAlign w:val="center"/>
          </w:tcPr>
          <w:p>
            <w:pPr>
              <w:spacing w:after="0"/>
            </w:pPr>
            <w:r/>
            <w:r>
              <w:rPr>
                <w:b w:val="0"/>
                <w:sz w:val="17"/>
              </w:rPr>
              <w:t>Lower resistance to retained-resource model</w:t>
            </w:r>
          </w:p>
        </w:tc>
      </w:tr>
      <w:tr>
        <w:tc>
          <w:tcPr>
            <w:tcW w:type="dxa" w:w="2304"/>
            <w:vAlign w:val="center"/>
          </w:tcPr>
          <w:p>
            <w:pPr>
              <w:spacing w:after="0"/>
            </w:pPr>
            <w:r/>
            <w:r>
              <w:rPr>
                <w:b w:val="0"/>
                <w:sz w:val="17"/>
              </w:rPr>
              <w:t>Growth orientation</w:t>
            </w:r>
          </w:p>
        </w:tc>
        <w:tc>
          <w:tcPr>
            <w:tcW w:type="dxa" w:w="3456"/>
            <w:vAlign w:val="center"/>
          </w:tcPr>
          <w:p>
            <w:pPr>
              <w:spacing w:after="0"/>
            </w:pPr>
            <w:r/>
            <w:r>
              <w:rPr>
                <w:b w:val="0"/>
                <w:sz w:val="17"/>
              </w:rPr>
              <w:t>Hiring estimators/designers or taking on more bids</w:t>
            </w:r>
          </w:p>
        </w:tc>
        <w:tc>
          <w:tcPr>
            <w:tcW w:type="dxa" w:w="3600"/>
            <w:vAlign w:val="center"/>
          </w:tcPr>
          <w:p>
            <w:pPr>
              <w:spacing w:after="0"/>
            </w:pPr>
            <w:r/>
            <w:r>
              <w:rPr>
                <w:b w:val="0"/>
                <w:sz w:val="17"/>
              </w:rPr>
              <w:t>Outsourcing can solve capacity before permanent hiring</w:t>
            </w:r>
          </w:p>
        </w:tc>
      </w:tr>
      <w:tr>
        <w:tc>
          <w:tcPr>
            <w:tcW w:type="dxa" w:w="2304"/>
            <w:vAlign w:val="center"/>
          </w:tcPr>
          <w:p>
            <w:pPr>
              <w:spacing w:after="0"/>
            </w:pPr>
            <w:r/>
            <w:r>
              <w:rPr>
                <w:b w:val="0"/>
                <w:sz w:val="17"/>
              </w:rPr>
              <w:t>Repeatable project types</w:t>
            </w:r>
          </w:p>
        </w:tc>
        <w:tc>
          <w:tcPr>
            <w:tcW w:type="dxa" w:w="3456"/>
            <w:vAlign w:val="center"/>
          </w:tcPr>
          <w:p>
            <w:pPr>
              <w:spacing w:after="0"/>
            </w:pPr>
            <w:r/>
            <w:r>
              <w:rPr>
                <w:b w:val="0"/>
                <w:sz w:val="17"/>
              </w:rPr>
              <w:t>Commercial/residential towers, retrofit/remediation, public/commercial buildings, industrial or mixed-use</w:t>
            </w:r>
          </w:p>
        </w:tc>
        <w:tc>
          <w:tcPr>
            <w:tcW w:type="dxa" w:w="3600"/>
            <w:vAlign w:val="center"/>
          </w:tcPr>
          <w:p>
            <w:pPr>
              <w:spacing w:after="0"/>
            </w:pPr>
            <w:r/>
            <w:r>
              <w:rPr>
                <w:b w:val="0"/>
                <w:sz w:val="17"/>
              </w:rPr>
              <w:t>Repeatable assemblies improve delivery efficiency and account value</w:t>
            </w:r>
          </w:p>
        </w:tc>
      </w:tr>
    </w:tbl>
    <w:p>
      <w:pPr>
        <w:pStyle w:val="Heading1"/>
      </w:pPr>
      <w:r>
        <w:t>5. BAD PROSPECT CHARACTERISTICS</w:t>
      </w:r>
    </w:p>
    <w:p>
      <w:pPr>
        <w:pStyle w:val="ListBullet"/>
        <w:spacing w:after="40"/>
      </w:pPr>
      <w:r>
        <w:t>Purely price-shopping enquiry with no interest in quality, continuity, communication or repeat work.</w:t>
      </w:r>
    </w:p>
    <w:p>
      <w:pPr>
        <w:pStyle w:val="ListBullet"/>
        <w:spacing w:after="40"/>
      </w:pPr>
      <w:r>
        <w:t>Very low tender volume where one occasional takeoff does not justify an ongoing relationship.</w:t>
      </w:r>
    </w:p>
    <w:p>
      <w:pPr>
        <w:pStyle w:val="ListBullet"/>
        <w:spacing w:after="40"/>
      </w:pPr>
      <w:r>
        <w:t>No drawings/specifications available and expectation that CoExtend should discover or invent scope without adequate information.</w:t>
      </w:r>
    </w:p>
    <w:p>
      <w:pPr>
        <w:pStyle w:val="ListBullet"/>
        <w:spacing w:after="40"/>
      </w:pPr>
      <w:r>
        <w:t>Customer needs licensed local engineering sign-off, statutory design responsibility or other regulated services outside the agreed support scope.</w:t>
      </w:r>
    </w:p>
    <w:p>
      <w:pPr>
        <w:pStyle w:val="ListBullet"/>
        <w:spacing w:after="40"/>
      </w:pPr>
      <w:r>
        <w:t>Customer refuses reasonable QA/review cycles, document controls or communication protocols.</w:t>
      </w:r>
    </w:p>
    <w:p>
      <w:pPr>
        <w:pStyle w:val="ListBullet"/>
        <w:spacing w:after="40"/>
      </w:pPr>
      <w:r>
        <w:t>Persistent late payment, unclear commercial terms, unrealistic deadlines or repeated unpaid “test” work.</w:t>
      </w:r>
    </w:p>
    <w:p>
      <w:pPr>
        <w:pStyle w:val="ListBullet"/>
        <w:spacing w:after="40"/>
      </w:pPr>
      <w:r>
        <w:t>Project work is outside CoExtend’s proven trade/geography capability and requires unfamiliar local standards with no allowance for learning/QA.</w:t>
      </w:r>
    </w:p>
    <w:p>
      <w:pPr>
        <w:pStyle w:val="ListBullet"/>
        <w:spacing w:after="40"/>
      </w:pPr>
      <w:r>
        <w:t>Customer is a direct competitor primarily seeking CoExtend internal methods, staff, pricing or proprietary workflows rather than buying a service.</w:t>
      </w:r>
    </w:p>
    <w:p>
      <w:pPr>
        <w:pStyle w:val="Heading1"/>
      </w:pPr>
      <w:r>
        <w:t>6. HIGH-VALUE PROSPECT CHARACTERISTICS</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shd w:fill="17365D"/>
          </w:tcPr>
          <w:p>
            <w:pPr>
              <w:spacing w:after="0"/>
            </w:pPr>
            <w:r/>
            <w:r>
              <w:rPr>
                <w:b/>
                <w:color w:val="FFFFFF"/>
                <w:sz w:val="17"/>
              </w:rPr>
              <w:t>High-value signal</w:t>
            </w:r>
          </w:p>
        </w:tc>
        <w:tc>
          <w:tcPr>
            <w:tcW w:type="dxa" w:w="3888"/>
            <w:vAlign w:val="center"/>
            <w:shd w:fill="17365D"/>
          </w:tcPr>
          <w:p>
            <w:pPr>
              <w:spacing w:after="0"/>
            </w:pPr>
            <w:r/>
            <w:r>
              <w:rPr>
                <w:b/>
                <w:color w:val="FFFFFF"/>
                <w:sz w:val="17"/>
              </w:rPr>
              <w:t>What to look for in research</w:t>
            </w:r>
          </w:p>
        </w:tc>
        <w:tc>
          <w:tcPr>
            <w:tcW w:type="dxa" w:w="3024"/>
            <w:vAlign w:val="center"/>
            <w:shd w:fill="17365D"/>
          </w:tcPr>
          <w:p>
            <w:pPr>
              <w:spacing w:after="0"/>
            </w:pPr>
            <w:r/>
            <w:r>
              <w:rPr>
                <w:b/>
                <w:color w:val="FFFFFF"/>
                <w:sz w:val="17"/>
              </w:rPr>
              <w:t>Potential commercial value</w:t>
            </w:r>
          </w:p>
        </w:tc>
      </w:tr>
      <w:tr>
        <w:tc>
          <w:tcPr>
            <w:tcW w:type="dxa" w:w="2448"/>
            <w:vAlign w:val="center"/>
          </w:tcPr>
          <w:p>
            <w:pPr>
              <w:spacing w:after="0"/>
            </w:pPr>
            <w:r/>
            <w:r>
              <w:rPr>
                <w:b w:val="0"/>
                <w:sz w:val="17"/>
              </w:rPr>
              <w:t>10+ tenders / month</w:t>
            </w:r>
          </w:p>
        </w:tc>
        <w:tc>
          <w:tcPr>
            <w:tcW w:type="dxa" w:w="3888"/>
            <w:vAlign w:val="center"/>
          </w:tcPr>
          <w:p>
            <w:pPr>
              <w:spacing w:after="0"/>
            </w:pPr>
            <w:r/>
            <w:r>
              <w:rPr>
                <w:b w:val="0"/>
                <w:sz w:val="17"/>
              </w:rPr>
              <w:t>Active estimator/commercial team; frequent bid activity</w:t>
            </w:r>
          </w:p>
        </w:tc>
        <w:tc>
          <w:tcPr>
            <w:tcW w:type="dxa" w:w="3024"/>
            <w:vAlign w:val="center"/>
          </w:tcPr>
          <w:p>
            <w:pPr>
              <w:spacing w:after="0"/>
            </w:pPr>
            <w:r/>
            <w:r>
              <w:rPr>
                <w:b w:val="0"/>
                <w:sz w:val="17"/>
              </w:rPr>
              <w:t>Recurring takeoff and estimating revenue</w:t>
            </w:r>
          </w:p>
        </w:tc>
      </w:tr>
      <w:tr>
        <w:tc>
          <w:tcPr>
            <w:tcW w:type="dxa" w:w="2448"/>
            <w:vAlign w:val="center"/>
          </w:tcPr>
          <w:p>
            <w:pPr>
              <w:spacing w:after="0"/>
            </w:pPr>
            <w:r/>
            <w:r>
              <w:rPr>
                <w:b w:val="0"/>
                <w:sz w:val="17"/>
              </w:rPr>
              <w:t>Hiring estimators/designers</w:t>
            </w:r>
          </w:p>
        </w:tc>
        <w:tc>
          <w:tcPr>
            <w:tcW w:type="dxa" w:w="3888"/>
            <w:vAlign w:val="center"/>
          </w:tcPr>
          <w:p>
            <w:pPr>
              <w:spacing w:after="0"/>
            </w:pPr>
            <w:r/>
            <w:r>
              <w:rPr>
                <w:b w:val="0"/>
                <w:sz w:val="17"/>
              </w:rPr>
              <w:t>Open roles for estimators, BIM, CAD, design or commercial staff</w:t>
            </w:r>
          </w:p>
        </w:tc>
        <w:tc>
          <w:tcPr>
            <w:tcW w:type="dxa" w:w="3024"/>
            <w:vAlign w:val="center"/>
          </w:tcPr>
          <w:p>
            <w:pPr>
              <w:spacing w:after="0"/>
            </w:pPr>
            <w:r/>
            <w:r>
              <w:rPr>
                <w:b w:val="0"/>
                <w:sz w:val="17"/>
              </w:rPr>
              <w:t>Immediate capacity gap; strong timing signal</w:t>
            </w:r>
          </w:p>
        </w:tc>
      </w:tr>
      <w:tr>
        <w:tc>
          <w:tcPr>
            <w:tcW w:type="dxa" w:w="2448"/>
            <w:vAlign w:val="center"/>
          </w:tcPr>
          <w:p>
            <w:pPr>
              <w:spacing w:after="0"/>
            </w:pPr>
            <w:r/>
            <w:r>
              <w:rPr>
                <w:b w:val="0"/>
                <w:sz w:val="17"/>
              </w:rPr>
              <w:t>Multiple offices / regions</w:t>
            </w:r>
          </w:p>
        </w:tc>
        <w:tc>
          <w:tcPr>
            <w:tcW w:type="dxa" w:w="3888"/>
            <w:vAlign w:val="center"/>
          </w:tcPr>
          <w:p>
            <w:pPr>
              <w:spacing w:after="0"/>
            </w:pPr>
            <w:r/>
            <w:r>
              <w:rPr>
                <w:b w:val="0"/>
                <w:sz w:val="17"/>
              </w:rPr>
              <w:t>Regional teams and central pre-construction</w:t>
            </w:r>
          </w:p>
        </w:tc>
        <w:tc>
          <w:tcPr>
            <w:tcW w:type="dxa" w:w="3024"/>
            <w:vAlign w:val="center"/>
          </w:tcPr>
          <w:p>
            <w:pPr>
              <w:spacing w:after="0"/>
            </w:pPr>
            <w:r/>
            <w:r>
              <w:rPr>
                <w:b w:val="0"/>
                <w:sz w:val="17"/>
              </w:rPr>
              <w:t>Potential for multi-resource account</w:t>
            </w:r>
          </w:p>
        </w:tc>
      </w:tr>
      <w:tr>
        <w:tc>
          <w:tcPr>
            <w:tcW w:type="dxa" w:w="2448"/>
            <w:vAlign w:val="center"/>
          </w:tcPr>
          <w:p>
            <w:pPr>
              <w:spacing w:after="0"/>
            </w:pPr>
            <w:r/>
            <w:r>
              <w:rPr>
                <w:b w:val="0"/>
                <w:sz w:val="17"/>
              </w:rPr>
              <w:t>Large project pipeline</w:t>
            </w:r>
          </w:p>
        </w:tc>
        <w:tc>
          <w:tcPr>
            <w:tcW w:type="dxa" w:w="3888"/>
            <w:vAlign w:val="center"/>
          </w:tcPr>
          <w:p>
            <w:pPr>
              <w:spacing w:after="0"/>
            </w:pPr>
            <w:r/>
            <w:r>
              <w:rPr>
                <w:b w:val="0"/>
                <w:sz w:val="17"/>
              </w:rPr>
              <w:t>Commercial, residential, healthcare, education, infrastructure, remediation or mixed-use projects</w:t>
            </w:r>
          </w:p>
        </w:tc>
        <w:tc>
          <w:tcPr>
            <w:tcW w:type="dxa" w:w="3024"/>
            <w:vAlign w:val="center"/>
          </w:tcPr>
          <w:p>
            <w:pPr>
              <w:spacing w:after="0"/>
            </w:pPr>
            <w:r/>
            <w:r>
              <w:rPr>
                <w:b w:val="0"/>
                <w:sz w:val="17"/>
              </w:rPr>
              <w:t>Larger project fees and repeat work</w:t>
            </w:r>
          </w:p>
        </w:tc>
      </w:tr>
      <w:tr>
        <w:tc>
          <w:tcPr>
            <w:tcW w:type="dxa" w:w="2448"/>
            <w:vAlign w:val="center"/>
          </w:tcPr>
          <w:p>
            <w:pPr>
              <w:spacing w:after="0"/>
            </w:pPr>
            <w:r/>
            <w:r>
              <w:rPr>
                <w:b w:val="0"/>
                <w:sz w:val="17"/>
              </w:rPr>
              <w:t>High documentation burden</w:t>
            </w:r>
          </w:p>
        </w:tc>
        <w:tc>
          <w:tcPr>
            <w:tcW w:type="dxa" w:w="3888"/>
            <w:vAlign w:val="center"/>
          </w:tcPr>
          <w:p>
            <w:pPr>
              <w:spacing w:after="0"/>
            </w:pPr>
            <w:r/>
            <w:r>
              <w:rPr>
                <w:b w:val="0"/>
                <w:sz w:val="17"/>
              </w:rPr>
              <w:t>Shop/fabrication drawings and BIM as part of delivery</w:t>
            </w:r>
          </w:p>
        </w:tc>
        <w:tc>
          <w:tcPr>
            <w:tcW w:type="dxa" w:w="3024"/>
            <w:vAlign w:val="center"/>
          </w:tcPr>
          <w:p>
            <w:pPr>
              <w:spacing w:after="0"/>
            </w:pPr>
            <w:r/>
            <w:r>
              <w:rPr>
                <w:b w:val="0"/>
                <w:sz w:val="17"/>
              </w:rPr>
              <w:t>Cross-sell estimating + drafting + BIM</w:t>
            </w:r>
          </w:p>
        </w:tc>
      </w:tr>
      <w:tr>
        <w:tc>
          <w:tcPr>
            <w:tcW w:type="dxa" w:w="2448"/>
            <w:vAlign w:val="center"/>
          </w:tcPr>
          <w:p>
            <w:pPr>
              <w:spacing w:after="0"/>
            </w:pPr>
            <w:r/>
            <w:r>
              <w:rPr>
                <w:b w:val="0"/>
                <w:sz w:val="17"/>
              </w:rPr>
              <w:t>Peak/seasonal workload</w:t>
            </w:r>
          </w:p>
        </w:tc>
        <w:tc>
          <w:tcPr>
            <w:tcW w:type="dxa" w:w="3888"/>
            <w:vAlign w:val="center"/>
          </w:tcPr>
          <w:p>
            <w:pPr>
              <w:spacing w:after="0"/>
            </w:pPr>
            <w:r/>
            <w:r>
              <w:rPr>
                <w:b w:val="0"/>
                <w:sz w:val="17"/>
              </w:rPr>
              <w:t>Tender bursts, framework bids, programme acceleration</w:t>
            </w:r>
          </w:p>
        </w:tc>
        <w:tc>
          <w:tcPr>
            <w:tcW w:type="dxa" w:w="3024"/>
            <w:vAlign w:val="center"/>
          </w:tcPr>
          <w:p>
            <w:pPr>
              <w:spacing w:after="0"/>
            </w:pPr>
            <w:r/>
            <w:r>
              <w:rPr>
                <w:b w:val="0"/>
                <w:sz w:val="17"/>
              </w:rPr>
              <w:t>Good retainer and overflow fit</w:t>
            </w:r>
          </w:p>
        </w:tc>
      </w:tr>
      <w:tr>
        <w:tc>
          <w:tcPr>
            <w:tcW w:type="dxa" w:w="2448"/>
            <w:vAlign w:val="center"/>
          </w:tcPr>
          <w:p>
            <w:pPr>
              <w:spacing w:after="0"/>
            </w:pPr>
            <w:r/>
            <w:r>
              <w:rPr>
                <w:b w:val="0"/>
                <w:sz w:val="17"/>
              </w:rPr>
              <w:t>Existing outsourcing</w:t>
            </w:r>
          </w:p>
        </w:tc>
        <w:tc>
          <w:tcPr>
            <w:tcW w:type="dxa" w:w="3888"/>
            <w:vAlign w:val="center"/>
          </w:tcPr>
          <w:p>
            <w:pPr>
              <w:spacing w:after="0"/>
            </w:pPr>
            <w:r/>
            <w:r>
              <w:rPr>
                <w:b w:val="0"/>
                <w:sz w:val="17"/>
              </w:rPr>
              <w:t>Already uses offshore or external drafting/estimating</w:t>
            </w:r>
          </w:p>
        </w:tc>
        <w:tc>
          <w:tcPr>
            <w:tcW w:type="dxa" w:w="3024"/>
            <w:vAlign w:val="center"/>
          </w:tcPr>
          <w:p>
            <w:pPr>
              <w:spacing w:after="0"/>
            </w:pPr>
            <w:r/>
            <w:r>
              <w:rPr>
                <w:b w:val="0"/>
                <w:sz w:val="17"/>
              </w:rPr>
              <w:t>Lower adoption friction</w:t>
            </w:r>
          </w:p>
        </w:tc>
      </w:tr>
      <w:tr>
        <w:tc>
          <w:tcPr>
            <w:tcW w:type="dxa" w:w="2448"/>
            <w:vAlign w:val="center"/>
          </w:tcPr>
          <w:p>
            <w:pPr>
              <w:spacing w:after="0"/>
            </w:pPr>
            <w:r/>
            <w:r>
              <w:rPr>
                <w:b w:val="0"/>
                <w:sz w:val="17"/>
              </w:rPr>
              <w:t>Founder / director accessible</w:t>
            </w:r>
          </w:p>
        </w:tc>
        <w:tc>
          <w:tcPr>
            <w:tcW w:type="dxa" w:w="3888"/>
            <w:vAlign w:val="center"/>
          </w:tcPr>
          <w:p>
            <w:pPr>
              <w:spacing w:after="0"/>
            </w:pPr>
            <w:r/>
            <w:r>
              <w:rPr>
                <w:b w:val="0"/>
                <w:sz w:val="17"/>
              </w:rPr>
              <w:t>Decision maker active on LinkedIn and responsive to direct outreach</w:t>
            </w:r>
          </w:p>
        </w:tc>
        <w:tc>
          <w:tcPr>
            <w:tcW w:type="dxa" w:w="3024"/>
            <w:vAlign w:val="center"/>
          </w:tcPr>
          <w:p>
            <w:pPr>
              <w:spacing w:after="0"/>
            </w:pPr>
            <w:r/>
            <w:r>
              <w:rPr>
                <w:b w:val="0"/>
                <w:sz w:val="17"/>
              </w:rPr>
              <w:t>Shorter sales cycle</w:t>
            </w:r>
          </w:p>
        </w:tc>
      </w:tr>
      <w:tr>
        <w:tc>
          <w:tcPr>
            <w:tcW w:type="dxa" w:w="2448"/>
            <w:vAlign w:val="center"/>
          </w:tcPr>
          <w:p>
            <w:pPr>
              <w:spacing w:after="0"/>
            </w:pPr>
            <w:r/>
            <w:r>
              <w:rPr>
                <w:b w:val="0"/>
                <w:sz w:val="17"/>
              </w:rPr>
              <w:t>Strong gross-margin focus</w:t>
            </w:r>
          </w:p>
        </w:tc>
        <w:tc>
          <w:tcPr>
            <w:tcW w:type="dxa" w:w="3888"/>
            <w:vAlign w:val="center"/>
          </w:tcPr>
          <w:p>
            <w:pPr>
              <w:spacing w:after="0"/>
            </w:pPr>
            <w:r/>
            <w:r>
              <w:rPr>
                <w:b w:val="0"/>
                <w:sz w:val="17"/>
              </w:rPr>
              <w:t>Commercial team talks about margin, bid/no-bid, productivity, overheads</w:t>
            </w:r>
          </w:p>
        </w:tc>
        <w:tc>
          <w:tcPr>
            <w:tcW w:type="dxa" w:w="3024"/>
            <w:vAlign w:val="center"/>
          </w:tcPr>
          <w:p>
            <w:pPr>
              <w:spacing w:after="0"/>
            </w:pPr>
            <w:r/>
            <w:r>
              <w:rPr>
                <w:b w:val="0"/>
                <w:sz w:val="17"/>
              </w:rPr>
              <w:t>Outcome-based value proposition is easier to quantify</w:t>
            </w:r>
          </w:p>
        </w:tc>
      </w:tr>
      <w:tr>
        <w:tc>
          <w:tcPr>
            <w:tcW w:type="dxa" w:w="2448"/>
            <w:vAlign w:val="center"/>
          </w:tcPr>
          <w:p>
            <w:pPr>
              <w:spacing w:after="0"/>
            </w:pPr>
            <w:r/>
            <w:r>
              <w:rPr>
                <w:b w:val="0"/>
                <w:sz w:val="17"/>
              </w:rPr>
              <w:t>Need for continuity</w:t>
            </w:r>
          </w:p>
        </w:tc>
        <w:tc>
          <w:tcPr>
            <w:tcW w:type="dxa" w:w="3888"/>
            <w:vAlign w:val="center"/>
          </w:tcPr>
          <w:p>
            <w:pPr>
              <w:spacing w:after="0"/>
            </w:pPr>
            <w:r/>
            <w:r>
              <w:rPr>
                <w:b w:val="0"/>
                <w:sz w:val="17"/>
              </w:rPr>
              <w:t>Concern around staff turnover or recruiting shortages</w:t>
            </w:r>
          </w:p>
        </w:tc>
        <w:tc>
          <w:tcPr>
            <w:tcW w:type="dxa" w:w="3024"/>
            <w:vAlign w:val="center"/>
          </w:tcPr>
          <w:p>
            <w:pPr>
              <w:spacing w:after="0"/>
            </w:pPr>
            <w:r/>
            <w:r>
              <w:rPr>
                <w:b w:val="0"/>
                <w:sz w:val="17"/>
              </w:rPr>
              <w:t>Retainer model becomes strategically attractive</w:t>
            </w:r>
          </w:p>
        </w:tc>
      </w:tr>
    </w:tbl>
    <w:p>
      <w:pPr>
        <w:pStyle w:val="Heading1"/>
      </w:pPr>
      <w:r>
        <w:t>7. AUTOMATED PROSPECT-SCORING FRAMEWORK</w:t>
      </w:r>
    </w:p>
    <w:p>
      <w:r>
        <w:t>This framework is designed for eventual automation in the sales system. Start with a 100-point fit/intent score. Use public/company data first, then enrich with Sales Navigator and CRM activity. Do not score on sensitive personal characteristics.</w:t>
      </w:r>
    </w:p>
    <w:tbl>
      <w:tblPr>
        <w:tblStyle w:val="TableGrid"/>
        <w:tblW w:type="auto" w:w="0"/>
        <w:jc w:val="center"/>
        <w:tblLook w:firstColumn="1" w:firstRow="1" w:lastColumn="0" w:lastRow="0" w:noHBand="0" w:noVBand="1" w:val="04A0"/>
      </w:tblPr>
      <w:tblGrid>
        <w:gridCol w:w="3408"/>
        <w:gridCol w:w="3408"/>
        <w:gridCol w:w="3408"/>
      </w:tblGrid>
      <w:tr>
        <w:tc>
          <w:tcPr>
            <w:tcW w:type="dxa" w:w="2736"/>
            <w:vAlign w:val="center"/>
            <w:shd w:fill="17365D"/>
          </w:tcPr>
          <w:p>
            <w:pPr>
              <w:spacing w:after="0"/>
            </w:pPr>
            <w:r/>
            <w:r>
              <w:rPr>
                <w:b/>
                <w:color w:val="FFFFFF"/>
                <w:sz w:val="17"/>
              </w:rPr>
              <w:t>Factor</w:t>
            </w:r>
          </w:p>
        </w:tc>
        <w:tc>
          <w:tcPr>
            <w:tcW w:type="dxa" w:w="1008"/>
            <w:vAlign w:val="center"/>
            <w:shd w:fill="17365D"/>
          </w:tcPr>
          <w:p>
            <w:pPr>
              <w:spacing w:after="0"/>
            </w:pPr>
            <w:r/>
            <w:r>
              <w:rPr>
                <w:b/>
                <w:color w:val="FFFFFF"/>
                <w:sz w:val="17"/>
              </w:rPr>
              <w:t>Weight</w:t>
            </w:r>
          </w:p>
        </w:tc>
        <w:tc>
          <w:tcPr>
            <w:tcW w:type="dxa" w:w="6480"/>
            <w:vAlign w:val="center"/>
            <w:shd w:fill="17365D"/>
          </w:tcPr>
          <w:p>
            <w:pPr>
              <w:spacing w:after="0"/>
            </w:pPr>
            <w:r/>
            <w:r>
              <w:rPr>
                <w:b/>
                <w:color w:val="FFFFFF"/>
                <w:sz w:val="17"/>
              </w:rPr>
              <w:t>Scoring guidance</w:t>
            </w:r>
          </w:p>
        </w:tc>
      </w:tr>
      <w:tr>
        <w:tc>
          <w:tcPr>
            <w:tcW w:type="dxa" w:w="2736"/>
            <w:vAlign w:val="center"/>
          </w:tcPr>
          <w:p>
            <w:pPr>
              <w:spacing w:after="0"/>
            </w:pPr>
            <w:r/>
            <w:r>
              <w:rPr>
                <w:b w:val="0"/>
                <w:sz w:val="17"/>
              </w:rPr>
              <w:t>Trade / service fit</w:t>
            </w:r>
          </w:p>
        </w:tc>
        <w:tc>
          <w:tcPr>
            <w:tcW w:type="dxa" w:w="1008"/>
            <w:vAlign w:val="center"/>
          </w:tcPr>
          <w:p>
            <w:pPr>
              <w:spacing w:after="0"/>
            </w:pPr>
            <w:r/>
            <w:r>
              <w:rPr>
                <w:b w:val="0"/>
                <w:sz w:val="17"/>
              </w:rPr>
              <w:t>20</w:t>
            </w:r>
          </w:p>
        </w:tc>
        <w:tc>
          <w:tcPr>
            <w:tcW w:type="dxa" w:w="6480"/>
            <w:vAlign w:val="center"/>
          </w:tcPr>
          <w:p>
            <w:pPr>
              <w:spacing w:after="0"/>
            </w:pPr>
            <w:r/>
            <w:r>
              <w:rPr>
                <w:b w:val="0"/>
                <w:sz w:val="17"/>
              </w:rPr>
              <w:t>20 = façade/cladding/roofing/building-envelope specialist; 10 = adjacent specialist; 0 = unrelated</w:t>
            </w:r>
          </w:p>
        </w:tc>
      </w:tr>
      <w:tr>
        <w:tc>
          <w:tcPr>
            <w:tcW w:type="dxa" w:w="2736"/>
            <w:vAlign w:val="center"/>
          </w:tcPr>
          <w:p>
            <w:pPr>
              <w:spacing w:after="0"/>
            </w:pPr>
            <w:r/>
            <w:r>
              <w:rPr>
                <w:b w:val="0"/>
                <w:sz w:val="17"/>
              </w:rPr>
              <w:t>Geography</w:t>
            </w:r>
          </w:p>
        </w:tc>
        <w:tc>
          <w:tcPr>
            <w:tcW w:type="dxa" w:w="1008"/>
            <w:vAlign w:val="center"/>
          </w:tcPr>
          <w:p>
            <w:pPr>
              <w:spacing w:after="0"/>
            </w:pPr>
            <w:r/>
            <w:r>
              <w:rPr>
                <w:b w:val="0"/>
                <w:sz w:val="17"/>
              </w:rPr>
              <w:t>10</w:t>
            </w:r>
          </w:p>
        </w:tc>
        <w:tc>
          <w:tcPr>
            <w:tcW w:type="dxa" w:w="6480"/>
            <w:vAlign w:val="center"/>
          </w:tcPr>
          <w:p>
            <w:pPr>
              <w:spacing w:after="0"/>
            </w:pPr>
            <w:r/>
            <w:r>
              <w:rPr>
                <w:b w:val="0"/>
                <w:sz w:val="17"/>
              </w:rPr>
              <w:t>10 = UK/US/Canada; 5 = approved expansion market; 0 = poor delivery fit</w:t>
            </w:r>
          </w:p>
        </w:tc>
      </w:tr>
      <w:tr>
        <w:tc>
          <w:tcPr>
            <w:tcW w:type="dxa" w:w="2736"/>
            <w:vAlign w:val="center"/>
          </w:tcPr>
          <w:p>
            <w:pPr>
              <w:spacing w:after="0"/>
            </w:pPr>
            <w:r/>
            <w:r>
              <w:rPr>
                <w:b w:val="0"/>
                <w:sz w:val="17"/>
              </w:rPr>
              <w:t>Company size / capacity need</w:t>
            </w:r>
          </w:p>
        </w:tc>
        <w:tc>
          <w:tcPr>
            <w:tcW w:type="dxa" w:w="1008"/>
            <w:vAlign w:val="center"/>
          </w:tcPr>
          <w:p>
            <w:pPr>
              <w:spacing w:after="0"/>
            </w:pPr>
            <w:r/>
            <w:r>
              <w:rPr>
                <w:b w:val="0"/>
                <w:sz w:val="17"/>
              </w:rPr>
              <w:t>10</w:t>
            </w:r>
          </w:p>
        </w:tc>
        <w:tc>
          <w:tcPr>
            <w:tcW w:type="dxa" w:w="6480"/>
            <w:vAlign w:val="center"/>
          </w:tcPr>
          <w:p>
            <w:pPr>
              <w:spacing w:after="0"/>
            </w:pPr>
            <w:r/>
            <w:r>
              <w:rPr>
                <w:b w:val="0"/>
                <w:sz w:val="17"/>
              </w:rPr>
              <w:t>10 = 10-249 employees or clear resource gap; 5 = smaller/larger with evidence; 0 = poor economics</w:t>
            </w:r>
          </w:p>
        </w:tc>
      </w:tr>
      <w:tr>
        <w:tc>
          <w:tcPr>
            <w:tcW w:type="dxa" w:w="2736"/>
            <w:vAlign w:val="center"/>
          </w:tcPr>
          <w:p>
            <w:pPr>
              <w:spacing w:after="0"/>
            </w:pPr>
            <w:r/>
            <w:r>
              <w:rPr>
                <w:b w:val="0"/>
                <w:sz w:val="17"/>
              </w:rPr>
              <w:t>Tender / project volume</w:t>
            </w:r>
          </w:p>
        </w:tc>
        <w:tc>
          <w:tcPr>
            <w:tcW w:type="dxa" w:w="1008"/>
            <w:vAlign w:val="center"/>
          </w:tcPr>
          <w:p>
            <w:pPr>
              <w:spacing w:after="0"/>
            </w:pPr>
            <w:r/>
            <w:r>
              <w:rPr>
                <w:b w:val="0"/>
                <w:sz w:val="17"/>
              </w:rPr>
              <w:t>15</w:t>
            </w:r>
          </w:p>
        </w:tc>
        <w:tc>
          <w:tcPr>
            <w:tcW w:type="dxa" w:w="6480"/>
            <w:vAlign w:val="center"/>
          </w:tcPr>
          <w:p>
            <w:pPr>
              <w:spacing w:after="0"/>
            </w:pPr>
            <w:r/>
            <w:r>
              <w:rPr>
                <w:b w:val="0"/>
                <w:sz w:val="17"/>
              </w:rPr>
              <w:t>15 = frequent active tenders / visible pipeline; 8 = moderate; 0 = little evidence</w:t>
            </w:r>
          </w:p>
        </w:tc>
      </w:tr>
      <w:tr>
        <w:tc>
          <w:tcPr>
            <w:tcW w:type="dxa" w:w="2736"/>
            <w:vAlign w:val="center"/>
          </w:tcPr>
          <w:p>
            <w:pPr>
              <w:spacing w:after="0"/>
            </w:pPr>
            <w:r/>
            <w:r>
              <w:rPr>
                <w:b w:val="0"/>
                <w:sz w:val="17"/>
              </w:rPr>
              <w:t>Need for estimating/takeoff</w:t>
            </w:r>
          </w:p>
        </w:tc>
        <w:tc>
          <w:tcPr>
            <w:tcW w:type="dxa" w:w="1008"/>
            <w:vAlign w:val="center"/>
          </w:tcPr>
          <w:p>
            <w:pPr>
              <w:spacing w:after="0"/>
            </w:pPr>
            <w:r/>
            <w:r>
              <w:rPr>
                <w:b w:val="0"/>
                <w:sz w:val="17"/>
              </w:rPr>
              <w:t>10</w:t>
            </w:r>
          </w:p>
        </w:tc>
        <w:tc>
          <w:tcPr>
            <w:tcW w:type="dxa" w:w="6480"/>
            <w:vAlign w:val="center"/>
          </w:tcPr>
          <w:p>
            <w:pPr>
              <w:spacing w:after="0"/>
            </w:pPr>
            <w:r/>
            <w:r>
              <w:rPr>
                <w:b w:val="0"/>
                <w:sz w:val="17"/>
              </w:rPr>
              <w:t>10 = explicit need, hiring or service description; 5 = likely; 0 = none</w:t>
            </w:r>
          </w:p>
        </w:tc>
      </w:tr>
      <w:tr>
        <w:tc>
          <w:tcPr>
            <w:tcW w:type="dxa" w:w="2736"/>
            <w:vAlign w:val="center"/>
          </w:tcPr>
          <w:p>
            <w:pPr>
              <w:spacing w:after="0"/>
            </w:pPr>
            <w:r/>
            <w:r>
              <w:rPr>
                <w:b w:val="0"/>
                <w:sz w:val="17"/>
              </w:rPr>
              <w:t>Need for drafting/BIM</w:t>
            </w:r>
          </w:p>
        </w:tc>
        <w:tc>
          <w:tcPr>
            <w:tcW w:type="dxa" w:w="1008"/>
            <w:vAlign w:val="center"/>
          </w:tcPr>
          <w:p>
            <w:pPr>
              <w:spacing w:after="0"/>
            </w:pPr>
            <w:r/>
            <w:r>
              <w:rPr>
                <w:b w:val="0"/>
                <w:sz w:val="17"/>
              </w:rPr>
              <w:t>10</w:t>
            </w:r>
          </w:p>
        </w:tc>
        <w:tc>
          <w:tcPr>
            <w:tcW w:type="dxa" w:w="6480"/>
            <w:vAlign w:val="center"/>
          </w:tcPr>
          <w:p>
            <w:pPr>
              <w:spacing w:after="0"/>
            </w:pPr>
            <w:r/>
            <w:r>
              <w:rPr>
                <w:b w:val="0"/>
                <w:sz w:val="17"/>
              </w:rPr>
              <w:t>10 = active shop drawings/BIM/design workload; 5 = occasional; 0 = none</w:t>
            </w:r>
          </w:p>
        </w:tc>
      </w:tr>
      <w:tr>
        <w:tc>
          <w:tcPr>
            <w:tcW w:type="dxa" w:w="2736"/>
            <w:vAlign w:val="center"/>
          </w:tcPr>
          <w:p>
            <w:pPr>
              <w:spacing w:after="0"/>
            </w:pPr>
            <w:r/>
            <w:r>
              <w:rPr>
                <w:b w:val="0"/>
                <w:sz w:val="17"/>
              </w:rPr>
              <w:t>Hiring / capacity trigger</w:t>
            </w:r>
          </w:p>
        </w:tc>
        <w:tc>
          <w:tcPr>
            <w:tcW w:type="dxa" w:w="1008"/>
            <w:vAlign w:val="center"/>
          </w:tcPr>
          <w:p>
            <w:pPr>
              <w:spacing w:after="0"/>
            </w:pPr>
            <w:r/>
            <w:r>
              <w:rPr>
                <w:b w:val="0"/>
                <w:sz w:val="17"/>
              </w:rPr>
              <w:t>10</w:t>
            </w:r>
          </w:p>
        </w:tc>
        <w:tc>
          <w:tcPr>
            <w:tcW w:type="dxa" w:w="6480"/>
            <w:vAlign w:val="center"/>
          </w:tcPr>
          <w:p>
            <w:pPr>
              <w:spacing w:after="0"/>
            </w:pPr>
            <w:r/>
            <w:r>
              <w:rPr>
                <w:b w:val="0"/>
                <w:sz w:val="17"/>
              </w:rPr>
              <w:t>10 = actively hiring relevant staff or showing workload expansion; 5 = historical growth; 0 = no signal</w:t>
            </w:r>
          </w:p>
        </w:tc>
      </w:tr>
      <w:tr>
        <w:tc>
          <w:tcPr>
            <w:tcW w:type="dxa" w:w="2736"/>
            <w:vAlign w:val="center"/>
          </w:tcPr>
          <w:p>
            <w:pPr>
              <w:spacing w:after="0"/>
            </w:pPr>
            <w:r/>
            <w:r>
              <w:rPr>
                <w:b w:val="0"/>
                <w:sz w:val="17"/>
              </w:rPr>
              <w:t>Decision-maker access</w:t>
            </w:r>
          </w:p>
        </w:tc>
        <w:tc>
          <w:tcPr>
            <w:tcW w:type="dxa" w:w="1008"/>
            <w:vAlign w:val="center"/>
          </w:tcPr>
          <w:p>
            <w:pPr>
              <w:spacing w:after="0"/>
            </w:pPr>
            <w:r/>
            <w:r>
              <w:rPr>
                <w:b w:val="0"/>
                <w:sz w:val="17"/>
              </w:rPr>
              <w:t>5</w:t>
            </w:r>
          </w:p>
        </w:tc>
        <w:tc>
          <w:tcPr>
            <w:tcW w:type="dxa" w:w="6480"/>
            <w:vAlign w:val="center"/>
          </w:tcPr>
          <w:p>
            <w:pPr>
              <w:spacing w:after="0"/>
            </w:pPr>
            <w:r/>
            <w:r>
              <w:rPr>
                <w:b w:val="0"/>
                <w:sz w:val="17"/>
              </w:rPr>
              <w:t>5 = direct economic buyer/champion; 3 = influencer; 0 = weak access</w:t>
            </w:r>
          </w:p>
        </w:tc>
      </w:tr>
      <w:tr>
        <w:tc>
          <w:tcPr>
            <w:tcW w:type="dxa" w:w="2736"/>
            <w:vAlign w:val="center"/>
          </w:tcPr>
          <w:p>
            <w:pPr>
              <w:spacing w:after="0"/>
            </w:pPr>
            <w:r/>
            <w:r>
              <w:rPr>
                <w:b w:val="0"/>
                <w:sz w:val="17"/>
              </w:rPr>
              <w:t>Outsourcing readiness</w:t>
            </w:r>
          </w:p>
        </w:tc>
        <w:tc>
          <w:tcPr>
            <w:tcW w:type="dxa" w:w="1008"/>
            <w:vAlign w:val="center"/>
          </w:tcPr>
          <w:p>
            <w:pPr>
              <w:spacing w:after="0"/>
            </w:pPr>
            <w:r/>
            <w:r>
              <w:rPr>
                <w:b w:val="0"/>
                <w:sz w:val="17"/>
              </w:rPr>
              <w:t>5</w:t>
            </w:r>
          </w:p>
        </w:tc>
        <w:tc>
          <w:tcPr>
            <w:tcW w:type="dxa" w:w="6480"/>
            <w:vAlign w:val="center"/>
          </w:tcPr>
          <w:p>
            <w:pPr>
              <w:spacing w:after="0"/>
            </w:pPr>
            <w:r/>
            <w:r>
              <w:rPr>
                <w:b w:val="0"/>
                <w:sz w:val="17"/>
              </w:rPr>
              <w:t>5 = already outsources/uses remote teams; 3 = likely; 0 = resistant/unknown</w:t>
            </w:r>
          </w:p>
        </w:tc>
      </w:tr>
      <w:tr>
        <w:tc>
          <w:tcPr>
            <w:tcW w:type="dxa" w:w="2736"/>
            <w:vAlign w:val="center"/>
          </w:tcPr>
          <w:p>
            <w:pPr>
              <w:spacing w:after="0"/>
            </w:pPr>
            <w:r/>
            <w:r>
              <w:rPr>
                <w:b w:val="0"/>
                <w:sz w:val="17"/>
              </w:rPr>
              <w:t>Commercial attractiveness</w:t>
            </w:r>
          </w:p>
        </w:tc>
        <w:tc>
          <w:tcPr>
            <w:tcW w:type="dxa" w:w="1008"/>
            <w:vAlign w:val="center"/>
          </w:tcPr>
          <w:p>
            <w:pPr>
              <w:spacing w:after="0"/>
            </w:pPr>
            <w:r/>
            <w:r>
              <w:rPr>
                <w:b w:val="0"/>
                <w:sz w:val="17"/>
              </w:rPr>
              <w:t>5</w:t>
            </w:r>
          </w:p>
        </w:tc>
        <w:tc>
          <w:tcPr>
            <w:tcW w:type="dxa" w:w="6480"/>
            <w:vAlign w:val="center"/>
          </w:tcPr>
          <w:p>
            <w:pPr>
              <w:spacing w:after="0"/>
            </w:pPr>
            <w:r/>
            <w:r>
              <w:rPr>
                <w:b w:val="0"/>
                <w:sz w:val="17"/>
              </w:rPr>
              <w:t>5 = repeat work + retainer potential + multi-service fit; 3 = project-only; 0 = low value</w:t>
            </w:r>
          </w:p>
        </w:tc>
      </w:tr>
    </w:tbl>
    <w:p>
      <w:pPr>
        <w:pStyle w:val="Heading2"/>
      </w:pPr>
      <w:r>
        <w:t>Score interpretation</w:t>
      </w:r>
    </w:p>
    <w:tbl>
      <w:tblPr>
        <w:tblStyle w:val="TableGrid"/>
        <w:tblW w:type="auto" w:w="0"/>
        <w:jc w:val="center"/>
        <w:tblLook w:firstColumn="1" w:firstRow="1" w:lastColumn="0" w:lastRow="0" w:noHBand="0" w:noVBand="1" w:val="04A0"/>
      </w:tblPr>
      <w:tblGrid>
        <w:gridCol w:w="3408"/>
        <w:gridCol w:w="3408"/>
        <w:gridCol w:w="3408"/>
      </w:tblGrid>
      <w:tr>
        <w:tc>
          <w:tcPr>
            <w:tcW w:type="dxa" w:w="1440"/>
            <w:vAlign w:val="center"/>
            <w:shd w:fill="17365D"/>
          </w:tcPr>
          <w:p>
            <w:pPr>
              <w:spacing w:after="0"/>
            </w:pPr>
            <w:r/>
            <w:r>
              <w:rPr>
                <w:b/>
                <w:color w:val="FFFFFF"/>
                <w:sz w:val="17"/>
              </w:rPr>
              <w:t>Score</w:t>
            </w:r>
          </w:p>
        </w:tc>
        <w:tc>
          <w:tcPr>
            <w:tcW w:type="dxa" w:w="1872"/>
            <w:vAlign w:val="center"/>
            <w:shd w:fill="17365D"/>
          </w:tcPr>
          <w:p>
            <w:pPr>
              <w:spacing w:after="0"/>
            </w:pPr>
            <w:r/>
            <w:r>
              <w:rPr>
                <w:b/>
                <w:color w:val="FFFFFF"/>
                <w:sz w:val="17"/>
              </w:rPr>
              <w:t>Classification</w:t>
            </w:r>
          </w:p>
        </w:tc>
        <w:tc>
          <w:tcPr>
            <w:tcW w:type="dxa" w:w="6912"/>
            <w:vAlign w:val="center"/>
            <w:shd w:fill="17365D"/>
          </w:tcPr>
          <w:p>
            <w:pPr>
              <w:spacing w:after="0"/>
            </w:pPr>
            <w:r/>
            <w:r>
              <w:rPr>
                <w:b/>
                <w:color w:val="FFFFFF"/>
                <w:sz w:val="17"/>
              </w:rPr>
              <w:t>Recommended action</w:t>
            </w:r>
          </w:p>
        </w:tc>
      </w:tr>
      <w:tr>
        <w:tc>
          <w:tcPr>
            <w:tcW w:type="dxa" w:w="1440"/>
            <w:vAlign w:val="center"/>
          </w:tcPr>
          <w:p>
            <w:pPr>
              <w:spacing w:after="0"/>
            </w:pPr>
            <w:r/>
            <w:r>
              <w:rPr>
                <w:b w:val="0"/>
                <w:sz w:val="17"/>
              </w:rPr>
              <w:t>80-100</w:t>
            </w:r>
          </w:p>
        </w:tc>
        <w:tc>
          <w:tcPr>
            <w:tcW w:type="dxa" w:w="1872"/>
            <w:vAlign w:val="center"/>
          </w:tcPr>
          <w:p>
            <w:pPr>
              <w:spacing w:after="0"/>
            </w:pPr>
            <w:r/>
            <w:r>
              <w:rPr>
                <w:b w:val="0"/>
                <w:sz w:val="17"/>
              </w:rPr>
              <w:t>A+ / Priority</w:t>
            </w:r>
          </w:p>
        </w:tc>
        <w:tc>
          <w:tcPr>
            <w:tcW w:type="dxa" w:w="6912"/>
            <w:vAlign w:val="center"/>
          </w:tcPr>
          <w:p>
            <w:pPr>
              <w:spacing w:after="0"/>
            </w:pPr>
            <w:r/>
            <w:r>
              <w:rPr>
                <w:b w:val="0"/>
                <w:sz w:val="17"/>
              </w:rPr>
              <w:t>Personalised founder/director outreach; add to immediate call list; research trigger before message</w:t>
            </w:r>
          </w:p>
        </w:tc>
      </w:tr>
      <w:tr>
        <w:tc>
          <w:tcPr>
            <w:tcW w:type="dxa" w:w="1440"/>
            <w:vAlign w:val="center"/>
          </w:tcPr>
          <w:p>
            <w:pPr>
              <w:spacing w:after="0"/>
            </w:pPr>
            <w:r/>
            <w:r>
              <w:rPr>
                <w:b w:val="0"/>
                <w:sz w:val="17"/>
              </w:rPr>
              <w:t>65-79</w:t>
            </w:r>
          </w:p>
        </w:tc>
        <w:tc>
          <w:tcPr>
            <w:tcW w:type="dxa" w:w="1872"/>
            <w:vAlign w:val="center"/>
          </w:tcPr>
          <w:p>
            <w:pPr>
              <w:spacing w:after="0"/>
            </w:pPr>
            <w:r/>
            <w:r>
              <w:rPr>
                <w:b w:val="0"/>
                <w:sz w:val="17"/>
              </w:rPr>
              <w:t>A / Strong fit</w:t>
            </w:r>
          </w:p>
        </w:tc>
        <w:tc>
          <w:tcPr>
            <w:tcW w:type="dxa" w:w="6912"/>
            <w:vAlign w:val="center"/>
          </w:tcPr>
          <w:p>
            <w:pPr>
              <w:spacing w:after="0"/>
            </w:pPr>
            <w:r/>
            <w:r>
              <w:rPr>
                <w:b w:val="0"/>
                <w:sz w:val="17"/>
              </w:rPr>
              <w:t>Targeted outreach sequence; offer relevant pilot or capacity conversation</w:t>
            </w:r>
          </w:p>
        </w:tc>
      </w:tr>
      <w:tr>
        <w:tc>
          <w:tcPr>
            <w:tcW w:type="dxa" w:w="1440"/>
            <w:vAlign w:val="center"/>
          </w:tcPr>
          <w:p>
            <w:pPr>
              <w:spacing w:after="0"/>
            </w:pPr>
            <w:r/>
            <w:r>
              <w:rPr>
                <w:b w:val="0"/>
                <w:sz w:val="17"/>
              </w:rPr>
              <w:t>50-64</w:t>
            </w:r>
          </w:p>
        </w:tc>
        <w:tc>
          <w:tcPr>
            <w:tcW w:type="dxa" w:w="1872"/>
            <w:vAlign w:val="center"/>
          </w:tcPr>
          <w:p>
            <w:pPr>
              <w:spacing w:after="0"/>
            </w:pPr>
            <w:r/>
            <w:r>
              <w:rPr>
                <w:b w:val="0"/>
                <w:sz w:val="17"/>
              </w:rPr>
              <w:t>B / Nurture</w:t>
            </w:r>
          </w:p>
        </w:tc>
        <w:tc>
          <w:tcPr>
            <w:tcW w:type="dxa" w:w="6912"/>
            <w:vAlign w:val="center"/>
          </w:tcPr>
          <w:p>
            <w:pPr>
              <w:spacing w:after="0"/>
            </w:pPr>
            <w:r/>
            <w:r>
              <w:rPr>
                <w:b w:val="0"/>
                <w:sz w:val="17"/>
              </w:rPr>
              <w:t>Automated sequence; monitor triggers and revisit when hiring/tender workload appears</w:t>
            </w:r>
          </w:p>
        </w:tc>
      </w:tr>
      <w:tr>
        <w:tc>
          <w:tcPr>
            <w:tcW w:type="dxa" w:w="1440"/>
            <w:vAlign w:val="center"/>
          </w:tcPr>
          <w:p>
            <w:pPr>
              <w:spacing w:after="0"/>
            </w:pPr>
            <w:r/>
            <w:r>
              <w:rPr>
                <w:b w:val="0"/>
                <w:sz w:val="17"/>
              </w:rPr>
              <w:t>35-49</w:t>
            </w:r>
          </w:p>
        </w:tc>
        <w:tc>
          <w:tcPr>
            <w:tcW w:type="dxa" w:w="1872"/>
            <w:vAlign w:val="center"/>
          </w:tcPr>
          <w:p>
            <w:pPr>
              <w:spacing w:after="0"/>
            </w:pPr>
            <w:r/>
            <w:r>
              <w:rPr>
                <w:b w:val="0"/>
                <w:sz w:val="17"/>
              </w:rPr>
              <w:t>C / Low priority</w:t>
            </w:r>
          </w:p>
        </w:tc>
        <w:tc>
          <w:tcPr>
            <w:tcW w:type="dxa" w:w="6912"/>
            <w:vAlign w:val="center"/>
          </w:tcPr>
          <w:p>
            <w:pPr>
              <w:spacing w:after="0"/>
            </w:pPr>
            <w:r/>
            <w:r>
              <w:rPr>
                <w:b w:val="0"/>
                <w:sz w:val="17"/>
              </w:rPr>
              <w:t>Light nurture only; do not spend high-touch sales time</w:t>
            </w:r>
          </w:p>
        </w:tc>
      </w:tr>
      <w:tr>
        <w:tc>
          <w:tcPr>
            <w:tcW w:type="dxa" w:w="1440"/>
            <w:vAlign w:val="center"/>
          </w:tcPr>
          <w:p>
            <w:pPr>
              <w:spacing w:after="0"/>
            </w:pPr>
            <w:r/>
            <w:r>
              <w:rPr>
                <w:b w:val="0"/>
                <w:sz w:val="17"/>
              </w:rPr>
              <w:t>0-34</w:t>
            </w:r>
          </w:p>
        </w:tc>
        <w:tc>
          <w:tcPr>
            <w:tcW w:type="dxa" w:w="1872"/>
            <w:vAlign w:val="center"/>
          </w:tcPr>
          <w:p>
            <w:pPr>
              <w:spacing w:after="0"/>
            </w:pPr>
            <w:r/>
            <w:r>
              <w:rPr>
                <w:b w:val="0"/>
                <w:sz w:val="17"/>
              </w:rPr>
              <w:t>D / Disqualify</w:t>
            </w:r>
          </w:p>
        </w:tc>
        <w:tc>
          <w:tcPr>
            <w:tcW w:type="dxa" w:w="6912"/>
            <w:vAlign w:val="center"/>
          </w:tcPr>
          <w:p>
            <w:pPr>
              <w:spacing w:after="0"/>
            </w:pPr>
            <w:r/>
            <w:r>
              <w:rPr>
                <w:b w:val="0"/>
                <w:sz w:val="17"/>
              </w:rPr>
              <w:t>Exclude or suppress unless new evidence changes the score</w:t>
            </w:r>
          </w:p>
        </w:tc>
      </w:tr>
    </w:tbl>
    <w:p>
      <w:pPr>
        <w:pStyle w:val="Heading1"/>
      </w:pPr>
      <w:r>
        <w:t>8. ICP DECISION TREE</w:t>
      </w:r>
    </w:p>
    <w:p>
      <w:r>
        <w:t>1. Is the company in a target geography? If no, disqualify or route to expansion-market list.</w:t>
      </w:r>
    </w:p>
    <w:p>
      <w:r>
        <w:t>2. Does the company perform façade, cladding, roofing, building-envelope or closely related specialist work? If no, downgrade heavily.</w:t>
      </w:r>
    </w:p>
    <w:p>
      <w:r>
        <w:t>3. Does it have recurring tenders, shop-drawing demand or visible pre-construction workload? If yes, continue.</w:t>
      </w:r>
    </w:p>
    <w:p>
      <w:r>
        <w:t>4. Is there a capacity trigger - hiring, backlog, growth, multiple bids, deadlines, staff absence, new region or new project award? If yes, raise intent score.</w:t>
      </w:r>
    </w:p>
    <w:p>
      <w:r>
        <w:t>5. Can we identify a decision maker or operational champion? Prioritise directors, commercial/pre-construction/estimating/design leaders.</w:t>
      </w:r>
    </w:p>
    <w:p>
      <w:r>
        <w:t>6. Is there a realistic service-to-account path: pilot -&gt; recurring project support -&gt; retainer/dedicated resource -&gt; multi-service account? If yes, prioritise.</w:t>
      </w:r>
    </w:p>
    <w:p>
      <w:pPr>
        <w:pStyle w:val="Heading1"/>
      </w:pPr>
      <w:r>
        <w:t>9. ICP-SPECIFIC VALUE PROPOSITION</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shd w:fill="17365D"/>
          </w:tcPr>
          <w:p>
            <w:pPr>
              <w:spacing w:after="0"/>
            </w:pPr>
            <w:r/>
            <w:r>
              <w:rPr>
                <w:b/>
                <w:color w:val="FFFFFF"/>
                <w:sz w:val="17"/>
              </w:rPr>
              <w:t>Buyer</w:t>
            </w:r>
          </w:p>
        </w:tc>
        <w:tc>
          <w:tcPr>
            <w:tcW w:type="dxa" w:w="3600"/>
            <w:vAlign w:val="center"/>
            <w:shd w:fill="17365D"/>
          </w:tcPr>
          <w:p>
            <w:pPr>
              <w:spacing w:after="0"/>
            </w:pPr>
            <w:r/>
            <w:r>
              <w:rPr>
                <w:b/>
                <w:color w:val="FFFFFF"/>
                <w:sz w:val="17"/>
              </w:rPr>
              <w:t>Primary pain</w:t>
            </w:r>
          </w:p>
        </w:tc>
        <w:tc>
          <w:tcPr>
            <w:tcW w:type="dxa" w:w="3744"/>
            <w:vAlign w:val="center"/>
            <w:shd w:fill="17365D"/>
          </w:tcPr>
          <w:p>
            <w:pPr>
              <w:spacing w:after="0"/>
            </w:pPr>
            <w:r/>
            <w:r>
              <w:rPr>
                <w:b/>
                <w:color w:val="FFFFFF"/>
                <w:sz w:val="17"/>
              </w:rPr>
              <w:t>Positioning</w:t>
            </w:r>
          </w:p>
        </w:tc>
      </w:tr>
      <w:tr>
        <w:tc>
          <w:tcPr>
            <w:tcW w:type="dxa" w:w="2448"/>
            <w:vAlign w:val="center"/>
          </w:tcPr>
          <w:p>
            <w:pPr>
              <w:spacing w:after="0"/>
            </w:pPr>
            <w:r/>
            <w:r>
              <w:rPr>
                <w:b w:val="0"/>
                <w:sz w:val="17"/>
              </w:rPr>
              <w:t>Managing Director / Owner</w:t>
            </w:r>
          </w:p>
        </w:tc>
        <w:tc>
          <w:tcPr>
            <w:tcW w:type="dxa" w:w="3600"/>
            <w:vAlign w:val="center"/>
          </w:tcPr>
          <w:p>
            <w:pPr>
              <w:spacing w:after="0"/>
            </w:pPr>
            <w:r/>
            <w:r>
              <w:rPr>
                <w:b w:val="0"/>
                <w:sz w:val="17"/>
              </w:rPr>
              <w:t>Growth constrained by technical capacity and overhead</w:t>
            </w:r>
          </w:p>
        </w:tc>
        <w:tc>
          <w:tcPr>
            <w:tcW w:type="dxa" w:w="3744"/>
            <w:vAlign w:val="center"/>
          </w:tcPr>
          <w:p>
            <w:pPr>
              <w:spacing w:after="0"/>
            </w:pPr>
            <w:r/>
            <w:r>
              <w:rPr>
                <w:b w:val="0"/>
                <w:sz w:val="17"/>
              </w:rPr>
              <w:t>Scale estimating/drafting capacity without immediately building a larger permanent team</w:t>
            </w:r>
          </w:p>
        </w:tc>
      </w:tr>
      <w:tr>
        <w:tc>
          <w:tcPr>
            <w:tcW w:type="dxa" w:w="2448"/>
            <w:vAlign w:val="center"/>
          </w:tcPr>
          <w:p>
            <w:pPr>
              <w:spacing w:after="0"/>
            </w:pPr>
            <w:r/>
            <w:r>
              <w:rPr>
                <w:b w:val="0"/>
                <w:sz w:val="17"/>
              </w:rPr>
              <w:t>Commercial Director</w:t>
            </w:r>
          </w:p>
        </w:tc>
        <w:tc>
          <w:tcPr>
            <w:tcW w:type="dxa" w:w="3600"/>
            <w:vAlign w:val="center"/>
          </w:tcPr>
          <w:p>
            <w:pPr>
              <w:spacing w:after="0"/>
            </w:pPr>
            <w:r/>
            <w:r>
              <w:rPr>
                <w:b w:val="0"/>
                <w:sz w:val="17"/>
              </w:rPr>
              <w:t>Tender deadlines, margin risk, overloaded estimators</w:t>
            </w:r>
          </w:p>
        </w:tc>
        <w:tc>
          <w:tcPr>
            <w:tcW w:type="dxa" w:w="3744"/>
            <w:vAlign w:val="center"/>
          </w:tcPr>
          <w:p>
            <w:pPr>
              <w:spacing w:after="0"/>
            </w:pPr>
            <w:r/>
            <w:r>
              <w:rPr>
                <w:b w:val="0"/>
                <w:sz w:val="17"/>
              </w:rPr>
              <w:t>Reliable technical capacity for takeoffs, BOQs, pricing support and tender documentation</w:t>
            </w:r>
          </w:p>
        </w:tc>
      </w:tr>
      <w:tr>
        <w:tc>
          <w:tcPr>
            <w:tcW w:type="dxa" w:w="2448"/>
            <w:vAlign w:val="center"/>
          </w:tcPr>
          <w:p>
            <w:pPr>
              <w:spacing w:after="0"/>
            </w:pPr>
            <w:r/>
            <w:r>
              <w:rPr>
                <w:b w:val="0"/>
                <w:sz w:val="17"/>
              </w:rPr>
              <w:t>Pre-Construction Director</w:t>
            </w:r>
          </w:p>
        </w:tc>
        <w:tc>
          <w:tcPr>
            <w:tcW w:type="dxa" w:w="3600"/>
            <w:vAlign w:val="center"/>
          </w:tcPr>
          <w:p>
            <w:pPr>
              <w:spacing w:after="0"/>
            </w:pPr>
            <w:r/>
            <w:r>
              <w:rPr>
                <w:b w:val="0"/>
                <w:sz w:val="17"/>
              </w:rPr>
              <w:t>High bid volume, work-winning pressure, team capacity</w:t>
            </w:r>
          </w:p>
        </w:tc>
        <w:tc>
          <w:tcPr>
            <w:tcW w:type="dxa" w:w="3744"/>
            <w:vAlign w:val="center"/>
          </w:tcPr>
          <w:p>
            <w:pPr>
              <w:spacing w:after="0"/>
            </w:pPr>
            <w:r/>
            <w:r>
              <w:rPr>
                <w:b w:val="0"/>
                <w:sz w:val="17"/>
              </w:rPr>
              <w:t>Extend pre-construction capacity with dedicated estimating and technical support</w:t>
            </w:r>
          </w:p>
        </w:tc>
      </w:tr>
      <w:tr>
        <w:tc>
          <w:tcPr>
            <w:tcW w:type="dxa" w:w="2448"/>
            <w:vAlign w:val="center"/>
          </w:tcPr>
          <w:p>
            <w:pPr>
              <w:spacing w:after="0"/>
            </w:pPr>
            <w:r/>
            <w:r>
              <w:rPr>
                <w:b w:val="0"/>
                <w:sz w:val="17"/>
              </w:rPr>
              <w:t>Head of Estimating / Estimating Manager</w:t>
            </w:r>
          </w:p>
        </w:tc>
        <w:tc>
          <w:tcPr>
            <w:tcW w:type="dxa" w:w="3600"/>
            <w:vAlign w:val="center"/>
          </w:tcPr>
          <w:p>
            <w:pPr>
              <w:spacing w:after="0"/>
            </w:pPr>
            <w:r/>
            <w:r>
              <w:rPr>
                <w:b w:val="0"/>
                <w:sz w:val="17"/>
              </w:rPr>
              <w:t>Too many bids, recruitment gaps, revision workload</w:t>
            </w:r>
          </w:p>
        </w:tc>
        <w:tc>
          <w:tcPr>
            <w:tcW w:type="dxa" w:w="3744"/>
            <w:vAlign w:val="center"/>
          </w:tcPr>
          <w:p>
            <w:pPr>
              <w:spacing w:after="0"/>
            </w:pPr>
            <w:r/>
            <w:r>
              <w:rPr>
                <w:b w:val="0"/>
                <w:sz w:val="17"/>
              </w:rPr>
              <w:t>Add trained estimating capacity that works to your templates, programme and QA process</w:t>
            </w:r>
          </w:p>
        </w:tc>
      </w:tr>
      <w:tr>
        <w:tc>
          <w:tcPr>
            <w:tcW w:type="dxa" w:w="2448"/>
            <w:vAlign w:val="center"/>
          </w:tcPr>
          <w:p>
            <w:pPr>
              <w:spacing w:after="0"/>
            </w:pPr>
            <w:r/>
            <w:r>
              <w:rPr>
                <w:b w:val="0"/>
                <w:sz w:val="17"/>
              </w:rPr>
              <w:t>Design / Technical Director</w:t>
            </w:r>
          </w:p>
        </w:tc>
        <w:tc>
          <w:tcPr>
            <w:tcW w:type="dxa" w:w="3600"/>
            <w:vAlign w:val="center"/>
          </w:tcPr>
          <w:p>
            <w:pPr>
              <w:spacing w:after="0"/>
            </w:pPr>
            <w:r/>
            <w:r>
              <w:rPr>
                <w:b w:val="0"/>
                <w:sz w:val="17"/>
              </w:rPr>
              <w:t>Shop-drawing backlog, coordination pressure</w:t>
            </w:r>
          </w:p>
        </w:tc>
        <w:tc>
          <w:tcPr>
            <w:tcW w:type="dxa" w:w="3744"/>
            <w:vAlign w:val="center"/>
          </w:tcPr>
          <w:p>
            <w:pPr>
              <w:spacing w:after="0"/>
            </w:pPr>
            <w:r/>
            <w:r>
              <w:rPr>
                <w:b w:val="0"/>
                <w:sz w:val="17"/>
              </w:rPr>
              <w:t>Dedicated drafting/BIM production support that can operate as an extension of the design team</w:t>
            </w:r>
          </w:p>
        </w:tc>
      </w:tr>
      <w:tr>
        <w:tc>
          <w:tcPr>
            <w:tcW w:type="dxa" w:w="2448"/>
            <w:vAlign w:val="center"/>
          </w:tcPr>
          <w:p>
            <w:pPr>
              <w:spacing w:after="0"/>
            </w:pPr>
            <w:r/>
            <w:r>
              <w:rPr>
                <w:b w:val="0"/>
                <w:sz w:val="17"/>
              </w:rPr>
              <w:t>Estimator</w:t>
            </w:r>
          </w:p>
        </w:tc>
        <w:tc>
          <w:tcPr>
            <w:tcW w:type="dxa" w:w="3600"/>
            <w:vAlign w:val="center"/>
          </w:tcPr>
          <w:p>
            <w:pPr>
              <w:spacing w:after="0"/>
            </w:pPr>
            <w:r/>
            <w:r>
              <w:rPr>
                <w:b w:val="0"/>
                <w:sz w:val="17"/>
              </w:rPr>
              <w:t>Repetitive measuring/document work consuming high-value time</w:t>
            </w:r>
          </w:p>
        </w:tc>
        <w:tc>
          <w:tcPr>
            <w:tcW w:type="dxa" w:w="3744"/>
            <w:vAlign w:val="center"/>
          </w:tcPr>
          <w:p>
            <w:pPr>
              <w:spacing w:after="0"/>
            </w:pPr>
            <w:r/>
            <w:r>
              <w:rPr>
                <w:b w:val="0"/>
                <w:sz w:val="17"/>
              </w:rPr>
              <w:t>Offload production-heavy takeoff and documentation tasks while keeping commercial control in-house</w:t>
            </w:r>
          </w:p>
        </w:tc>
      </w:tr>
    </w:tbl>
    <w:p>
      <w:pPr>
        <w:pStyle w:val="Heading1"/>
      </w:pPr>
      <w:r>
        <w:t>10. PRIORITY ACCOUNT LIST STRUCTURE FOR SALES NAVIGATOR</w:t>
      </w:r>
    </w:p>
    <w:p>
      <w:r>
        <w:t>Recommended account filters: geography + industry + headcount + specialist trade keywords + growth/hiring signals. Then build people lists around the job titles above. Keep separate lists for UK Façade, UK Roofing/Envelope, US Façade/Roofing, Canada Façade/Cladding and Design/Engineering partners.</w:t>
      </w:r>
    </w:p>
    <w:p>
      <w:pPr>
        <w:pStyle w:val="ListBullet"/>
        <w:spacing w:after="40"/>
      </w:pPr>
      <w:r>
        <w:t>Account keywords: facade, façade, cladding, curtain wall, glazing, rainscreen, ACM, MCM, building envelope, roofing, architectural metal, building remediation, external envelope.</w:t>
      </w:r>
    </w:p>
    <w:p>
      <w:pPr>
        <w:pStyle w:val="ListBullet"/>
        <w:spacing w:after="40"/>
      </w:pPr>
      <w:r>
        <w:t>People titles: Managing Director, Commercial Director, Pre-Construction Director, Head of Estimating, Estimating Manager, Commercial Manager, Senior Estimator, Estimator, Technical Director, Design Manager, BIM Manager.</w:t>
      </w:r>
    </w:p>
    <w:p>
      <w:pPr>
        <w:pStyle w:val="ListBullet"/>
        <w:spacing w:after="40"/>
      </w:pPr>
      <w:r>
        <w:t>Intent triggers: hiring estimator, hiring designer, tender announcement, project award, new framework, office expansion, growth announcement, backlog, bid deadline, new market entry.</w:t>
      </w:r>
    </w:p>
    <w:p>
      <w:pPr>
        <w:pStyle w:val="ListBullet"/>
        <w:spacing w:after="40"/>
      </w:pPr>
      <w:r>
        <w:t>Negative keywords / exclusions: residential home-builder only, small one-off builders, unrelated MEP-only contractors, pure staffing/recruitment firms, competitors selling the same offshore service.</w:t>
      </w:r>
    </w:p>
    <w:p>
      <w:pPr>
        <w:pStyle w:val="Heading1"/>
      </w:pPr>
      <w:r>
        <w:t>11. RESEARCH &amp; VERIFICATION NOTES</w:t>
      </w:r>
    </w:p>
    <w:p>
      <w:r>
        <w:t>The ICP is based on three layers: (1) CoExtend’s publicly stated positioning and current hiring information, (2) observable market patterns from comparable estimating/BIM providers and contractor job descriptions, and (3) the internal service model and operating context developed in our work together. Public sources do not disclose every commercial fact, so headcount bands, score weights and priority tiers are strategic recommendations rather than audited company facts.</w:t>
      </w:r>
    </w:p>
    <w:p>
      <w:pPr>
        <w:pStyle w:val="ListBullet"/>
      </w:pPr>
      <w:r>
        <w:t>CoExtend Global LLP job/company description on LinkedIn: current public description states construction estimating, quantity takeoffs, drafting and software development for clients in the UK, US and Canada; also identifies contractors, fabricators, consultants and technology companies as supported customers. https://in.linkedin.com/jobs/view/facade-estimator-commercial-assistant-remote-at-coextend-global-llp-4451703137</w:t>
      </w:r>
    </w:p>
    <w:p>
      <w:pPr>
        <w:pStyle w:val="ListBullet"/>
      </w:pPr>
      <w:r>
        <w:t>CoExtend Global LLP public LinkedIn/company presence: façade, roofing and building-envelope drafting, estimation and virtual staffing positioning, with 10+ experienced façade professionals stated publicly. https://in.linkedin.com/company/coextend-global-llp</w:t>
      </w:r>
    </w:p>
    <w:p>
      <w:pPr>
        <w:pStyle w:val="ListBullet"/>
      </w:pPr>
      <w:r>
        <w:t>Facade Estimators UK: market example focused on UK façade subcontractors/commercial teams, overflow tender support, fixed-fee takeoffs and pricing support. https://facade-estimators.co.uk/</w:t>
      </w:r>
    </w:p>
    <w:p>
      <w:pPr>
        <w:pStyle w:val="ListBullet"/>
      </w:pPr>
      <w:r>
        <w:t>TSC Facades: market example showing specialist UK façade estimating positioning across BOQs, takeoffs, pricing and tender support. https://tscfacades.com/</w:t>
      </w:r>
    </w:p>
    <w:p>
      <w:pPr>
        <w:pStyle w:val="ListBullet"/>
      </w:pPr>
      <w:r>
        <w:t>BIM Takeoff: market example of specialist subcontractor takeoffs/priced bills and the use of formats such as NRM2/SMM7. https://www.bimtakeoff.com/</w:t>
      </w:r>
    </w:p>
    <w:p>
      <w:pPr>
        <w:pStyle w:val="ListBullet"/>
      </w:pPr>
      <w:r>
        <w:t>Fast Estimator: market example showing construction takeoff/estimating outsourcing across UK, US, Canada and other markets, with emphasis on deadlines, overflow and cost vs in-house hiring. https://uk.linkedin.com/company/fastestimator</w:t>
      </w:r>
    </w:p>
    <w:p>
      <w:pPr>
        <w:pStyle w:val="ListBullet"/>
      </w:pPr>
      <w:r>
        <w:t>Current UK pre-construction director postings: examples show senior pre-construction roles owning bid strategy, estimating teams, commercial risk, client relationships and work winning. https://uk.linkedin.com/jobs/pre-construction-director-jobs</w:t>
      </w:r>
    </w:p>
    <w:p>
      <w:pPr>
        <w:pStyle w:val="ListBullet"/>
      </w:pPr>
      <w:r>
        <w:t>Current Canadian façade estimator posting: Globalpanel role includes drawing/specification review, material takeoffs, quotations, supplier coordination and pricing databases for architectural façade systems. https://ca.indeed.com/viewjob?jk=30e2861613f8148b</w:t>
      </w:r>
    </w:p>
    <w:p>
      <w:pPr>
        <w:pStyle w:val="Heading1"/>
      </w:pPr>
      <w:r>
        <w:t>12. IMPORTANT DATA HYGIENE RULES FOR AUTOMATION</w:t>
      </w:r>
    </w:p>
    <w:p>
      <w:pPr>
        <w:pStyle w:val="ListBullet"/>
        <w:spacing w:after="40"/>
      </w:pPr>
      <w:r>
        <w:t>Treat the ICP score as a prioritisation aid, not as a statement of buying intent.</w:t>
      </w:r>
    </w:p>
    <w:p>
      <w:pPr>
        <w:pStyle w:val="ListBullet"/>
        <w:spacing w:after="40"/>
      </w:pPr>
      <w:r>
        <w:t>Keep evidence fields alongside each score: source URL, trigger date, title, company size, trade, geography and reason for qualification.</w:t>
      </w:r>
    </w:p>
    <w:p>
      <w:pPr>
        <w:pStyle w:val="ListBullet"/>
        <w:spacing w:after="40"/>
      </w:pPr>
      <w:r>
        <w:t>Recalculate intent signals regularly because hiring, tender activity and project pipelines change.</w:t>
      </w:r>
    </w:p>
    <w:p>
      <w:pPr>
        <w:pStyle w:val="ListBullet"/>
        <w:spacing w:after="40"/>
      </w:pPr>
      <w:r>
        <w:t>Do not infer sensitive personal traits. Score company fit, role relevance, observable business triggers and engagement only.</w:t>
      </w:r>
    </w:p>
    <w:p>
      <w:pPr>
        <w:pStyle w:val="ListBullet"/>
        <w:spacing w:after="40"/>
      </w:pPr>
      <w:r>
        <w:t>Use a human review gate before high-value personalised outreach, especially when the system relies on ambiguous public signals.</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Internal sales &amp; prospecting document  |  Research refreshed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6"/>
      </w:rPr>
      <w:t>COEXTEND GLOBAL LLP  |  IDEAL CUSTOMER PROFILE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5B9BD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CoExtend Global LLP - Ideal Customer Profile</dc:title>
  <dc:subject>ICP and automated prospect scoring</dc:subject>
  <dc:creator>CoExtend Global LLP</dc:creator>
  <cp:keywords>ICP, sales, façade, estimating, takeoff, BIM, prospect scoring</cp:keywords>
  <dc:description>generated by python-docx</dc:description>
  <cp:lastModifiedBy/>
  <cp:revision>1</cp:revision>
  <dcterms:created xsi:type="dcterms:W3CDTF">2013-12-23T23:15:00Z</dcterms:created>
  <dcterms:modified xsi:type="dcterms:W3CDTF">2013-12-23T23:15:00Z</dcterms:modified>
  <cp:category/>
</cp:coreProperties>
</file>