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60"/>
      </w:pPr>
      <w:r>
        <w:rPr>
          <w:rFonts w:ascii="Calibri" w:cs="Calibri" w:eastAsia="Calibri" w:hAnsi="Calibri"/>
          <w:b/>
          <w:bCs/>
          <w:color w:val="1F3864"/>
          <w:sz w:val="84"/>
          <w:szCs w:val="84"/>
        </w:rPr>
        <w:t xml:space="preserve">BIET</w:t>
      </w:r>
    </w:p>
    <w:p>
      <w:pPr>
        <w:spacing w:after="240"/>
      </w:pPr>
      <w:r>
        <w:rPr>
          <w:rFonts w:ascii="Calibri" w:cs="Calibri" w:eastAsia="Calibri" w:hAnsi="Calibri"/>
          <w:color w:val="2E5C8A"/>
          <w:sz w:val="40"/>
          <w:szCs w:val="40"/>
        </w:rPr>
        <w:t xml:space="preserve">Budget Impact Estimation Tool</w:t>
      </w:r>
    </w:p>
    <w:p>
      <w:pPr>
        <w:pBdr>
          <w:top w:val="single" w:color="1F3864" w:sz="8" w:space="10"/>
        </w:pBdr>
        <w:spacing w:after="100"/>
      </w:pPr>
      <w:r>
        <w:rPr>
          <w:rFonts w:ascii="Calibri" w:cs="Calibri" w:eastAsia="Calibri" w:hAnsi="Calibri"/>
          <w:b/>
          <w:bCs/>
          <w:color w:val="1A1A1A"/>
          <w:sz w:val="30"/>
          <w:szCs w:val="30"/>
        </w:rPr>
        <w:t xml:space="preserve">Architecture &amp; Design Specification</w:t>
      </w:r>
    </w:p>
    <w:p>
      <w:pPr>
        <w:spacing w:after="700"/>
      </w:pPr>
      <w:r>
        <w:rPr>
          <w:rFonts w:ascii="Calibri" w:cs="Calibri" w:eastAsia="Calibri" w:hAnsi="Calibri"/>
          <w:color w:val="5A6673"/>
          <w:sz w:val="20"/>
          <w:szCs w:val="20"/>
        </w:rPr>
        <w:t xml:space="preserve">Pricing &amp; Market Access  •  Health Economics &amp; Outcomes Research</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3488"/>
        <w:gridCol w:w="6402"/>
      </w:tblGrid>
      <w:tr>
        <w:tc>
          <w:tcPr>
            <w:tcW w:type="dxa" w:w="3488"/>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Document version</w:t>
            </w:r>
          </w:p>
        </w:tc>
        <w:tc>
          <w:tcPr>
            <w:tcW w:type="dxa" w:w="640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1.0</w:t>
            </w:r>
          </w:p>
        </w:tc>
      </w:tr>
      <w:tr>
        <w:tc>
          <w:tcPr>
            <w:tcW w:type="dxa" w:w="3488"/>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Date</w:t>
            </w:r>
          </w:p>
        </w:tc>
        <w:tc>
          <w:tcPr>
            <w:tcW w:type="dxa" w:w="640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2026-08-23</w:t>
            </w:r>
          </w:p>
        </w:tc>
      </w:tr>
      <w:tr>
        <w:tc>
          <w:tcPr>
            <w:tcW w:type="dxa" w:w="3488"/>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Status</w:t>
            </w:r>
          </w:p>
        </w:tc>
        <w:tc>
          <w:tcPr>
            <w:tcW w:type="dxa" w:w="640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Baseline for development</w:t>
            </w:r>
          </w:p>
        </w:tc>
      </w:tr>
      <w:tr>
        <w:tc>
          <w:tcPr>
            <w:tcW w:type="dxa" w:w="3488"/>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System name</w:t>
            </w:r>
          </w:p>
        </w:tc>
        <w:tc>
          <w:tcPr>
            <w:tcW w:type="dxa" w:w="640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BIET (Budget Impact Estimation Tool)</w:t>
            </w:r>
          </w:p>
        </w:tc>
      </w:tr>
      <w:tr>
        <w:tc>
          <w:tcPr>
            <w:tcW w:type="dxa" w:w="3488"/>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Domain</w:t>
            </w:r>
          </w:p>
        </w:tc>
        <w:tc>
          <w:tcPr>
            <w:tcW w:type="dxa" w:w="640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Pricing &amp; Market Access, Health Economics &amp; Outcomes Research</w:t>
            </w:r>
          </w:p>
        </w:tc>
      </w:tr>
    </w:tbl>
    <w:p>
      <w:r>
        <w:br w:type="page"/>
      </w:r>
    </w:p>
    <w:p>
      <w:pPr>
        <w:pBdr>
          <w:bottom w:val="single" w:color="C6CFDA" w:sz="4" w:space="2"/>
        </w:pBdr>
        <w:spacing w:after="160" w:before="60"/>
      </w:pPr>
    </w:p>
    <w:p>
      <w:pPr>
        <w:pStyle w:val="Heading2"/>
        <w:keepNext/>
        <w:pBdr>
          <w:bottom w:val="single" w:color="C6CFDA" w:sz="6" w:space="6"/>
        </w:pBdr>
        <w:spacing w:after="140" w:before="360"/>
      </w:pPr>
      <w:r>
        <w:rPr>
          <w:rFonts w:ascii="Calibri" w:cs="Calibri" w:eastAsia="Calibri" w:hAnsi="Calibri"/>
          <w:b/>
          <w:bCs/>
          <w:color w:val="1F3864"/>
          <w:sz w:val="28"/>
          <w:szCs w:val="28"/>
        </w:rPr>
        <w:t xml:space="preserve">Table of Contents</w:t>
      </w:r>
    </w:p>
    <w:sdt>
      <w:sdtPr>
        <w:alias w:val="Contents"/>
      </w:sdtPr>
      <w:sdtContent>
        <w:p>
          <w:r>
            <w:fldChar w:fldCharType="begin" w:dirty="true"/>
            <w:instrText xml:space="preserve">TOC \h \o "2-3"</w:instrText>
            <w:fldChar w:fldCharType="separate"/>
          </w:r>
        </w:p>
        <w:p>
          <w:r>
            <w:fldChar w:fldCharType="end"/>
          </w:r>
        </w:p>
      </w:sdtContent>
    </w:sdt>
    <w:p>
      <w:r>
        <w:br w:type="page"/>
      </w:r>
    </w:p>
    <w:p>
      <w:pPr>
        <w:pStyle w:val="Heading2"/>
        <w:keepNext/>
        <w:pBdr>
          <w:bottom w:val="single" w:color="C6CFDA" w:sz="6" w:space="6"/>
        </w:pBdr>
        <w:spacing w:after="140" w:before="360"/>
      </w:pPr>
      <w:r>
        <w:rPr>
          <w:rFonts w:ascii="Calibri" w:cs="Calibri" w:eastAsia="Calibri" w:hAnsi="Calibri"/>
          <w:b/>
          <w:bCs/>
          <w:color w:val="1F3864"/>
          <w:sz w:val="28"/>
          <w:szCs w:val="28"/>
        </w:rPr>
        <w:t xml:space="preserve">1. Purpose and Scope</w:t>
      </w:r>
    </w:p>
    <w:p>
      <w:pPr>
        <w:pStyle w:val="Heading3"/>
        <w:keepNext/>
        <w:spacing w:after="90" w:before="260"/>
      </w:pPr>
      <w:r>
        <w:rPr>
          <w:rFonts w:ascii="Calibri" w:cs="Calibri" w:eastAsia="Calibri" w:hAnsi="Calibri"/>
          <w:b/>
          <w:bCs/>
          <w:color w:val="2E5C8A"/>
          <w:sz w:val="23"/>
          <w:szCs w:val="23"/>
        </w:rPr>
        <w:t xml:space="preserve">1.1 Problem Statement</w:t>
      </w:r>
    </w:p>
    <w:p>
      <w:pPr>
        <w:spacing w:after="120" w:before="60" w:line="276"/>
        <w:jc w:val="both"/>
      </w:pPr>
      <w:r>
        <w:rPr>
          <w:rFonts w:ascii="Calibri" w:cs="Calibri" w:eastAsia="Calibri" w:hAnsi="Calibri"/>
          <w:b w:val="false"/>
          <w:bCs w:val="false"/>
          <w:color w:val="1A1A1A"/>
          <w:sz w:val="20"/>
          <w:szCs w:val="20"/>
        </w:rPr>
        <w:t xml:space="preserve">At early development stages — pre-launch, pre-pricing, and frequently pre-Phase III readout — Pricing and Market Access teams must answer affordability and reimbursement questions before a full budget impact model exists. A conventional de novo budget impact model requires six to twelve weeks of health-economist time and a settled price, label, and comparator basket. None of these are available at the point where portfolio and pricing decisions are actually made.</w:t>
      </w:r>
    </w:p>
    <w:p>
      <w:pPr>
        <w:spacing w:after="120" w:before="60" w:line="276"/>
        <w:jc w:val="both"/>
      </w:pPr>
      <w:r>
        <w:rPr>
          <w:rFonts w:ascii="Calibri" w:cs="Calibri" w:eastAsia="Calibri" w:hAnsi="Calibri"/>
          <w:b w:val="false"/>
          <w:bCs w:val="false"/>
          <w:color w:val="1A1A1A"/>
          <w:sz w:val="20"/>
          <w:szCs w:val="20"/>
        </w:rPr>
        <w:t xml:space="preserve">BIET closes that gap. It produces an indication-specific, multi-country, ISPOR-aligned budget impact estimate in minutes rather than weeks, operating explicitly under uncertainty and making every assumption traceable to a source and a confidence grade.</w:t>
      </w:r>
    </w:p>
    <w:p>
      <w:pPr>
        <w:pStyle w:val="Heading3"/>
        <w:keepNext/>
        <w:spacing w:after="90" w:before="260"/>
      </w:pPr>
      <w:r>
        <w:rPr>
          <w:rFonts w:ascii="Calibri" w:cs="Calibri" w:eastAsia="Calibri" w:hAnsi="Calibri"/>
          <w:b/>
          <w:bCs/>
          <w:color w:val="2E5C8A"/>
          <w:sz w:val="23"/>
          <w:szCs w:val="23"/>
        </w:rPr>
        <w:t xml:space="preserve">1.2 Objectives</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1861"/>
        <w:gridCol w:w="8029"/>
      </w:tblGrid>
      <w:tr>
        <w:trPr>
          <w:tblHeader/>
        </w:trPr>
        <w:tc>
          <w:tcPr>
            <w:tcW w:type="dxa" w:w="1861"/>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w:t>
            </w:r>
          </w:p>
        </w:tc>
        <w:tc>
          <w:tcPr>
            <w:tcW w:type="dxa" w:w="8029"/>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Objective</w:t>
            </w:r>
          </w:p>
        </w:tc>
      </w:tr>
      <w:tr>
        <w:tc>
          <w:tcPr>
            <w:tcW w:type="dxa" w:w="1861"/>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O1</w:t>
            </w:r>
          </w:p>
        </w:tc>
        <w:tc>
          <w:tcPr>
            <w:tcW w:type="dxa" w:w="802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Estimate the incremental budget impact of introducing a new therapy, per country, over a launch-relative time horizon</w:t>
            </w:r>
          </w:p>
        </w:tc>
      </w:tr>
      <w:tr>
        <w:tc>
          <w:tcPr>
            <w:tcW w:type="dxa" w:w="1861"/>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O2</w:t>
            </w:r>
          </w:p>
        </w:tc>
        <w:tc>
          <w:tcPr>
            <w:tcW w:type="dxa" w:w="802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Derive the eligible patient population through a transparent, stage-by-stage epidemiological funnel</w:t>
            </w:r>
          </w:p>
        </w:tc>
      </w:tr>
      <w:tr>
        <w:tc>
          <w:tcPr>
            <w:tcW w:type="dxa" w:w="1861"/>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O3</w:t>
            </w:r>
          </w:p>
        </w:tc>
        <w:tc>
          <w:tcPr>
            <w:tcW w:type="dxa" w:w="802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Express budget impact as an affordability position against national health expenditure</w:t>
            </w:r>
          </w:p>
        </w:tc>
      </w:tr>
      <w:tr>
        <w:tc>
          <w:tcPr>
            <w:tcW w:type="dxa" w:w="1861"/>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O4</w:t>
            </w:r>
          </w:p>
        </w:tc>
        <w:tc>
          <w:tcPr>
            <w:tcW w:type="dxa" w:w="802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Solve the inverse problem: given an affordability ceiling, return the maximum defensible price</w:t>
            </w:r>
          </w:p>
        </w:tc>
      </w:tr>
      <w:tr>
        <w:tc>
          <w:tcPr>
            <w:tcW w:type="dxa" w:w="1861"/>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O5</w:t>
            </w:r>
          </w:p>
        </w:tc>
        <w:tc>
          <w:tcPr>
            <w:tcW w:type="dxa" w:w="802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Quantify uncertainty through deterministic sensitivity and probabilistic simulation, and identify which assumptions dominate the result</w:t>
            </w:r>
          </w:p>
        </w:tc>
      </w:tr>
      <w:tr>
        <w:tc>
          <w:tcPr>
            <w:tcW w:type="dxa" w:w="1861"/>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O6</w:t>
            </w:r>
          </w:p>
        </w:tc>
        <w:tc>
          <w:tcPr>
            <w:tcW w:type="dxa" w:w="802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Ground every output in cited ISPOR, NICE and WHO methodological guidance</w:t>
            </w:r>
          </w:p>
        </w:tc>
      </w:tr>
      <w:tr>
        <w:tc>
          <w:tcPr>
            <w:tcW w:type="dxa" w:w="1861"/>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O7</w:t>
            </w:r>
          </w:p>
        </w:tc>
        <w:tc>
          <w:tcPr>
            <w:tcW w:type="dxa" w:w="802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Record every input with its provenance, vintage and confidence tier</w:t>
            </w:r>
          </w:p>
        </w:tc>
      </w:tr>
    </w:tbl>
    <w:p>
      <w:pPr>
        <w:spacing w:after="160"/>
      </w:pPr>
    </w:p>
    <w:p>
      <w:pPr>
        <w:pStyle w:val="Heading3"/>
        <w:keepNext/>
        <w:spacing w:after="90" w:before="260"/>
      </w:pPr>
      <w:r>
        <w:rPr>
          <w:rFonts w:ascii="Calibri" w:cs="Calibri" w:eastAsia="Calibri" w:hAnsi="Calibri"/>
          <w:b/>
          <w:bCs/>
          <w:color w:val="2E5C8A"/>
          <w:sz w:val="23"/>
          <w:szCs w:val="23"/>
        </w:rPr>
        <w:t xml:space="preserve">1.3 In Scope</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Epidemiological (top-down) budget impact estimation for chronic disease indications</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Cardiometabolic therapy areas: </w:t>
      </w:r>
      <w:r>
        <w:rPr>
          <w:rFonts w:ascii="Calibri" w:cs="Calibri" w:eastAsia="Calibri" w:hAnsi="Calibri"/>
          <w:b/>
          <w:bCs/>
          <w:color w:val="1A1A1A"/>
          <w:sz w:val="20"/>
          <w:szCs w:val="20"/>
        </w:rPr>
        <w:t xml:space="preserve">obesity</w:t>
      </w:r>
      <w:r>
        <w:rPr>
          <w:rFonts w:ascii="Calibri" w:cs="Calibri" w:eastAsia="Calibri" w:hAnsi="Calibri"/>
          <w:b w:val="false"/>
          <w:bCs w:val="false"/>
          <w:color w:val="1A1A1A"/>
          <w:sz w:val="20"/>
          <w:szCs w:val="20"/>
        </w:rPr>
        <w:t xml:space="preserve"> and </w:t>
      </w:r>
      <w:r>
        <w:rPr>
          <w:rFonts w:ascii="Calibri" w:cs="Calibri" w:eastAsia="Calibri" w:hAnsi="Calibri"/>
          <w:b/>
          <w:bCs/>
          <w:color w:val="1A1A1A"/>
          <w:sz w:val="20"/>
          <w:szCs w:val="20"/>
        </w:rPr>
        <w:t xml:space="preserve">type 2 diabetes</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Ten markets spanning high-, upper-middle- and lower-middle-income health systems</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Incremental budget impact — world-with versus world-without comparison</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Persistence- and wastage-adjusted cost of therapy</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Reverse price solving against an affordability threshold</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One-way deterministic sensitivity and probabilistic sensitivity analysis</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Scenario definition, persistence and side-by-side comparison</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Retrieval-augmented narrative generation with source citations</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Export to PDF and PowerPoint</w:t>
      </w:r>
    </w:p>
    <w:p>
      <w:pPr>
        <w:pStyle w:val="Heading3"/>
        <w:keepNext/>
        <w:spacing w:after="90" w:before="260"/>
      </w:pPr>
      <w:r>
        <w:rPr>
          <w:rFonts w:ascii="Calibri" w:cs="Calibri" w:eastAsia="Calibri" w:hAnsi="Calibri"/>
          <w:b/>
          <w:bCs/>
          <w:color w:val="2E5C8A"/>
          <w:sz w:val="23"/>
          <w:szCs w:val="23"/>
        </w:rPr>
        <w:t xml:space="preserve">1.4 Out of Scope</w:t>
      </w:r>
    </w:p>
    <w:p>
      <w:pPr>
        <w:spacing w:after="120" w:before="60" w:line="276"/>
        <w:jc w:val="both"/>
      </w:pPr>
      <w:r>
        <w:rPr>
          <w:rFonts w:ascii="Calibri" w:cs="Calibri" w:eastAsia="Calibri" w:hAnsi="Calibri"/>
          <w:b w:val="false"/>
          <w:bCs w:val="false"/>
          <w:color w:val="1A1A1A"/>
          <w:sz w:val="20"/>
          <w:szCs w:val="20"/>
        </w:rPr>
        <w:t xml:space="preserve">The following are deliberately excluded. They are recorded here so that scope discipline is auditable.</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4484"/>
        <w:gridCol w:w="5406"/>
      </w:tblGrid>
      <w:tr>
        <w:trPr>
          <w:tblHeader/>
        </w:trPr>
        <w:tc>
          <w:tcPr>
            <w:tcW w:type="dxa" w:w="4484"/>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Excluded</w:t>
            </w:r>
          </w:p>
        </w:tc>
        <w:tc>
          <w:tcPr>
            <w:tcW w:type="dxa" w:w="5406"/>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Rationale</w:t>
            </w:r>
          </w:p>
        </w:tc>
      </w:tr>
      <w:tr>
        <w:tc>
          <w:tcPr>
            <w:tcW w:type="dxa" w:w="448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HTA submission-grade dossier output</w:t>
            </w:r>
          </w:p>
        </w:tc>
        <w:tc>
          <w:tcPr>
            <w:tcW w:type="dxa" w:w="540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BIET is a decision-triage instrument, not a regulatory submission artefact. Submission models remain de novo builds.</w:t>
            </w:r>
          </w:p>
        </w:tc>
      </w:tr>
      <w:tr>
        <w:tc>
          <w:tcPr>
            <w:tcW w:type="dxa" w:w="448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Cost-effectiveness analysis, QALYs, ICERs</w:t>
            </w:r>
          </w:p>
        </w:tc>
        <w:tc>
          <w:tcPr>
            <w:tcW w:type="dxa" w:w="5406"/>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Different decision question, different methodology, different evidence requirements.</w:t>
            </w:r>
          </w:p>
        </w:tc>
      </w:tr>
      <w:tr>
        <w:tc>
          <w:tcPr>
            <w:tcW w:type="dxa" w:w="448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Markov cohort or patient-level microsimulation</w:t>
            </w:r>
          </w:p>
        </w:tc>
        <w:tc>
          <w:tcPr>
            <w:tcW w:type="dxa" w:w="540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Budget impact over a 3–5 year horizon does not require state-transition modelling.</w:t>
            </w:r>
          </w:p>
        </w:tc>
      </w:tr>
      <w:tr>
        <w:tc>
          <w:tcPr>
            <w:tcW w:type="dxa" w:w="448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Payer-facing or field deployment</w:t>
            </w:r>
          </w:p>
        </w:tc>
        <w:tc>
          <w:tcPr>
            <w:tcW w:type="dxa" w:w="5406"/>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Internal decision support only. No compliance gating, CRM integration, or content-lock workflow.</w:t>
            </w:r>
          </w:p>
        </w:tc>
      </w:tr>
      <w:tr>
        <w:tc>
          <w:tcPr>
            <w:tcW w:type="dxa" w:w="448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Machine-learned budget impact prediction</w:t>
            </w:r>
          </w:p>
        </w:tc>
        <w:tc>
          <w:tcPr>
            <w:tcW w:type="dxa" w:w="540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Budget impact is deterministic arithmetic over stated assumptions, not a supervised learning problem. Uncertainty is handled by probabilistic sensitivity analysis, which is the method recognised by ISPOR.</w:t>
            </w:r>
          </w:p>
        </w:tc>
      </w:tr>
      <w:tr>
        <w:tc>
          <w:tcPr>
            <w:tcW w:type="dxa" w:w="448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Licensed commercial data integration (IQVIA, Optum, Symphony)</w:t>
            </w:r>
          </w:p>
        </w:tc>
        <w:tc>
          <w:tcPr>
            <w:tcW w:type="dxa" w:w="5406"/>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Procurement and licensing exceed the delivery window. All data sources are public and openly licensed.</w:t>
            </w:r>
          </w:p>
        </w:tc>
      </w:tr>
      <w:tr>
        <w:tc>
          <w:tcPr>
            <w:tcW w:type="dxa" w:w="448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Claims-based (bottom-up) population derivation</w:t>
            </w:r>
          </w:p>
        </w:tc>
        <w:tc>
          <w:tcPr>
            <w:tcW w:type="dxa" w:w="540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The epidemiological approach is the primary method. Claims-based estimation is a future extension.</w:t>
            </w:r>
          </w:p>
        </w:tc>
      </w:tr>
      <w:tr>
        <w:tc>
          <w:tcPr>
            <w:tcW w:type="dxa" w:w="448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Multi-tenancy, SSO, role-based access control</w:t>
            </w:r>
          </w:p>
        </w:tc>
        <w:tc>
          <w:tcPr>
            <w:tcW w:type="dxa" w:w="5406"/>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Single-organisation internal deployment.</w:t>
            </w:r>
          </w:p>
        </w:tc>
      </w:tr>
    </w:tbl>
    <w:p>
      <w:pPr>
        <w:spacing w:after="160"/>
      </w:pPr>
    </w:p>
    <w:p>
      <w:pPr>
        <w:pStyle w:val="Heading3"/>
        <w:keepNext/>
        <w:spacing w:after="90" w:before="260"/>
      </w:pPr>
      <w:r>
        <w:rPr>
          <w:rFonts w:ascii="Calibri" w:cs="Calibri" w:eastAsia="Calibri" w:hAnsi="Calibri"/>
          <w:b/>
          <w:bCs/>
          <w:color w:val="2E5C8A"/>
          <w:sz w:val="23"/>
          <w:szCs w:val="23"/>
        </w:rPr>
        <w:t xml:space="preserve">1.5 Target Users</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3800"/>
        <w:gridCol w:w="6090"/>
      </w:tblGrid>
      <w:tr>
        <w:trPr>
          <w:tblHeader/>
        </w:trPr>
        <w:tc>
          <w:tcPr>
            <w:tcW w:type="dxa" w:w="3800"/>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Persona</w:t>
            </w:r>
          </w:p>
        </w:tc>
        <w:tc>
          <w:tcPr>
            <w:tcW w:type="dxa" w:w="6090"/>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Primary need</w:t>
            </w:r>
          </w:p>
        </w:tc>
      </w:tr>
      <w:tr>
        <w:tc>
          <w:tcPr>
            <w:tcW w:type="dxa" w:w="380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Market Access Lead</w:t>
            </w:r>
          </w:p>
        </w:tc>
        <w:tc>
          <w:tcPr>
            <w:tcW w:type="dxa" w:w="609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Country-by-country reimbursement feasibility and affordability positioning</w:t>
            </w:r>
          </w:p>
        </w:tc>
      </w:tr>
      <w:tr>
        <w:tc>
          <w:tcPr>
            <w:tcW w:type="dxa" w:w="380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Pricing Strategist</w:t>
            </w:r>
          </w:p>
        </w:tc>
        <w:tc>
          <w:tcPr>
            <w:tcW w:type="dxa" w:w="609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Maximum defensible price per market; price corridor across markets</w:t>
            </w:r>
          </w:p>
        </w:tc>
      </w:tr>
      <w:tr>
        <w:tc>
          <w:tcPr>
            <w:tcW w:type="dxa" w:w="380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Health Economist / HEOR</w:t>
            </w:r>
          </w:p>
        </w:tc>
        <w:tc>
          <w:tcPr>
            <w:tcW w:type="dxa" w:w="609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Methodological rigour, assumption traceability, sensitivity structure</w:t>
            </w:r>
          </w:p>
        </w:tc>
      </w:tr>
      <w:tr>
        <w:tc>
          <w:tcPr>
            <w:tcW w:type="dxa" w:w="380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Portfolio / Product Manager</w:t>
            </w:r>
          </w:p>
        </w:tc>
        <w:tc>
          <w:tcPr>
            <w:tcW w:type="dxa" w:w="609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Rapid go/no-go signal and comparative view across indication scenarios</w:t>
            </w:r>
          </w:p>
        </w:tc>
      </w:tr>
      <w:tr>
        <w:tc>
          <w:tcPr>
            <w:tcW w:type="dxa" w:w="380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Commercial Strategy</w:t>
            </w:r>
          </w:p>
        </w:tc>
        <w:tc>
          <w:tcPr>
            <w:tcW w:type="dxa" w:w="609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Peak-year budget exposure and uptake sensitivity</w:t>
            </w:r>
          </w:p>
        </w:tc>
      </w:tr>
    </w:tbl>
    <w:p>
      <w:pPr>
        <w:spacing w:after="160"/>
      </w:pPr>
    </w:p>
    <w:p>
      <w:pPr>
        <w:pStyle w:val="Heading3"/>
        <w:keepNext/>
        <w:spacing w:after="90" w:before="260"/>
      </w:pPr>
      <w:r>
        <w:rPr>
          <w:rFonts w:ascii="Calibri" w:cs="Calibri" w:eastAsia="Calibri" w:hAnsi="Calibri"/>
          <w:b/>
          <w:bCs/>
          <w:color w:val="2E5C8A"/>
          <w:sz w:val="23"/>
          <w:szCs w:val="23"/>
        </w:rPr>
        <w:t xml:space="preserve">1.6 Design Principles</w:t>
      </w:r>
    </w:p>
    <w:p>
      <w:pPr>
        <w:pStyle w:val="ListParagraph"/>
        <w:numPr>
          <w:ilvl w:val="0"/>
          <w:numId w:val="2"/>
        </w:numPr>
        <w:spacing w:after="40" w:before="40" w:line="264"/>
      </w:pPr>
      <w:r>
        <w:rPr>
          <w:rFonts w:ascii="Calibri" w:cs="Calibri" w:eastAsia="Calibri" w:hAnsi="Calibri"/>
          <w:b/>
          <w:bCs/>
          <w:color w:val="1A1A1A"/>
          <w:sz w:val="20"/>
          <w:szCs w:val="20"/>
        </w:rPr>
        <w:t xml:space="preserve">Incremental by construction.</w:t>
      </w:r>
      <w:r>
        <w:rPr>
          <w:rFonts w:ascii="Calibri" w:cs="Calibri" w:eastAsia="Calibri" w:hAnsi="Calibri"/>
          <w:b w:val="false"/>
          <w:bCs w:val="false"/>
          <w:color w:val="1A1A1A"/>
          <w:sz w:val="20"/>
          <w:szCs w:val="20"/>
        </w:rPr>
        <w:t xml:space="preserve"> Budget impact is the difference between two worlds, never the gross cost of the new therapy.</w:t>
      </w:r>
    </w:p>
    <w:p>
      <w:pPr>
        <w:pStyle w:val="ListParagraph"/>
        <w:numPr>
          <w:ilvl w:val="0"/>
          <w:numId w:val="2"/>
        </w:numPr>
        <w:spacing w:after="40" w:before="40" w:line="264"/>
      </w:pPr>
      <w:r>
        <w:rPr>
          <w:rFonts w:ascii="Calibri" w:cs="Calibri" w:eastAsia="Calibri" w:hAnsi="Calibri"/>
          <w:b/>
          <w:bCs/>
          <w:color w:val="1A1A1A"/>
          <w:sz w:val="20"/>
          <w:szCs w:val="20"/>
        </w:rPr>
        <w:t xml:space="preserve">The engine is pure.</w:t>
      </w:r>
      <w:r>
        <w:rPr>
          <w:rFonts w:ascii="Calibri" w:cs="Calibri" w:eastAsia="Calibri" w:hAnsi="Calibri"/>
          <w:b w:val="false"/>
          <w:bCs w:val="false"/>
          <w:color w:val="1A1A1A"/>
          <w:sz w:val="20"/>
          <w:szCs w:val="20"/>
        </w:rPr>
        <w:t xml:space="preserve"> All calculation logic resides in a dependency-free package with no I/O, no database access and no framework coupling. It is deterministic and independently testable.</w:t>
      </w:r>
    </w:p>
    <w:p>
      <w:pPr>
        <w:pStyle w:val="ListParagraph"/>
        <w:numPr>
          <w:ilvl w:val="0"/>
          <w:numId w:val="2"/>
        </w:numPr>
        <w:spacing w:after="40" w:before="40" w:line="264"/>
      </w:pPr>
      <w:r>
        <w:rPr>
          <w:rFonts w:ascii="Calibri" w:cs="Calibri" w:eastAsia="Calibri" w:hAnsi="Calibri"/>
          <w:b/>
          <w:bCs/>
          <w:color w:val="1A1A1A"/>
          <w:sz w:val="20"/>
          <w:szCs w:val="20"/>
        </w:rPr>
        <w:t xml:space="preserve">Every number carries provenance.</w:t>
      </w:r>
      <w:r>
        <w:rPr>
          <w:rFonts w:ascii="Calibri" w:cs="Calibri" w:eastAsia="Calibri" w:hAnsi="Calibri"/>
          <w:b w:val="false"/>
          <w:bCs w:val="false"/>
          <w:color w:val="1A1A1A"/>
          <w:sz w:val="20"/>
          <w:szCs w:val="20"/>
        </w:rPr>
        <w:t xml:space="preserve"> Value, source, vintage year and confidence tier travel together through the entire system.</w:t>
      </w:r>
    </w:p>
    <w:p>
      <w:pPr>
        <w:pStyle w:val="ListParagraph"/>
        <w:numPr>
          <w:ilvl w:val="0"/>
          <w:numId w:val="2"/>
        </w:numPr>
        <w:spacing w:after="40" w:before="40" w:line="264"/>
      </w:pPr>
      <w:r>
        <w:rPr>
          <w:rFonts w:ascii="Calibri" w:cs="Calibri" w:eastAsia="Calibri" w:hAnsi="Calibri"/>
          <w:b/>
          <w:bCs/>
          <w:color w:val="1A1A1A"/>
          <w:sz w:val="20"/>
          <w:szCs w:val="20"/>
        </w:rPr>
        <w:t xml:space="preserve">Defaults are seeds, never constraints.</w:t>
      </w:r>
      <w:r>
        <w:rPr>
          <w:rFonts w:ascii="Calibri" w:cs="Calibri" w:eastAsia="Calibri" w:hAnsi="Calibri"/>
          <w:b w:val="false"/>
          <w:bCs w:val="false"/>
          <w:color w:val="1A1A1A"/>
          <w:sz w:val="20"/>
          <w:szCs w:val="20"/>
        </w:rPr>
        <w:t xml:space="preserve"> Every seeded value is overridable at scenario level, and the interface always shows which resolution level supplied the value in force.</w:t>
      </w:r>
    </w:p>
    <w:p>
      <w:pPr>
        <w:pStyle w:val="ListParagraph"/>
        <w:numPr>
          <w:ilvl w:val="0"/>
          <w:numId w:val="2"/>
        </w:numPr>
        <w:spacing w:after="40" w:before="40" w:line="264"/>
      </w:pPr>
      <w:r>
        <w:rPr>
          <w:rFonts w:ascii="Calibri" w:cs="Calibri" w:eastAsia="Calibri" w:hAnsi="Calibri"/>
          <w:b/>
          <w:bCs/>
          <w:color w:val="1A1A1A"/>
          <w:sz w:val="20"/>
          <w:szCs w:val="20"/>
        </w:rPr>
        <w:t xml:space="preserve">Uncertainty is a first-class output.</w:t>
      </w:r>
      <w:r>
        <w:rPr>
          <w:rFonts w:ascii="Calibri" w:cs="Calibri" w:eastAsia="Calibri" w:hAnsi="Calibri"/>
          <w:b w:val="false"/>
          <w:bCs w:val="false"/>
          <w:color w:val="1A1A1A"/>
          <w:sz w:val="20"/>
          <w:szCs w:val="20"/>
        </w:rPr>
        <w:t xml:space="preserve"> A point estimate without its sensitivity structure is an incomplete answer.</w:t>
      </w:r>
    </w:p>
    <w:p>
      <w:pPr>
        <w:pStyle w:val="ListParagraph"/>
        <w:numPr>
          <w:ilvl w:val="0"/>
          <w:numId w:val="2"/>
        </w:numPr>
        <w:spacing w:after="40" w:before="40" w:line="264"/>
      </w:pPr>
      <w:r>
        <w:rPr>
          <w:rFonts w:ascii="Calibri" w:cs="Calibri" w:eastAsia="Calibri" w:hAnsi="Calibri"/>
          <w:b/>
          <w:bCs/>
          <w:color w:val="1A1A1A"/>
          <w:sz w:val="20"/>
          <w:szCs w:val="20"/>
        </w:rPr>
        <w:t xml:space="preserve">Reproducibility is enforced by snapshot.</w:t>
      </w:r>
      <w:r>
        <w:rPr>
          <w:rFonts w:ascii="Calibri" w:cs="Calibri" w:eastAsia="Calibri" w:hAnsi="Calibri"/>
          <w:b w:val="false"/>
          <w:bCs w:val="false"/>
          <w:color w:val="1A1A1A"/>
          <w:sz w:val="20"/>
          <w:szCs w:val="20"/>
        </w:rPr>
        <w:t xml:space="preserve"> Every model run persists its complete input payload, engine version and foreign-exchange rates, so that any historical result can be regenerated exactly.</w:t>
      </w:r>
    </w:p>
    <w:p>
      <w:pPr>
        <w:pBdr>
          <w:bottom w:val="single" w:color="C6CFDA" w:sz="4" w:space="2"/>
        </w:pBdr>
        <w:spacing w:after="160" w:before="60"/>
      </w:pPr>
    </w:p>
    <w:p>
      <w:pPr>
        <w:pStyle w:val="Heading2"/>
        <w:keepNext/>
        <w:pBdr>
          <w:bottom w:val="single" w:color="C6CFDA" w:sz="6" w:space="6"/>
        </w:pBdr>
        <w:spacing w:after="140" w:before="360"/>
      </w:pPr>
      <w:r>
        <w:rPr>
          <w:rFonts w:ascii="Calibri" w:cs="Calibri" w:eastAsia="Calibri" w:hAnsi="Calibri"/>
          <w:b/>
          <w:bCs/>
          <w:color w:val="1F3864"/>
          <w:sz w:val="28"/>
          <w:szCs w:val="28"/>
        </w:rPr>
        <w:t xml:space="preserve">2. System Overview</w:t>
      </w:r>
    </w:p>
    <w:p>
      <w:pPr>
        <w:pStyle w:val="Heading3"/>
        <w:keepNext/>
        <w:spacing w:after="90" w:before="260"/>
      </w:pPr>
      <w:r>
        <w:rPr>
          <w:rFonts w:ascii="Calibri" w:cs="Calibri" w:eastAsia="Calibri" w:hAnsi="Calibri"/>
          <w:b/>
          <w:bCs/>
          <w:color w:val="2E5C8A"/>
          <w:sz w:val="23"/>
          <w:szCs w:val="23"/>
        </w:rPr>
        <w:t xml:space="preserve">2.1 Logical Architecture</w:t>
      </w:r>
    </w:p>
    <w:p>
      <w:pPr>
        <w:pBdr>
          <w:left w:val="single" w:color="2E5C8A" w:sz="12" w:space="8"/>
          <w:right w:val="single" w:color="D3DAE3" w:sz="2" w:space="4"/>
        </w:pBdr>
        <w:shd w:fill="F4F6F8" w:color="auto" w:val="clear"/>
        <w:spacing w:after="0" w:before="100" w:line="220"/>
        <w:ind w:left="120"/>
      </w:pPr>
      <w:r>
        <w:rPr>
          <w:rFonts w:ascii="Consolas" w:cs="Consolas" w:eastAsia="Consolas" w:hAnsi="Consolas"/>
          <w:color w:val="24292E"/>
          <w:sz w:val="15"/>
          <w:szCs w:val="15"/>
        </w:rPr>
        <w:t xml:space="preserv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PRESENTATION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React 18 + Vite + TypeScript — feature-sliced SPA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Scenario Builder │ Funnel │ Results │ Sensitivity │ Price Solver │ Copilot│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HTTPS / JSON (OpenAPI 3.1 contract)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APPLICATION — FastAPI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routes ──► controllers ──► services ──► repositories ──► DAL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biet_engine  (pure Python package)   │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funnel · uptake · persistence · cost │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impact · affordability · solver      │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sensitivity · psa                    │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DATA — PostgreSQL 16 + pgvector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Reference (countries, epidemiology, drugs, prices, economics)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Scenarios (definitions, overrides, run snapshots, results)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Knowledge (guideline chunks + 384-dim embeddings)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INGESTION (offline, scheduled)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World Bank · WHO GHO · NADAC · openFDA · ClinicalTrials.gov ·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Frankfurter FX · Curated price seed · Guideline PDF corpus             │</w:t>
      </w:r>
    </w:p>
    <w:p>
      <w:pPr>
        <w:pBdr>
          <w:left w:val="single" w:color="2E5C8A" w:sz="12" w:space="8"/>
          <w:right w:val="single" w:color="D3DAE3" w:sz="2" w:space="4"/>
        </w:pBdr>
        <w:shd w:fill="F4F6F8" w:color="auto" w:val="clear"/>
        <w:spacing w:after="140" w:before="0" w:line="220"/>
        <w:ind w:left="120"/>
      </w:pPr>
      <w:r>
        <w:rPr>
          <w:rFonts w:ascii="Consolas" w:cs="Consolas" w:eastAsia="Consolas" w:hAnsi="Consolas"/>
          <w:color w:val="24292E"/>
          <w:sz w:val="15"/>
          <w:szCs w:val="15"/>
        </w:rPr>
        <w:t xml:space="preserve">└─────────────────────────────────────────────────────────────────────────┘</w:t>
      </w:r>
    </w:p>
    <w:p>
      <w:pPr>
        <w:pStyle w:val="Heading3"/>
        <w:keepNext/>
        <w:spacing w:after="90" w:before="260"/>
      </w:pPr>
      <w:r>
        <w:rPr>
          <w:rFonts w:ascii="Calibri" w:cs="Calibri" w:eastAsia="Calibri" w:hAnsi="Calibri"/>
          <w:b/>
          <w:bCs/>
          <w:color w:val="2E5C8A"/>
          <w:sz w:val="23"/>
          <w:szCs w:val="23"/>
        </w:rPr>
        <w:t xml:space="preserve">2.2 Request Lifecycle</w:t>
      </w:r>
    </w:p>
    <w:p>
      <w:pPr>
        <w:pStyle w:val="ListParagraph"/>
        <w:numPr>
          <w:ilvl w:val="0"/>
          <w:numId w:val="2"/>
        </w:numPr>
        <w:spacing w:after="40" w:before="40" w:line="264"/>
      </w:pPr>
      <w:r>
        <w:rPr>
          <w:rFonts w:ascii="Calibri" w:cs="Calibri" w:eastAsia="Calibri" w:hAnsi="Calibri"/>
          <w:b w:val="false"/>
          <w:bCs w:val="false"/>
          <w:color w:val="1A1A1A"/>
          <w:sz w:val="20"/>
          <w:szCs w:val="20"/>
        </w:rPr>
        <w:t xml:space="preserve">User composes a scenario in the browser: indication, markets, launch year, horizon, price assumption, uptake curve, eligibility criteria, comparator mix.</w:t>
      </w:r>
    </w:p>
    <w:p>
      <w:pPr>
        <w:pStyle w:val="ListParagraph"/>
        <w:numPr>
          <w:ilvl w:val="0"/>
          <w:numId w:val="2"/>
        </w:numPr>
        <w:spacing w:after="40" w:before="40" w:line="264"/>
      </w:pPr>
      <w:r>
        <w:rPr>
          <w:rFonts w:ascii="Calibri" w:cs="Calibri" w:eastAsia="Calibri" w:hAnsi="Calibri"/>
          <w:b w:val="false"/>
          <w:bCs w:val="false"/>
          <w:color w:val="1A1A1A"/>
          <w:sz w:val="20"/>
          <w:szCs w:val="20"/>
        </w:rPr>
        <w:t xml:space="preserve">The client </w:t>
      </w:r>
      <w:r>
        <w:rPr>
          <w:rFonts w:ascii="Consolas" w:cs="Consolas" w:eastAsia="Consolas" w:hAnsi="Consolas"/>
          <w:b w:val="false"/>
          <w:bCs w:val="false"/>
          <w:color w:val="8A2E2E"/>
          <w:sz w:val="17"/>
          <w:szCs w:val="17"/>
          <w:shd w:fill="F1F1F1" w:color="auto" w:val="clear"/>
        </w:rPr>
        <w:t xml:space="preserve">POST</w:t>
      </w:r>
      <w:r>
        <w:rPr>
          <w:rFonts w:ascii="Calibri" w:cs="Calibri" w:eastAsia="Calibri" w:hAnsi="Calibri"/>
          <w:b w:val="false"/>
          <w:bCs w:val="false"/>
          <w:color w:val="1A1A1A"/>
          <w:sz w:val="20"/>
          <w:szCs w:val="20"/>
        </w:rPr>
        <w:t xml:space="preserve">s the scenario to </w:t>
      </w:r>
      <w:r>
        <w:rPr>
          <w:rFonts w:ascii="Consolas" w:cs="Consolas" w:eastAsia="Consolas" w:hAnsi="Consolas"/>
          <w:b w:val="false"/>
          <w:bCs w:val="false"/>
          <w:color w:val="8A2E2E"/>
          <w:sz w:val="17"/>
          <w:szCs w:val="17"/>
          <w:shd w:fill="F1F1F1" w:color="auto" w:val="clear"/>
        </w:rPr>
        <w:t xml:space="preserve">/api/v1/scenarios/{id}/calculate</w:t>
      </w:r>
      <w:r>
        <w:rPr>
          <w:rFonts w:ascii="Calibri" w:cs="Calibri" w:eastAsia="Calibri" w:hAnsi="Calibri"/>
          <w:b w:val="false"/>
          <w:bCs w:val="false"/>
          <w:color w:val="1A1A1A"/>
          <w:sz w:val="20"/>
          <w:szCs w:val="20"/>
        </w:rPr>
        <w:t xml:space="preserve">.</w:t>
      </w:r>
    </w:p>
    <w:p>
      <w:pPr>
        <w:pStyle w:val="ListParagraph"/>
        <w:numPr>
          <w:ilvl w:val="0"/>
          <w:numId w:val="2"/>
        </w:numPr>
        <w:spacing w:after="40" w:before="40" w:line="264"/>
      </w:pPr>
      <w:r>
        <w:rPr>
          <w:rFonts w:ascii="Calibri" w:cs="Calibri" w:eastAsia="Calibri" w:hAnsi="Calibri"/>
          <w:b w:val="false"/>
          <w:bCs w:val="false"/>
          <w:color w:val="1A1A1A"/>
          <w:sz w:val="20"/>
          <w:szCs w:val="20"/>
        </w:rPr>
        <w:t xml:space="preserve">The controller validates the payload against Pydantic schemas and delegates to </w:t>
      </w:r>
      <w:r>
        <w:rPr>
          <w:rFonts w:ascii="Consolas" w:cs="Consolas" w:eastAsia="Consolas" w:hAnsi="Consolas"/>
          <w:b w:val="false"/>
          <w:bCs w:val="false"/>
          <w:color w:val="8A2E2E"/>
          <w:sz w:val="17"/>
          <w:szCs w:val="17"/>
          <w:shd w:fill="F1F1F1" w:color="auto" w:val="clear"/>
        </w:rPr>
        <w:t xml:space="preserve">ScenarioService</w:t>
      </w:r>
      <w:r>
        <w:rPr>
          <w:rFonts w:ascii="Calibri" w:cs="Calibri" w:eastAsia="Calibri" w:hAnsi="Calibri"/>
          <w:b w:val="false"/>
          <w:bCs w:val="false"/>
          <w:color w:val="1A1A1A"/>
          <w:sz w:val="20"/>
          <w:szCs w:val="20"/>
        </w:rPr>
        <w:t xml:space="preserve">.</w:t>
      </w:r>
    </w:p>
    <w:p>
      <w:pPr>
        <w:pStyle w:val="ListParagraph"/>
        <w:numPr>
          <w:ilvl w:val="0"/>
          <w:numId w:val="2"/>
        </w:numPr>
        <w:spacing w:after="40" w:before="40" w:line="264"/>
      </w:pPr>
      <w:r>
        <w:rPr>
          <w:rFonts w:ascii="Consolas" w:cs="Consolas" w:eastAsia="Consolas" w:hAnsi="Consolas"/>
          <w:b w:val="false"/>
          <w:bCs w:val="false"/>
          <w:color w:val="8A2E2E"/>
          <w:sz w:val="17"/>
          <w:szCs w:val="17"/>
          <w:shd w:fill="F1F1F1" w:color="auto" w:val="clear"/>
        </w:rPr>
        <w:t xml:space="preserve">ScenarioService</w:t>
      </w:r>
      <w:r>
        <w:rPr>
          <w:rFonts w:ascii="Calibri" w:cs="Calibri" w:eastAsia="Calibri" w:hAnsi="Calibri"/>
          <w:b w:val="false"/>
          <w:bCs w:val="false"/>
          <w:color w:val="1A1A1A"/>
          <w:sz w:val="20"/>
          <w:szCs w:val="20"/>
        </w:rPr>
        <w:t xml:space="preserve"> resolves every input through the three-level chain (global default → country override → scenario override), assembling a fully-materialised </w:t>
      </w:r>
      <w:r>
        <w:rPr>
          <w:rFonts w:ascii="Consolas" w:cs="Consolas" w:eastAsia="Consolas" w:hAnsi="Consolas"/>
          <w:b w:val="false"/>
          <w:bCs w:val="false"/>
          <w:color w:val="8A2E2E"/>
          <w:sz w:val="17"/>
          <w:szCs w:val="17"/>
          <w:shd w:fill="F1F1F1" w:color="auto" w:val="clear"/>
        </w:rPr>
        <w:t xml:space="preserve">EngineInput</w:t>
      </w:r>
      <w:r>
        <w:rPr>
          <w:rFonts w:ascii="Calibri" w:cs="Calibri" w:eastAsia="Calibri" w:hAnsi="Calibri"/>
          <w:b w:val="false"/>
          <w:bCs w:val="false"/>
          <w:color w:val="1A1A1A"/>
          <w:sz w:val="20"/>
          <w:szCs w:val="20"/>
        </w:rPr>
        <w:t xml:space="preserve"> object.</w:t>
      </w:r>
    </w:p>
    <w:p>
      <w:pPr>
        <w:pStyle w:val="ListParagraph"/>
        <w:numPr>
          <w:ilvl w:val="0"/>
          <w:numId w:val="2"/>
        </w:numPr>
        <w:spacing w:after="40" w:before="40" w:line="264"/>
      </w:pPr>
      <w:r>
        <w:rPr>
          <w:rFonts w:ascii="Calibri" w:cs="Calibri" w:eastAsia="Calibri" w:hAnsi="Calibri"/>
          <w:b w:val="false"/>
          <w:bCs w:val="false"/>
          <w:color w:val="1A1A1A"/>
          <w:sz w:val="20"/>
          <w:szCs w:val="20"/>
        </w:rPr>
        <w:t xml:space="preserve">The pure engine executes and returns an </w:t>
      </w:r>
      <w:r>
        <w:rPr>
          <w:rFonts w:ascii="Consolas" w:cs="Consolas" w:eastAsia="Consolas" w:hAnsi="Consolas"/>
          <w:b w:val="false"/>
          <w:bCs w:val="false"/>
          <w:color w:val="8A2E2E"/>
          <w:sz w:val="17"/>
          <w:szCs w:val="17"/>
          <w:shd w:fill="F1F1F1" w:color="auto" w:val="clear"/>
        </w:rPr>
        <w:t xml:space="preserve">EngineResult</w:t>
      </w:r>
      <w:r>
        <w:rPr>
          <w:rFonts w:ascii="Calibri" w:cs="Calibri" w:eastAsia="Calibri" w:hAnsi="Calibri"/>
          <w:b w:val="false"/>
          <w:bCs w:val="false"/>
          <w:color w:val="1A1A1A"/>
          <w:sz w:val="20"/>
          <w:szCs w:val="20"/>
        </w:rPr>
        <w:t xml:space="preserve">. No database access occurs during execution.</w:t>
      </w:r>
    </w:p>
    <w:p>
      <w:pPr>
        <w:pStyle w:val="ListParagraph"/>
        <w:numPr>
          <w:ilvl w:val="0"/>
          <w:numId w:val="2"/>
        </w:numPr>
        <w:spacing w:after="40" w:before="40" w:line="264"/>
      </w:pPr>
      <w:r>
        <w:rPr>
          <w:rFonts w:ascii="Calibri" w:cs="Calibri" w:eastAsia="Calibri" w:hAnsi="Calibri"/>
          <w:b w:val="false"/>
          <w:bCs w:val="false"/>
          <w:color w:val="1A1A1A"/>
          <w:sz w:val="20"/>
          <w:szCs w:val="20"/>
        </w:rPr>
        <w:t xml:space="preserve">The service persists an immutable run snapshot: input payload, engine semantic version, FX rate set, and results.</w:t>
      </w:r>
    </w:p>
    <w:p>
      <w:pPr>
        <w:pStyle w:val="ListParagraph"/>
        <w:numPr>
          <w:ilvl w:val="0"/>
          <w:numId w:val="2"/>
        </w:numPr>
        <w:spacing w:after="40" w:before="40" w:line="264"/>
      </w:pPr>
      <w:r>
        <w:rPr>
          <w:rFonts w:ascii="Calibri" w:cs="Calibri" w:eastAsia="Calibri" w:hAnsi="Calibri"/>
          <w:b w:val="false"/>
          <w:bCs w:val="false"/>
          <w:color w:val="1A1A1A"/>
          <w:sz w:val="20"/>
          <w:szCs w:val="20"/>
        </w:rPr>
        <w:t xml:space="preserve">The response returns to the client, which renders funnel, per-country impact, affordability gauge and tornado.</w:t>
      </w:r>
    </w:p>
    <w:p>
      <w:pPr>
        <w:pStyle w:val="Heading3"/>
        <w:keepNext/>
        <w:spacing w:after="90" w:before="260"/>
      </w:pPr>
      <w:r>
        <w:rPr>
          <w:rFonts w:ascii="Calibri" w:cs="Calibri" w:eastAsia="Calibri" w:hAnsi="Calibri"/>
          <w:b/>
          <w:bCs/>
          <w:color w:val="2E5C8A"/>
          <w:sz w:val="23"/>
          <w:szCs w:val="23"/>
        </w:rPr>
        <w:t xml:space="preserve">2.3 Separation of Concerns</w:t>
      </w:r>
    </w:p>
    <w:p>
      <w:pPr>
        <w:spacing w:after="120" w:before="60" w:line="276"/>
        <w:jc w:val="both"/>
      </w:pPr>
      <w:r>
        <w:rPr>
          <w:rFonts w:ascii="Calibri" w:cs="Calibri" w:eastAsia="Calibri" w:hAnsi="Calibri"/>
          <w:b w:val="false"/>
          <w:bCs w:val="false"/>
          <w:color w:val="1A1A1A"/>
          <w:sz w:val="20"/>
          <w:szCs w:val="20"/>
        </w:rPr>
        <w:t xml:space="preserve">The boundary between the application layer and the engine is the most important architectural line in the system. The engine receives fully-resolved primitive values and returns fully-computed results. It never queries, never reads configuration, never logs to external systems and never depends on FastAPI, SQLAlchemy or any framework. This makes it unit-testable in isolation, reusable by batch and command-line runners, and — critically — verifiable against reference worked examples.</w:t>
      </w:r>
    </w:p>
    <w:p>
      <w:pPr>
        <w:pBdr>
          <w:bottom w:val="single" w:color="C6CFDA" w:sz="4" w:space="2"/>
        </w:pBdr>
        <w:spacing w:after="160" w:before="60"/>
      </w:pPr>
    </w:p>
    <w:p>
      <w:pPr>
        <w:pStyle w:val="Heading2"/>
        <w:keepNext/>
        <w:pBdr>
          <w:bottom w:val="single" w:color="C6CFDA" w:sz="6" w:space="6"/>
        </w:pBdr>
        <w:spacing w:after="140" w:before="360"/>
      </w:pPr>
      <w:r>
        <w:rPr>
          <w:rFonts w:ascii="Calibri" w:cs="Calibri" w:eastAsia="Calibri" w:hAnsi="Calibri"/>
          <w:b/>
          <w:bCs/>
          <w:color w:val="1F3864"/>
          <w:sz w:val="28"/>
          <w:szCs w:val="28"/>
        </w:rPr>
        <w:t xml:space="preserve">3. Technology Stack</w:t>
      </w:r>
    </w:p>
    <w:p>
      <w:pPr>
        <w:pStyle w:val="Heading3"/>
        <w:keepNext/>
        <w:spacing w:after="90" w:before="260"/>
      </w:pPr>
      <w:r>
        <w:rPr>
          <w:rFonts w:ascii="Calibri" w:cs="Calibri" w:eastAsia="Calibri" w:hAnsi="Calibri"/>
          <w:b/>
          <w:bCs/>
          <w:color w:val="2E5C8A"/>
          <w:sz w:val="23"/>
          <w:szCs w:val="23"/>
        </w:rPr>
        <w:t xml:space="preserve">3.1 Backend</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2275"/>
        <w:gridCol w:w="2570"/>
        <w:gridCol w:w="1336"/>
        <w:gridCol w:w="3709"/>
      </w:tblGrid>
      <w:tr>
        <w:trPr>
          <w:tblHeader/>
        </w:trPr>
        <w:tc>
          <w:tcPr>
            <w:tcW w:type="dxa" w:w="2275"/>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Concern</w:t>
            </w:r>
          </w:p>
        </w:tc>
        <w:tc>
          <w:tcPr>
            <w:tcW w:type="dxa" w:w="2570"/>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Selection</w:t>
            </w:r>
          </w:p>
        </w:tc>
        <w:tc>
          <w:tcPr>
            <w:tcW w:type="dxa" w:w="1336"/>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Version</w:t>
            </w:r>
          </w:p>
        </w:tc>
        <w:tc>
          <w:tcPr>
            <w:tcW w:type="dxa" w:w="3709"/>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Rationale</w:t>
            </w:r>
          </w:p>
        </w:tc>
      </w:tr>
      <w:tr>
        <w:tc>
          <w:tcPr>
            <w:tcW w:type="dxa" w:w="227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Language</w:t>
            </w:r>
          </w:p>
        </w:tc>
        <w:tc>
          <w:tcPr>
            <w:tcW w:type="dxa" w:w="257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Python</w:t>
            </w:r>
          </w:p>
        </w:tc>
        <w:tc>
          <w:tcPr>
            <w:tcW w:type="dxa" w:w="133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3.12</w:t>
            </w:r>
          </w:p>
        </w:tc>
        <w:tc>
          <w:tcPr>
            <w:tcW w:type="dxa" w:w="370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Ecosystem alignment with scientific and health-economic tooling</w:t>
            </w:r>
          </w:p>
        </w:tc>
      </w:tr>
      <w:tr>
        <w:tc>
          <w:tcPr>
            <w:tcW w:type="dxa" w:w="227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Web framework</w:t>
            </w:r>
          </w:p>
        </w:tc>
        <w:tc>
          <w:tcPr>
            <w:tcW w:type="dxa" w:w="257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FastAPI</w:t>
            </w:r>
          </w:p>
        </w:tc>
        <w:tc>
          <w:tcPr>
            <w:tcW w:type="dxa" w:w="1336"/>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0.115+</w:t>
            </w:r>
          </w:p>
        </w:tc>
        <w:tc>
          <w:tcPr>
            <w:tcW w:type="dxa" w:w="370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Native async, automatic OpenAPI generation, Pydantic-integrated validation</w:t>
            </w:r>
          </w:p>
        </w:tc>
      </w:tr>
      <w:tr>
        <w:tc>
          <w:tcPr>
            <w:tcW w:type="dxa" w:w="227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Validation / serialisation</w:t>
            </w:r>
          </w:p>
        </w:tc>
        <w:tc>
          <w:tcPr>
            <w:tcW w:type="dxa" w:w="257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Pydantic</w:t>
            </w:r>
          </w:p>
        </w:tc>
        <w:tc>
          <w:tcPr>
            <w:tcW w:type="dxa" w:w="133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v2</w:t>
            </w:r>
          </w:p>
        </w:tc>
        <w:tc>
          <w:tcPr>
            <w:tcW w:type="dxa" w:w="370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Single source of truth for types across API and engine boundaries</w:t>
            </w:r>
          </w:p>
        </w:tc>
      </w:tr>
      <w:tr>
        <w:tc>
          <w:tcPr>
            <w:tcW w:type="dxa" w:w="227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ORM</w:t>
            </w:r>
          </w:p>
        </w:tc>
        <w:tc>
          <w:tcPr>
            <w:tcW w:type="dxa" w:w="257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SQLAlchemy</w:t>
            </w:r>
          </w:p>
        </w:tc>
        <w:tc>
          <w:tcPr>
            <w:tcW w:type="dxa" w:w="1336"/>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2.0</w:t>
            </w:r>
          </w:p>
        </w:tc>
        <w:tc>
          <w:tcPr>
            <w:tcW w:type="dxa" w:w="370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Mature, explicit, supports the repository pattern cleanly</w:t>
            </w:r>
          </w:p>
        </w:tc>
      </w:tr>
      <w:tr>
        <w:tc>
          <w:tcPr>
            <w:tcW w:type="dxa" w:w="227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Migrations</w:t>
            </w:r>
          </w:p>
        </w:tc>
        <w:tc>
          <w:tcPr>
            <w:tcW w:type="dxa" w:w="257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Alembic</w:t>
            </w:r>
          </w:p>
        </w:tc>
        <w:tc>
          <w:tcPr>
            <w:tcW w:type="dxa" w:w="133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1.13+</w:t>
            </w:r>
          </w:p>
        </w:tc>
        <w:tc>
          <w:tcPr>
            <w:tcW w:type="dxa" w:w="370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Versioned, reversible schema evolution</w:t>
            </w:r>
          </w:p>
        </w:tc>
      </w:tr>
      <w:tr>
        <w:tc>
          <w:tcPr>
            <w:tcW w:type="dxa" w:w="227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Numerics</w:t>
            </w:r>
          </w:p>
        </w:tc>
        <w:tc>
          <w:tcPr>
            <w:tcW w:type="dxa" w:w="257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NumPy</w:t>
            </w:r>
          </w:p>
        </w:tc>
        <w:tc>
          <w:tcPr>
            <w:tcW w:type="dxa" w:w="1336"/>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2.x</w:t>
            </w:r>
          </w:p>
        </w:tc>
        <w:tc>
          <w:tcPr>
            <w:tcW w:type="dxa" w:w="370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Vectorised Monte Carlo simulation</w:t>
            </w:r>
          </w:p>
        </w:tc>
      </w:tr>
      <w:tr>
        <w:tc>
          <w:tcPr>
            <w:tcW w:type="dxa" w:w="227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ASGI server</w:t>
            </w:r>
          </w:p>
        </w:tc>
        <w:tc>
          <w:tcPr>
            <w:tcW w:type="dxa" w:w="257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Uvicorn</w:t>
            </w:r>
          </w:p>
        </w:tc>
        <w:tc>
          <w:tcPr>
            <w:tcW w:type="dxa" w:w="133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0.30+</w:t>
            </w:r>
          </w:p>
        </w:tc>
        <w:tc>
          <w:tcPr>
            <w:tcW w:type="dxa" w:w="370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Standard production ASGI runtime</w:t>
            </w:r>
          </w:p>
        </w:tc>
      </w:tr>
      <w:tr>
        <w:tc>
          <w:tcPr>
            <w:tcW w:type="dxa" w:w="227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Testing</w:t>
            </w:r>
          </w:p>
        </w:tc>
        <w:tc>
          <w:tcPr>
            <w:tcW w:type="dxa" w:w="257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pytest, pytest-cov, hypothesis</w:t>
            </w:r>
          </w:p>
        </w:tc>
        <w:tc>
          <w:tcPr>
            <w:tcW w:type="dxa" w:w="1336"/>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current</w:t>
            </w:r>
          </w:p>
        </w:tc>
        <w:tc>
          <w:tcPr>
            <w:tcW w:type="dxa" w:w="370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Unit, property-based and golden-case testing of the engine</w:t>
            </w:r>
          </w:p>
        </w:tc>
      </w:tr>
      <w:tr>
        <w:tc>
          <w:tcPr>
            <w:tcW w:type="dxa" w:w="227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Export</w:t>
            </w:r>
          </w:p>
        </w:tc>
        <w:tc>
          <w:tcPr>
            <w:tcW w:type="dxa" w:w="257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ReportLab, python-pptx</w:t>
            </w:r>
          </w:p>
        </w:tc>
        <w:tc>
          <w:tcPr>
            <w:tcW w:type="dxa" w:w="133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current</w:t>
            </w:r>
          </w:p>
        </w:tc>
        <w:tc>
          <w:tcPr>
            <w:tcW w:type="dxa" w:w="370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PDF and PowerPoint deliverable generation</w:t>
            </w:r>
          </w:p>
        </w:tc>
      </w:tr>
      <w:tr>
        <w:tc>
          <w:tcPr>
            <w:tcW w:type="dxa" w:w="227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LLM client</w:t>
            </w:r>
          </w:p>
        </w:tc>
        <w:tc>
          <w:tcPr>
            <w:tcW w:type="dxa" w:w="257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anthropic</w:t>
            </w:r>
          </w:p>
        </w:tc>
        <w:tc>
          <w:tcPr>
            <w:tcW w:type="dxa" w:w="1336"/>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current</w:t>
            </w:r>
          </w:p>
        </w:tc>
        <w:tc>
          <w:tcPr>
            <w:tcW w:type="dxa" w:w="370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Narrative and copilot generation</w:t>
            </w:r>
          </w:p>
        </w:tc>
      </w:tr>
      <w:tr>
        <w:tc>
          <w:tcPr>
            <w:tcW w:type="dxa" w:w="227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Embeddings</w:t>
            </w:r>
          </w:p>
        </w:tc>
        <w:tc>
          <w:tcPr>
            <w:tcW w:type="dxa" w:w="257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fastembed (BAAI/bge-small-en-v1.5)</w:t>
            </w:r>
          </w:p>
        </w:tc>
        <w:tc>
          <w:tcPr>
            <w:tcW w:type="dxa" w:w="133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current</w:t>
            </w:r>
          </w:p>
        </w:tc>
        <w:tc>
          <w:tcPr>
            <w:tcW w:type="dxa" w:w="370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384-dimension local embeddings, no external inference dependency</w:t>
            </w:r>
          </w:p>
        </w:tc>
      </w:tr>
    </w:tbl>
    <w:p>
      <w:pPr>
        <w:spacing w:after="160"/>
      </w:pPr>
    </w:p>
    <w:p>
      <w:pPr>
        <w:pStyle w:val="Heading3"/>
        <w:keepNext/>
        <w:spacing w:after="90" w:before="260"/>
      </w:pPr>
      <w:r>
        <w:rPr>
          <w:rFonts w:ascii="Calibri" w:cs="Calibri" w:eastAsia="Calibri" w:hAnsi="Calibri"/>
          <w:b/>
          <w:bCs/>
          <w:color w:val="2E5C8A"/>
          <w:sz w:val="23"/>
          <w:szCs w:val="23"/>
        </w:rPr>
        <w:t xml:space="preserve">3.2 Frontend</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1989"/>
        <w:gridCol w:w="3483"/>
        <w:gridCol w:w="4418"/>
      </w:tblGrid>
      <w:tr>
        <w:trPr>
          <w:tblHeader/>
        </w:trPr>
        <w:tc>
          <w:tcPr>
            <w:tcW w:type="dxa" w:w="1989"/>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Concern</w:t>
            </w:r>
          </w:p>
        </w:tc>
        <w:tc>
          <w:tcPr>
            <w:tcW w:type="dxa" w:w="3483"/>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Selection</w:t>
            </w:r>
          </w:p>
        </w:tc>
        <w:tc>
          <w:tcPr>
            <w:tcW w:type="dxa" w:w="4418"/>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Rationale</w:t>
            </w:r>
          </w:p>
        </w:tc>
      </w:tr>
      <w:tr>
        <w:tc>
          <w:tcPr>
            <w:tcW w:type="dxa" w:w="198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Framework</w:t>
            </w:r>
          </w:p>
        </w:tc>
        <w:tc>
          <w:tcPr>
            <w:tcW w:type="dxa" w:w="348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React 18 + TypeScript 5</w:t>
            </w:r>
          </w:p>
        </w:tc>
        <w:tc>
          <w:tcPr>
            <w:tcW w:type="dxa" w:w="441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Component model, strict typing across the API boundary</w:t>
            </w:r>
          </w:p>
        </w:tc>
      </w:tr>
      <w:tr>
        <w:tc>
          <w:tcPr>
            <w:tcW w:type="dxa" w:w="198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Build</w:t>
            </w:r>
          </w:p>
        </w:tc>
        <w:tc>
          <w:tcPr>
            <w:tcW w:type="dxa" w:w="348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Vite 5</w:t>
            </w:r>
          </w:p>
        </w:tc>
        <w:tc>
          <w:tcPr>
            <w:tcW w:type="dxa" w:w="441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Fast HMR, native ESM, minimal configuration</w:t>
            </w:r>
          </w:p>
        </w:tc>
      </w:tr>
      <w:tr>
        <w:tc>
          <w:tcPr>
            <w:tcW w:type="dxa" w:w="198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Routing</w:t>
            </w:r>
          </w:p>
        </w:tc>
        <w:tc>
          <w:tcPr>
            <w:tcW w:type="dxa" w:w="348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React Router 6</w:t>
            </w:r>
          </w:p>
        </w:tc>
        <w:tc>
          <w:tcPr>
            <w:tcW w:type="dxa" w:w="441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Standard declarative routing</w:t>
            </w:r>
          </w:p>
        </w:tc>
      </w:tr>
      <w:tr>
        <w:tc>
          <w:tcPr>
            <w:tcW w:type="dxa" w:w="198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Server state</w:t>
            </w:r>
          </w:p>
        </w:tc>
        <w:tc>
          <w:tcPr>
            <w:tcW w:type="dxa" w:w="348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TanStack Query 5</w:t>
            </w:r>
          </w:p>
        </w:tc>
        <w:tc>
          <w:tcPr>
            <w:tcW w:type="dxa" w:w="441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Caching, deduplication, background refetch for calculation results</w:t>
            </w:r>
          </w:p>
        </w:tc>
      </w:tr>
      <w:tr>
        <w:tc>
          <w:tcPr>
            <w:tcW w:type="dxa" w:w="198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Client state</w:t>
            </w:r>
          </w:p>
        </w:tc>
        <w:tc>
          <w:tcPr>
            <w:tcW w:type="dxa" w:w="348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Zustand</w:t>
            </w:r>
          </w:p>
        </w:tc>
        <w:tc>
          <w:tcPr>
            <w:tcW w:type="dxa" w:w="441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Lightweight scenario-draft state without Redux ceremony</w:t>
            </w:r>
          </w:p>
        </w:tc>
      </w:tr>
      <w:tr>
        <w:tc>
          <w:tcPr>
            <w:tcW w:type="dxa" w:w="198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Charts</w:t>
            </w:r>
          </w:p>
        </w:tc>
        <w:tc>
          <w:tcPr>
            <w:tcW w:type="dxa" w:w="348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Recharts + Plotly.js</w:t>
            </w:r>
          </w:p>
        </w:tc>
        <w:tc>
          <w:tcPr>
            <w:tcW w:type="dxa" w:w="441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Recharts for standard charts; Plotly for the choropleth map and tornado</w:t>
            </w:r>
          </w:p>
        </w:tc>
      </w:tr>
      <w:tr>
        <w:tc>
          <w:tcPr>
            <w:tcW w:type="dxa" w:w="198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Styling</w:t>
            </w:r>
          </w:p>
        </w:tc>
        <w:tc>
          <w:tcPr>
            <w:tcW w:type="dxa" w:w="348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Tailwind CSS 3</w:t>
            </w:r>
          </w:p>
        </w:tc>
        <w:tc>
          <w:tcPr>
            <w:tcW w:type="dxa" w:w="441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Utility-first, consistent spacing and colour tokens</w:t>
            </w:r>
          </w:p>
        </w:tc>
      </w:tr>
      <w:tr>
        <w:tc>
          <w:tcPr>
            <w:tcW w:type="dxa" w:w="198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Forms</w:t>
            </w:r>
          </w:p>
        </w:tc>
        <w:tc>
          <w:tcPr>
            <w:tcW w:type="dxa" w:w="348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React Hook Form + Zod</w:t>
            </w:r>
          </w:p>
        </w:tc>
        <w:tc>
          <w:tcPr>
            <w:tcW w:type="dxa" w:w="441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Client-side validation mirroring the server Pydantic schemas</w:t>
            </w:r>
          </w:p>
        </w:tc>
      </w:tr>
      <w:tr>
        <w:tc>
          <w:tcPr>
            <w:tcW w:type="dxa" w:w="198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API client</w:t>
            </w:r>
          </w:p>
        </w:tc>
        <w:tc>
          <w:tcPr>
            <w:tcW w:type="dxa" w:w="348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openapi-typescript + generated fetch client</w:t>
            </w:r>
          </w:p>
        </w:tc>
        <w:tc>
          <w:tcPr>
            <w:tcW w:type="dxa" w:w="441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Types derived from the server OpenAPI schema; eliminates contract drift</w:t>
            </w:r>
          </w:p>
        </w:tc>
      </w:tr>
    </w:tbl>
    <w:p>
      <w:pPr>
        <w:spacing w:after="160"/>
      </w:pPr>
    </w:p>
    <w:p>
      <w:pPr>
        <w:pStyle w:val="Heading3"/>
        <w:keepNext/>
        <w:spacing w:after="90" w:before="260"/>
      </w:pPr>
      <w:r>
        <w:rPr>
          <w:rFonts w:ascii="Calibri" w:cs="Calibri" w:eastAsia="Calibri" w:hAnsi="Calibri"/>
          <w:b/>
          <w:bCs/>
          <w:color w:val="2E5C8A"/>
          <w:sz w:val="23"/>
          <w:szCs w:val="23"/>
        </w:rPr>
        <w:t xml:space="preserve">3.3 Frontend Composition Model</w:t>
      </w:r>
    </w:p>
    <w:p>
      <w:pPr>
        <w:spacing w:after="120" w:before="60" w:line="276"/>
        <w:jc w:val="both"/>
      </w:pPr>
      <w:r>
        <w:rPr>
          <w:rFonts w:ascii="Calibri" w:cs="Calibri" w:eastAsia="Calibri" w:hAnsi="Calibri"/>
          <w:b w:val="false"/>
          <w:bCs w:val="false"/>
          <w:color w:val="1A1A1A"/>
          <w:sz w:val="20"/>
          <w:szCs w:val="20"/>
        </w:rPr>
        <w:t xml:space="preserve">The frontend is a </w:t>
      </w:r>
      <w:r>
        <w:rPr>
          <w:rFonts w:ascii="Calibri" w:cs="Calibri" w:eastAsia="Calibri" w:hAnsi="Calibri"/>
          <w:b/>
          <w:bCs/>
          <w:color w:val="1A1A1A"/>
          <w:sz w:val="20"/>
          <w:szCs w:val="20"/>
        </w:rPr>
        <w:t xml:space="preserve">single Vite application organised by feature slice</w:t>
      </w:r>
      <w:r>
        <w:rPr>
          <w:rFonts w:ascii="Calibri" w:cs="Calibri" w:eastAsia="Calibri" w:hAnsi="Calibri"/>
          <w:b w:val="false"/>
          <w:bCs w:val="false"/>
          <w:color w:val="1A1A1A"/>
          <w:sz w:val="20"/>
          <w:szCs w:val="20"/>
        </w:rPr>
        <w:t xml:space="preserve">. Module Federation and runtime composition are explicitly not used: the independent-deployment benefit does not apply to a single-team, single-deployable product, while the costs — shared-dependency version pinning, cross-remote state coordination, duplicated build configuration and degraded type inference across remote boundaries — apply immediately.</w:t>
      </w:r>
    </w:p>
    <w:p>
      <w:pPr>
        <w:spacing w:after="120" w:before="60" w:line="276"/>
        <w:jc w:val="both"/>
      </w:pPr>
      <w:r>
        <w:rPr>
          <w:rFonts w:ascii="Calibri" w:cs="Calibri" w:eastAsia="Calibri" w:hAnsi="Calibri"/>
          <w:b w:val="false"/>
          <w:bCs w:val="false"/>
          <w:color w:val="1A1A1A"/>
          <w:sz w:val="20"/>
          <w:szCs w:val="20"/>
        </w:rPr>
        <w:t xml:space="preserve">Modularity is achieved structurally instead. Each feature slice owns its components, hooks, types and API calls, exposes a single public entry point through an index barrel, and may not import from another slice's internals. Cross-slice dependencies are permitted only on </w:t>
      </w:r>
      <w:r>
        <w:rPr>
          <w:rFonts w:ascii="Consolas" w:cs="Consolas" w:eastAsia="Consolas" w:hAnsi="Consolas"/>
          <w:b w:val="false"/>
          <w:bCs w:val="false"/>
          <w:color w:val="8A2E2E"/>
          <w:sz w:val="17"/>
          <w:szCs w:val="17"/>
          <w:shd w:fill="F1F1F1" w:color="auto" w:val="clear"/>
        </w:rPr>
        <w:t xml:space="preserve">shared/</w:t>
      </w:r>
      <w:r>
        <w:rPr>
          <w:rFonts w:ascii="Calibri" w:cs="Calibri" w:eastAsia="Calibri" w:hAnsi="Calibri"/>
          <w:b w:val="false"/>
          <w:bCs w:val="false"/>
          <w:color w:val="1A1A1A"/>
          <w:sz w:val="20"/>
          <w:szCs w:val="20"/>
        </w:rPr>
        <w:t xml:space="preserve">. This yields the same isolation and ownership properties as micro-frontends, enforced at build time by ESLint boundary rules, with none of the runtime cost.</w:t>
      </w:r>
    </w:p>
    <w:p>
      <w:pPr>
        <w:pStyle w:val="Heading3"/>
        <w:keepNext/>
        <w:spacing w:after="90" w:before="260"/>
      </w:pPr>
      <w:r>
        <w:rPr>
          <w:rFonts w:ascii="Calibri" w:cs="Calibri" w:eastAsia="Calibri" w:hAnsi="Calibri"/>
          <w:b/>
          <w:bCs/>
          <w:color w:val="2E5C8A"/>
          <w:sz w:val="23"/>
          <w:szCs w:val="23"/>
        </w:rPr>
        <w:t xml:space="preserve">3.4 Data and Infrastructure</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2430"/>
        <w:gridCol w:w="2896"/>
        <w:gridCol w:w="4564"/>
      </w:tblGrid>
      <w:tr>
        <w:trPr>
          <w:tblHeader/>
        </w:trPr>
        <w:tc>
          <w:tcPr>
            <w:tcW w:type="dxa" w:w="2430"/>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Concern</w:t>
            </w:r>
          </w:p>
        </w:tc>
        <w:tc>
          <w:tcPr>
            <w:tcW w:type="dxa" w:w="2896"/>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Selection</w:t>
            </w:r>
          </w:p>
        </w:tc>
        <w:tc>
          <w:tcPr>
            <w:tcW w:type="dxa" w:w="4564"/>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Rationale</w:t>
            </w:r>
          </w:p>
        </w:tc>
      </w:tr>
      <w:tr>
        <w:tc>
          <w:tcPr>
            <w:tcW w:type="dxa" w:w="243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Database</w:t>
            </w:r>
          </w:p>
        </w:tc>
        <w:tc>
          <w:tcPr>
            <w:tcW w:type="dxa" w:w="289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PostgreSQL 16</w:t>
            </w:r>
          </w:p>
        </w:tc>
        <w:tc>
          <w:tcPr>
            <w:tcW w:type="dxa" w:w="456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Relational integrity for reference data; JSONB for run snapshots</w:t>
            </w:r>
          </w:p>
        </w:tc>
      </w:tr>
      <w:tr>
        <w:tc>
          <w:tcPr>
            <w:tcW w:type="dxa" w:w="243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Vector store</w:t>
            </w:r>
          </w:p>
        </w:tc>
        <w:tc>
          <w:tcPr>
            <w:tcW w:type="dxa" w:w="2896"/>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pgvector 0.7+</w:t>
            </w:r>
          </w:p>
        </w:tc>
        <w:tc>
          <w:tcPr>
            <w:tcW w:type="dxa" w:w="456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Co-located with relational data; avoids a second datastore</w:t>
            </w:r>
          </w:p>
        </w:tc>
      </w:tr>
      <w:tr>
        <w:tc>
          <w:tcPr>
            <w:tcW w:type="dxa" w:w="243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Containerisation</w:t>
            </w:r>
          </w:p>
        </w:tc>
        <w:tc>
          <w:tcPr>
            <w:tcW w:type="dxa" w:w="289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Docker + Docker Compose</w:t>
            </w:r>
          </w:p>
        </w:tc>
        <w:tc>
          <w:tcPr>
            <w:tcW w:type="dxa" w:w="456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Reproducible local and demonstration environments</w:t>
            </w:r>
          </w:p>
        </w:tc>
      </w:tr>
      <w:tr>
        <w:tc>
          <w:tcPr>
            <w:tcW w:type="dxa" w:w="243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Configuration</w:t>
            </w:r>
          </w:p>
        </w:tc>
        <w:tc>
          <w:tcPr>
            <w:tcW w:type="dxa" w:w="2896"/>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pydantic-settings + </w:t>
            </w:r>
            <w:r>
              <w:rPr>
                <w:rFonts w:ascii="Consolas" w:cs="Consolas" w:eastAsia="Consolas" w:hAnsi="Consolas"/>
                <w:b w:val="false"/>
                <w:bCs w:val="false"/>
                <w:color w:val="8A2E2E"/>
                <w:sz w:val="15"/>
                <w:szCs w:val="15"/>
                <w:shd w:fill="F1F1F1" w:color="auto" w:val="clear"/>
              </w:rPr>
              <w:t xml:space="preserve">.env</w:t>
            </w:r>
          </w:p>
        </w:tc>
        <w:tc>
          <w:tcPr>
            <w:tcW w:type="dxa" w:w="456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Typed configuration; no secrets in source</w:t>
            </w:r>
          </w:p>
        </w:tc>
      </w:tr>
    </w:tbl>
    <w:p>
      <w:pPr>
        <w:spacing w:after="160"/>
      </w:pPr>
    </w:p>
    <w:p>
      <w:pPr>
        <w:pStyle w:val="Heading3"/>
        <w:keepNext/>
        <w:spacing w:after="90" w:before="260"/>
      </w:pPr>
      <w:r>
        <w:rPr>
          <w:rFonts w:ascii="Calibri" w:cs="Calibri" w:eastAsia="Calibri" w:hAnsi="Calibri"/>
          <w:b/>
          <w:bCs/>
          <w:color w:val="2E5C8A"/>
          <w:sz w:val="23"/>
          <w:szCs w:val="23"/>
        </w:rPr>
        <w:t xml:space="preserve">3.5 Security Baseline</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No credential, API key, proxy string or connection secret is committed to source. All are supplied through environment variables and validated at startup by </w:t>
      </w:r>
      <w:r>
        <w:rPr>
          <w:rFonts w:ascii="Consolas" w:cs="Consolas" w:eastAsia="Consolas" w:hAnsi="Consolas"/>
          <w:b w:val="false"/>
          <w:bCs w:val="false"/>
          <w:color w:val="8A2E2E"/>
          <w:sz w:val="17"/>
          <w:szCs w:val="17"/>
          <w:shd w:fill="F1F1F1" w:color="auto" w:val="clear"/>
        </w:rPr>
        <w:t xml:space="preserve">pydantic-settings</w:t>
      </w:r>
      <w:r>
        <w:rPr>
          <w:rFonts w:ascii="Calibri" w:cs="Calibri" w:eastAsia="Calibri" w:hAnsi="Calibri"/>
          <w:b w:val="false"/>
          <w:bCs w:val="false"/>
          <w:color w:val="1A1A1A"/>
          <w:sz w:val="20"/>
          <w:szCs w:val="20"/>
        </w:rPr>
        <w:t xml:space="preserve">.</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Network egress proxy configuration is optional and environment-driven; ingestion scripts must operate identically with and without a proxy.</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The </w:t>
      </w:r>
      <w:r>
        <w:rPr>
          <w:rFonts w:ascii="Consolas" w:cs="Consolas" w:eastAsia="Consolas" w:hAnsi="Consolas"/>
          <w:b w:val="false"/>
          <w:bCs w:val="false"/>
          <w:color w:val="8A2E2E"/>
          <w:sz w:val="17"/>
          <w:szCs w:val="17"/>
          <w:shd w:fill="F1F1F1" w:color="auto" w:val="clear"/>
        </w:rPr>
        <w:t xml:space="preserve">.env</w:t>
      </w:r>
      <w:r>
        <w:rPr>
          <w:rFonts w:ascii="Calibri" w:cs="Calibri" w:eastAsia="Calibri" w:hAnsi="Calibri"/>
          <w:b w:val="false"/>
          <w:bCs w:val="false"/>
          <w:color w:val="1A1A1A"/>
          <w:sz w:val="20"/>
          <w:szCs w:val="20"/>
        </w:rPr>
        <w:t xml:space="preserve"> file is git-ignored; </w:t>
      </w:r>
      <w:r>
        <w:rPr>
          <w:rFonts w:ascii="Consolas" w:cs="Consolas" w:eastAsia="Consolas" w:hAnsi="Consolas"/>
          <w:b w:val="false"/>
          <w:bCs w:val="false"/>
          <w:color w:val="8A2E2E"/>
          <w:sz w:val="17"/>
          <w:szCs w:val="17"/>
          <w:shd w:fill="F1F1F1" w:color="auto" w:val="clear"/>
        </w:rPr>
        <w:t xml:space="preserve">.env.example</w:t>
      </w:r>
      <w:r>
        <w:rPr>
          <w:rFonts w:ascii="Calibri" w:cs="Calibri" w:eastAsia="Calibri" w:hAnsi="Calibri"/>
          <w:b w:val="false"/>
          <w:bCs w:val="false"/>
          <w:color w:val="1A1A1A"/>
          <w:sz w:val="20"/>
          <w:szCs w:val="20"/>
        </w:rPr>
        <w:t xml:space="preserve"> documents required keys with placeholder values only.</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Database access uses a least-privilege application role separate from the migration role.</w:t>
      </w:r>
    </w:p>
    <w:p>
      <w:pPr>
        <w:pBdr>
          <w:bottom w:val="single" w:color="C6CFDA" w:sz="4" w:space="2"/>
        </w:pBdr>
        <w:spacing w:after="160" w:before="60"/>
      </w:pPr>
    </w:p>
    <w:p>
      <w:pPr>
        <w:pStyle w:val="Heading2"/>
        <w:keepNext/>
        <w:pBdr>
          <w:bottom w:val="single" w:color="C6CFDA" w:sz="6" w:space="6"/>
        </w:pBdr>
        <w:spacing w:after="140" w:before="360"/>
      </w:pPr>
      <w:r>
        <w:rPr>
          <w:rFonts w:ascii="Calibri" w:cs="Calibri" w:eastAsia="Calibri" w:hAnsi="Calibri"/>
          <w:b/>
          <w:bCs/>
          <w:color w:val="1F3864"/>
          <w:sz w:val="28"/>
          <w:szCs w:val="28"/>
        </w:rPr>
        <w:t xml:space="preserve">4. Module Architecture</w:t>
      </w:r>
    </w:p>
    <w:p>
      <w:pPr>
        <w:spacing w:after="120" w:before="60" w:line="276"/>
        <w:jc w:val="both"/>
      </w:pPr>
      <w:r>
        <w:rPr>
          <w:rFonts w:ascii="Calibri" w:cs="Calibri" w:eastAsia="Calibri" w:hAnsi="Calibri"/>
          <w:b w:val="false"/>
          <w:bCs w:val="false"/>
          <w:color w:val="1A1A1A"/>
          <w:sz w:val="20"/>
          <w:szCs w:val="20"/>
        </w:rPr>
        <w:t xml:space="preserve">Ten modules, grouped into calculation, data and presentation concerns.</w:t>
      </w:r>
    </w:p>
    <w:p>
      <w:pPr>
        <w:pStyle w:val="Heading3"/>
        <w:keepNext/>
        <w:spacing w:after="90" w:before="260"/>
      </w:pPr>
      <w:r>
        <w:rPr>
          <w:rFonts w:ascii="Calibri" w:cs="Calibri" w:eastAsia="Calibri" w:hAnsi="Calibri"/>
          <w:b/>
          <w:bCs/>
          <w:color w:val="2E5C8A"/>
          <w:sz w:val="23"/>
          <w:szCs w:val="23"/>
        </w:rPr>
        <w:t xml:space="preserve">M1 — Scenario Workspace</w:t>
      </w:r>
    </w:p>
    <w:p>
      <w:pPr>
        <w:spacing w:after="120" w:before="60" w:line="276"/>
        <w:jc w:val="both"/>
      </w:pPr>
      <w:r>
        <w:rPr>
          <w:rFonts w:ascii="Calibri" w:cs="Calibri" w:eastAsia="Calibri" w:hAnsi="Calibri"/>
          <w:b/>
          <w:bCs/>
          <w:color w:val="1A1A1A"/>
          <w:sz w:val="20"/>
          <w:szCs w:val="20"/>
        </w:rPr>
        <w:t xml:space="preserve">Responsibility.</w:t>
      </w:r>
      <w:r>
        <w:rPr>
          <w:rFonts w:ascii="Calibri" w:cs="Calibri" w:eastAsia="Calibri" w:hAnsi="Calibri"/>
          <w:b w:val="false"/>
          <w:bCs w:val="false"/>
          <w:color w:val="1A1A1A"/>
          <w:sz w:val="20"/>
          <w:szCs w:val="20"/>
        </w:rPr>
        <w:t xml:space="preserve"> Lifecycle management of scenarios: creation, cloning, versioning, comparison and archival.</w:t>
      </w:r>
    </w:p>
    <w:p>
      <w:pPr>
        <w:spacing w:after="120" w:before="60" w:line="276"/>
        <w:jc w:val="both"/>
      </w:pPr>
      <w:r>
        <w:rPr>
          <w:rFonts w:ascii="Calibri" w:cs="Calibri" w:eastAsia="Calibri" w:hAnsi="Calibri"/>
          <w:b w:val="false"/>
          <w:bCs w:val="false"/>
          <w:color w:val="1A1A1A"/>
          <w:sz w:val="20"/>
          <w:szCs w:val="20"/>
        </w:rPr>
        <w:t xml:space="preserve">A scenario is the unit of work. It binds an asset definition (name, molecule class, route of administration, development stage), an indication, a set of target markets, a launch year, a time horizon in launch-relative years, a reporting currency, and the complete set of assumption overrides that distinguish it from seeded defaults.</w:t>
      </w:r>
    </w:p>
    <w:p>
      <w:pPr>
        <w:spacing w:after="120" w:before="60" w:line="276"/>
        <w:jc w:val="both"/>
      </w:pPr>
      <w:r>
        <w:rPr>
          <w:rFonts w:ascii="Calibri" w:cs="Calibri" w:eastAsia="Calibri" w:hAnsi="Calibri"/>
          <w:b/>
          <w:bCs/>
          <w:color w:val="1A1A1A"/>
          <w:sz w:val="20"/>
          <w:szCs w:val="20"/>
        </w:rPr>
        <w:t xml:space="preserve">Key behaviours.</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Clone-with-override: derive a new scenario from an existing one, inheriting all assumptions, so that variant analysis costs a single action.</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Baseline locking: designate one scenario as the reference against which others are diffed.</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Comparison: render two to four scenarios side by side across all output dimensions.</w:t>
      </w:r>
    </w:p>
    <w:p>
      <w:pPr>
        <w:pStyle w:val="Heading3"/>
        <w:keepNext/>
        <w:spacing w:after="90" w:before="260"/>
      </w:pPr>
      <w:r>
        <w:rPr>
          <w:rFonts w:ascii="Calibri" w:cs="Calibri" w:eastAsia="Calibri" w:hAnsi="Calibri"/>
          <w:b/>
          <w:bCs/>
          <w:color w:val="2E5C8A"/>
          <w:sz w:val="23"/>
          <w:szCs w:val="23"/>
        </w:rPr>
        <w:t xml:space="preserve">M2 — Population Funnel Engine</w:t>
      </w:r>
    </w:p>
    <w:p>
      <w:pPr>
        <w:spacing w:after="120" w:before="60" w:line="276"/>
        <w:jc w:val="both"/>
      </w:pPr>
      <w:r>
        <w:rPr>
          <w:rFonts w:ascii="Calibri" w:cs="Calibri" w:eastAsia="Calibri" w:hAnsi="Calibri"/>
          <w:b/>
          <w:bCs/>
          <w:color w:val="1A1A1A"/>
          <w:sz w:val="20"/>
          <w:szCs w:val="20"/>
        </w:rPr>
        <w:t xml:space="preserve">Responsibility.</w:t>
      </w:r>
      <w:r>
        <w:rPr>
          <w:rFonts w:ascii="Calibri" w:cs="Calibri" w:eastAsia="Calibri" w:hAnsi="Calibri"/>
          <w:b w:val="false"/>
          <w:bCs w:val="false"/>
          <w:color w:val="1A1A1A"/>
          <w:sz w:val="20"/>
          <w:szCs w:val="20"/>
        </w:rPr>
        <w:t xml:space="preserve"> Derive the addressable patient population for each country and each launch-relative year through an ordered, auditable sequence of stages.</w:t>
      </w:r>
    </w:p>
    <w:p>
      <w:pPr>
        <w:spacing w:after="120" w:before="60" w:line="276"/>
        <w:jc w:val="both"/>
      </w:pPr>
      <w:r>
        <w:rPr>
          <w:rFonts w:ascii="Calibri" w:cs="Calibri" w:eastAsia="Calibri" w:hAnsi="Calibri"/>
          <w:b w:val="false"/>
          <w:bCs w:val="false"/>
          <w:color w:val="1A1A1A"/>
          <w:sz w:val="20"/>
          <w:szCs w:val="20"/>
        </w:rPr>
        <w:t xml:space="preserve">The funnel is the canonical structure of the system. Each stage is a named quantity produced by applying one factor to the preceding stage, and each factor carries its own value, source, vintage and confidence tier. The funnel is never collapsed into a single pre-computed "eligible population" figure, because the visibility of intermediate stages is what makes the estimate defensible.</w:t>
      </w:r>
    </w:p>
    <w:p>
      <w:pPr>
        <w:spacing w:after="120" w:before="60" w:line="276"/>
        <w:jc w:val="both"/>
      </w:pPr>
      <w:r>
        <w:rPr>
          <w:rFonts w:ascii="Calibri" w:cs="Calibri" w:eastAsia="Calibri" w:hAnsi="Calibri"/>
          <w:b/>
          <w:bCs/>
          <w:color w:val="1A1A1A"/>
          <w:sz w:val="20"/>
          <w:szCs w:val="20"/>
        </w:rPr>
        <w:t xml:space="preserve">Stages.</w:t>
      </w:r>
      <w:r>
        <w:rPr>
          <w:rFonts w:ascii="Calibri" w:cs="Calibri" w:eastAsia="Calibri" w:hAnsi="Calibri"/>
          <w:b w:val="false"/>
          <w:bCs w:val="false"/>
          <w:color w:val="1A1A1A"/>
          <w:sz w:val="20"/>
          <w:szCs w:val="20"/>
        </w:rPr>
        <w:t xml:space="preserve"> Total population → adult population → diseased population → diagnosed → treated → label-eligible → access-adjusted addressable.</w:t>
      </w:r>
    </w:p>
    <w:p>
      <w:pPr>
        <w:pStyle w:val="Heading3"/>
        <w:keepNext/>
        <w:spacing w:after="90" w:before="260"/>
      </w:pPr>
      <w:r>
        <w:rPr>
          <w:rFonts w:ascii="Calibri" w:cs="Calibri" w:eastAsia="Calibri" w:hAnsi="Calibri"/>
          <w:b/>
          <w:bCs/>
          <w:color w:val="2E5C8A"/>
          <w:sz w:val="23"/>
          <w:szCs w:val="23"/>
        </w:rPr>
        <w:t xml:space="preserve">M3 — Eligibility and Segmentation</w:t>
      </w:r>
    </w:p>
    <w:p>
      <w:pPr>
        <w:spacing w:after="120" w:before="60" w:line="276"/>
        <w:jc w:val="both"/>
      </w:pPr>
      <w:r>
        <w:rPr>
          <w:rFonts w:ascii="Calibri" w:cs="Calibri" w:eastAsia="Calibri" w:hAnsi="Calibri"/>
          <w:b/>
          <w:bCs/>
          <w:color w:val="1A1A1A"/>
          <w:sz w:val="20"/>
          <w:szCs w:val="20"/>
        </w:rPr>
        <w:t xml:space="preserve">Responsibility.</w:t>
      </w:r>
      <w:r>
        <w:rPr>
          <w:rFonts w:ascii="Calibri" w:cs="Calibri" w:eastAsia="Calibri" w:hAnsi="Calibri"/>
          <w:b w:val="false"/>
          <w:bCs w:val="false"/>
          <w:color w:val="1A1A1A"/>
          <w:sz w:val="20"/>
          <w:szCs w:val="20"/>
        </w:rPr>
        <w:t xml:space="preserve"> Model the narrowing effect of label criteria and clinical positioning.</w:t>
      </w:r>
    </w:p>
    <w:p>
      <w:pPr>
        <w:spacing w:after="120" w:before="60" w:line="276"/>
        <w:jc w:val="both"/>
      </w:pPr>
      <w:r>
        <w:rPr>
          <w:rFonts w:ascii="Calibri" w:cs="Calibri" w:eastAsia="Calibri" w:hAnsi="Calibri"/>
          <w:b w:val="false"/>
          <w:bCs w:val="false"/>
          <w:color w:val="1A1A1A"/>
          <w:sz w:val="20"/>
          <w:szCs w:val="20"/>
        </w:rPr>
        <w:t xml:space="preserve">Eligibility criteria are composed as an ordered stack of multiplicative factors applied at the label-eligible stage. Each criterion is independently toggleable and independently overridable, so the difference between a broad and a narrow label is a visible, quantified step rather than an opaque adjustment.</w:t>
      </w:r>
    </w:p>
    <w:p>
      <w:pPr>
        <w:spacing w:after="120" w:before="60" w:line="276"/>
        <w:jc w:val="both"/>
      </w:pPr>
      <w:r>
        <w:rPr>
          <w:rFonts w:ascii="Calibri" w:cs="Calibri" w:eastAsia="Calibri" w:hAnsi="Calibri"/>
          <w:b w:val="false"/>
          <w:bCs w:val="false"/>
          <w:color w:val="1A1A1A"/>
          <w:sz w:val="20"/>
          <w:szCs w:val="20"/>
        </w:rPr>
        <w:t xml:space="preserve">Supported criterion types: body mass index threshold, comorbidity requirement, glycated haemoglobin threshold, age band, line of therapy, prior therapy failure, and contraindication exclusion.</w:t>
      </w:r>
    </w:p>
    <w:p>
      <w:pPr>
        <w:spacing w:after="120" w:before="60" w:line="276"/>
        <w:jc w:val="both"/>
      </w:pPr>
      <w:r>
        <w:rPr>
          <w:rFonts w:ascii="Calibri" w:cs="Calibri" w:eastAsia="Calibri" w:hAnsi="Calibri"/>
          <w:b w:val="false"/>
          <w:bCs w:val="false"/>
          <w:color w:val="1A1A1A"/>
          <w:sz w:val="20"/>
          <w:szCs w:val="20"/>
        </w:rPr>
        <w:t xml:space="preserve">Criteria are assumed conditionally independent. Where correlation is material — for example between BMI ≥ 35 and established cardiovascular disease — a single combined criterion with an empirically derived joint factor must be used instead of two separate criteria. This constraint is documented in the criterion library and enforced by validation warnings.</w:t>
      </w:r>
    </w:p>
    <w:p>
      <w:pPr>
        <w:pStyle w:val="Heading3"/>
        <w:keepNext/>
        <w:spacing w:after="90" w:before="260"/>
      </w:pPr>
      <w:r>
        <w:rPr>
          <w:rFonts w:ascii="Calibri" w:cs="Calibri" w:eastAsia="Calibri" w:hAnsi="Calibri"/>
          <w:b/>
          <w:bCs/>
          <w:color w:val="2E5C8A"/>
          <w:sz w:val="23"/>
          <w:szCs w:val="23"/>
        </w:rPr>
        <w:t xml:space="preserve">M4 — Uptake and Market Mix</w:t>
      </w:r>
    </w:p>
    <w:p>
      <w:pPr>
        <w:spacing w:after="120" w:before="60" w:line="276"/>
        <w:jc w:val="both"/>
      </w:pPr>
      <w:r>
        <w:rPr>
          <w:rFonts w:ascii="Calibri" w:cs="Calibri" w:eastAsia="Calibri" w:hAnsi="Calibri"/>
          <w:b/>
          <w:bCs/>
          <w:color w:val="1A1A1A"/>
          <w:sz w:val="20"/>
          <w:szCs w:val="20"/>
        </w:rPr>
        <w:t xml:space="preserve">Responsibility.</w:t>
      </w:r>
      <w:r>
        <w:rPr>
          <w:rFonts w:ascii="Calibri" w:cs="Calibri" w:eastAsia="Calibri" w:hAnsi="Calibri"/>
          <w:b w:val="false"/>
          <w:bCs w:val="false"/>
          <w:color w:val="1A1A1A"/>
          <w:sz w:val="20"/>
          <w:szCs w:val="20"/>
        </w:rPr>
        <w:t xml:space="preserve"> Project the share of the addressable population receiving the new therapy in each year, and the corresponding displacement of incumbent therapies.</w:t>
      </w:r>
    </w:p>
    <w:p>
      <w:pPr>
        <w:spacing w:after="120" w:before="60" w:line="276"/>
        <w:jc w:val="both"/>
      </w:pPr>
      <w:r>
        <w:rPr>
          <w:rFonts w:ascii="Calibri" w:cs="Calibri" w:eastAsia="Calibri" w:hAnsi="Calibri"/>
          <w:b w:val="false"/>
          <w:bCs w:val="false"/>
          <w:color w:val="1A1A1A"/>
          <w:sz w:val="20"/>
          <w:szCs w:val="20"/>
        </w:rPr>
        <w:t xml:space="preserve">Two coupled concerns. First, the uptake trajectory: how quickly the new therapy penetrates its addressable population. Three curve families are supported — linear ramp, logistic diffusion, and manually specified year vectors. Second, source of business: from which incumbent therapies the new therapy's patients are drawn, expressed as a substitution vector summing to unity across incumbents plus a treatment-naive expansion component.</w:t>
      </w:r>
    </w:p>
    <w:p>
      <w:pPr>
        <w:spacing w:after="120" w:before="60" w:line="276"/>
        <w:jc w:val="both"/>
      </w:pPr>
      <w:r>
        <w:rPr>
          <w:rFonts w:ascii="Calibri" w:cs="Calibri" w:eastAsia="Calibri" w:hAnsi="Calibri"/>
          <w:b w:val="false"/>
          <w:bCs w:val="false"/>
          <w:color w:val="1A1A1A"/>
          <w:sz w:val="20"/>
          <w:szCs w:val="20"/>
        </w:rPr>
        <w:t xml:space="preserve">The distinction matters materially. A patient switching from a high-cost incumbent contributes only the price differential to budget impact; a treatment-naive patient contributes the full cost of therapy. Systems that ignore source of business overstate budget impact substantially.</w:t>
      </w:r>
    </w:p>
    <w:p>
      <w:pPr>
        <w:pStyle w:val="Heading3"/>
        <w:keepNext/>
        <w:spacing w:after="90" w:before="260"/>
      </w:pPr>
      <w:r>
        <w:rPr>
          <w:rFonts w:ascii="Calibri" w:cs="Calibri" w:eastAsia="Calibri" w:hAnsi="Calibri"/>
          <w:b/>
          <w:bCs/>
          <w:color w:val="2E5C8A"/>
          <w:sz w:val="23"/>
          <w:szCs w:val="23"/>
        </w:rPr>
        <w:t xml:space="preserve">M5 — Cost and Pricing Engine</w:t>
      </w:r>
    </w:p>
    <w:p>
      <w:pPr>
        <w:spacing w:after="120" w:before="60" w:line="276"/>
        <w:jc w:val="both"/>
      </w:pPr>
      <w:r>
        <w:rPr>
          <w:rFonts w:ascii="Calibri" w:cs="Calibri" w:eastAsia="Calibri" w:hAnsi="Calibri"/>
          <w:b/>
          <w:bCs/>
          <w:color w:val="1A1A1A"/>
          <w:sz w:val="20"/>
          <w:szCs w:val="20"/>
        </w:rPr>
        <w:t xml:space="preserve">Responsibility.</w:t>
      </w:r>
      <w:r>
        <w:rPr>
          <w:rFonts w:ascii="Calibri" w:cs="Calibri" w:eastAsia="Calibri" w:hAnsi="Calibri"/>
          <w:b w:val="false"/>
          <w:bCs w:val="false"/>
          <w:color w:val="1A1A1A"/>
          <w:sz w:val="20"/>
          <w:szCs w:val="20"/>
        </w:rPr>
        <w:t xml:space="preserve"> Compute the annual per-patient cost of each therapy in each market.</w:t>
      </w:r>
    </w:p>
    <w:p>
      <w:pPr>
        <w:spacing w:after="120" w:before="60" w:line="276"/>
        <w:jc w:val="both"/>
      </w:pPr>
      <w:r>
        <w:rPr>
          <w:rFonts w:ascii="Calibri" w:cs="Calibri" w:eastAsia="Calibri" w:hAnsi="Calibri"/>
          <w:b w:val="false"/>
          <w:bCs w:val="false"/>
          <w:color w:val="1A1A1A"/>
          <w:sz w:val="20"/>
          <w:szCs w:val="20"/>
        </w:rPr>
        <w:t xml:space="preserve">Composes drug acquisition cost from dose, administration schedule, wastage and discount; adds administration, monitoring and adverse-event management costs; subtracts cost offsets from avoided events. Handles cross-market price derivation where no observed local price exists, through purchasing-power-parity-adjusted differential pricing with an explicit and adjustable income elasticity.</w:t>
      </w:r>
    </w:p>
    <w:p>
      <w:pPr>
        <w:pStyle w:val="Heading3"/>
        <w:keepNext/>
        <w:spacing w:after="90" w:before="260"/>
      </w:pPr>
      <w:r>
        <w:rPr>
          <w:rFonts w:ascii="Calibri" w:cs="Calibri" w:eastAsia="Calibri" w:hAnsi="Calibri"/>
          <w:b/>
          <w:bCs/>
          <w:color w:val="2E5C8A"/>
          <w:sz w:val="23"/>
          <w:szCs w:val="23"/>
        </w:rPr>
        <w:t xml:space="preserve">M6 — Persistence and Adherence</w:t>
      </w:r>
    </w:p>
    <w:p>
      <w:pPr>
        <w:spacing w:after="120" w:before="60" w:line="276"/>
        <w:jc w:val="both"/>
      </w:pPr>
      <w:r>
        <w:rPr>
          <w:rFonts w:ascii="Calibri" w:cs="Calibri" w:eastAsia="Calibri" w:hAnsi="Calibri"/>
          <w:b/>
          <w:bCs/>
          <w:color w:val="1A1A1A"/>
          <w:sz w:val="20"/>
          <w:szCs w:val="20"/>
        </w:rPr>
        <w:t xml:space="preserve">Responsibility.</w:t>
      </w:r>
      <w:r>
        <w:rPr>
          <w:rFonts w:ascii="Calibri" w:cs="Calibri" w:eastAsia="Calibri" w:hAnsi="Calibri"/>
          <w:b w:val="false"/>
          <w:bCs w:val="false"/>
          <w:color w:val="1A1A1A"/>
          <w:sz w:val="20"/>
          <w:szCs w:val="20"/>
        </w:rPr>
        <w:t xml:space="preserve"> Adjust patient headcount to treatment-year equivalents.</w:t>
      </w:r>
    </w:p>
    <w:p>
      <w:pPr>
        <w:spacing w:after="120" w:before="60" w:line="276"/>
        <w:jc w:val="both"/>
      </w:pPr>
      <w:r>
        <w:rPr>
          <w:rFonts w:ascii="Calibri" w:cs="Calibri" w:eastAsia="Calibri" w:hAnsi="Calibri"/>
          <w:b w:val="false"/>
          <w:bCs w:val="false"/>
          <w:color w:val="1A1A1A"/>
          <w:sz w:val="20"/>
          <w:szCs w:val="20"/>
        </w:rPr>
        <w:t xml:space="preserve">A patient who discontinues at month five consumes five months of drug, not twelve. In cardiometabolic therapy — and in the incretin class in particular — real-world twelve-month persistence is materially below unity, and the resulting adjustment is frequently the largest single correction applied to a naive estimate. This module converts patient counts into persistence-adjusted patient-years using a closed-form exponential survival integral.</w:t>
      </w:r>
    </w:p>
    <w:p>
      <w:pPr>
        <w:pStyle w:val="Heading3"/>
        <w:keepNext/>
        <w:spacing w:after="90" w:before="260"/>
      </w:pPr>
      <w:r>
        <w:rPr>
          <w:rFonts w:ascii="Calibri" w:cs="Calibri" w:eastAsia="Calibri" w:hAnsi="Calibri"/>
          <w:b/>
          <w:bCs/>
          <w:color w:val="2E5C8A"/>
          <w:sz w:val="23"/>
          <w:szCs w:val="23"/>
        </w:rPr>
        <w:t xml:space="preserve">M7 — Budget Impact Calculator</w:t>
      </w:r>
    </w:p>
    <w:p>
      <w:pPr>
        <w:spacing w:after="120" w:before="60" w:line="276"/>
        <w:jc w:val="both"/>
      </w:pPr>
      <w:r>
        <w:rPr>
          <w:rFonts w:ascii="Calibri" w:cs="Calibri" w:eastAsia="Calibri" w:hAnsi="Calibri"/>
          <w:b/>
          <w:bCs/>
          <w:color w:val="1A1A1A"/>
          <w:sz w:val="20"/>
          <w:szCs w:val="20"/>
        </w:rPr>
        <w:t xml:space="preserve">Responsibility.</w:t>
      </w:r>
      <w:r>
        <w:rPr>
          <w:rFonts w:ascii="Calibri" w:cs="Calibri" w:eastAsia="Calibri" w:hAnsi="Calibri"/>
          <w:b w:val="false"/>
          <w:bCs w:val="false"/>
          <w:color w:val="1A1A1A"/>
          <w:sz w:val="20"/>
          <w:szCs w:val="20"/>
        </w:rPr>
        <w:t xml:space="preserve"> Execute the incremental world-with versus world-without comparison and aggregate results.</w:t>
      </w:r>
    </w:p>
    <w:p>
      <w:pPr>
        <w:spacing w:after="120" w:before="60" w:line="276"/>
        <w:jc w:val="both"/>
      </w:pPr>
      <w:r>
        <w:rPr>
          <w:rFonts w:ascii="Calibri" w:cs="Calibri" w:eastAsia="Calibri" w:hAnsi="Calibri"/>
          <w:b w:val="false"/>
          <w:bCs w:val="false"/>
          <w:color w:val="1A1A1A"/>
          <w:sz w:val="20"/>
          <w:szCs w:val="20"/>
        </w:rPr>
        <w:t xml:space="preserve">Produces, for each country and each launch-relative year: cost of the world without the new therapy, cost of the world with it, incremental budget impact, incremental impact per treated patient, and cumulative impact across the horizon. Aggregates across countries into the reporting currency using the foreign-exchange snapshot bound to the run.</w:t>
      </w:r>
    </w:p>
    <w:p>
      <w:pPr>
        <w:pStyle w:val="Heading3"/>
        <w:keepNext/>
        <w:spacing w:after="90" w:before="260"/>
      </w:pPr>
      <w:r>
        <w:rPr>
          <w:rFonts w:ascii="Calibri" w:cs="Calibri" w:eastAsia="Calibri" w:hAnsi="Calibri"/>
          <w:b/>
          <w:bCs/>
          <w:color w:val="2E5C8A"/>
          <w:sz w:val="23"/>
          <w:szCs w:val="23"/>
        </w:rPr>
        <w:t xml:space="preserve">M8 — Affordability and Price Solver</w:t>
      </w:r>
    </w:p>
    <w:p>
      <w:pPr>
        <w:spacing w:after="120" w:before="60" w:line="276"/>
        <w:jc w:val="both"/>
      </w:pPr>
      <w:r>
        <w:rPr>
          <w:rFonts w:ascii="Calibri" w:cs="Calibri" w:eastAsia="Calibri" w:hAnsi="Calibri"/>
          <w:b/>
          <w:bCs/>
          <w:color w:val="1A1A1A"/>
          <w:sz w:val="20"/>
          <w:szCs w:val="20"/>
        </w:rPr>
        <w:t xml:space="preserve">Responsibility.</w:t>
      </w:r>
      <w:r>
        <w:rPr>
          <w:rFonts w:ascii="Calibri" w:cs="Calibri" w:eastAsia="Calibri" w:hAnsi="Calibri"/>
          <w:b w:val="false"/>
          <w:bCs w:val="false"/>
          <w:color w:val="1A1A1A"/>
          <w:sz w:val="20"/>
          <w:szCs w:val="20"/>
        </w:rPr>
        <w:t xml:space="preserve"> Position budget impact against payer capacity, and invert the relationship to solve for price.</w:t>
      </w:r>
    </w:p>
    <w:p>
      <w:pPr>
        <w:spacing w:after="120" w:before="60" w:line="276"/>
        <w:jc w:val="both"/>
      </w:pPr>
      <w:r>
        <w:rPr>
          <w:rFonts w:ascii="Calibri" w:cs="Calibri" w:eastAsia="Calibri" w:hAnsi="Calibri"/>
          <w:b w:val="false"/>
          <w:bCs w:val="false"/>
          <w:color w:val="1A1A1A"/>
          <w:sz w:val="20"/>
          <w:szCs w:val="20"/>
        </w:rPr>
        <w:t xml:space="preserve">Forward direction: express budget impact as a proportion of national current health expenditure, and classify against configurable threshold bands.</w:t>
      </w:r>
    </w:p>
    <w:p>
      <w:pPr>
        <w:spacing w:after="120" w:before="60" w:line="276"/>
        <w:jc w:val="both"/>
      </w:pPr>
      <w:r>
        <w:rPr>
          <w:rFonts w:ascii="Calibri" w:cs="Calibri" w:eastAsia="Calibri" w:hAnsi="Calibri"/>
          <w:b w:val="false"/>
          <w:bCs w:val="false"/>
          <w:color w:val="1A1A1A"/>
          <w:sz w:val="20"/>
          <w:szCs w:val="20"/>
        </w:rPr>
        <w:t xml:space="preserve">Reverse direction: given a target affordability ceiling, return the maximum net annual price per patient that satisfies it. Because budget impact is linear in price when all other parameters are held fixed, the solution is closed-form; a bisection fallback handles configurations containing non-linearities such as tiered discount structures or price floors. Executed across all selected markets, this produces a </w:t>
      </w:r>
      <w:r>
        <w:rPr>
          <w:rFonts w:ascii="Calibri" w:cs="Calibri" w:eastAsia="Calibri" w:hAnsi="Calibri"/>
          <w:b/>
          <w:bCs/>
          <w:color w:val="1A1A1A"/>
          <w:sz w:val="20"/>
          <w:szCs w:val="20"/>
        </w:rPr>
        <w:t xml:space="preserve">price corridor</w:t>
      </w:r>
      <w:r>
        <w:rPr>
          <w:rFonts w:ascii="Calibri" w:cs="Calibri" w:eastAsia="Calibri" w:hAnsi="Calibri"/>
          <w:b w:val="false"/>
          <w:bCs w:val="false"/>
          <w:color w:val="1A1A1A"/>
          <w:sz w:val="20"/>
          <w:szCs w:val="20"/>
        </w:rPr>
        <w:t xml:space="preserve"> — the market-by-market ceiling that a global pricing strategy must respect.</w:t>
      </w:r>
    </w:p>
    <w:p>
      <w:pPr>
        <w:pStyle w:val="Heading3"/>
        <w:keepNext/>
        <w:spacing w:after="90" w:before="260"/>
      </w:pPr>
      <w:r>
        <w:rPr>
          <w:rFonts w:ascii="Calibri" w:cs="Calibri" w:eastAsia="Calibri" w:hAnsi="Calibri"/>
          <w:b/>
          <w:bCs/>
          <w:color w:val="2E5C8A"/>
          <w:sz w:val="23"/>
          <w:szCs w:val="23"/>
        </w:rPr>
        <w:t xml:space="preserve">M9 — Uncertainty and Sensitivity</w:t>
      </w:r>
    </w:p>
    <w:p>
      <w:pPr>
        <w:spacing w:after="120" w:before="60" w:line="276"/>
        <w:jc w:val="both"/>
      </w:pPr>
      <w:r>
        <w:rPr>
          <w:rFonts w:ascii="Calibri" w:cs="Calibri" w:eastAsia="Calibri" w:hAnsi="Calibri"/>
          <w:b/>
          <w:bCs/>
          <w:color w:val="1A1A1A"/>
          <w:sz w:val="20"/>
          <w:szCs w:val="20"/>
        </w:rPr>
        <w:t xml:space="preserve">Responsibility.</w:t>
      </w:r>
      <w:r>
        <w:rPr>
          <w:rFonts w:ascii="Calibri" w:cs="Calibri" w:eastAsia="Calibri" w:hAnsi="Calibri"/>
          <w:b w:val="false"/>
          <w:bCs w:val="false"/>
          <w:color w:val="1A1A1A"/>
          <w:sz w:val="20"/>
          <w:szCs w:val="20"/>
        </w:rPr>
        <w:t xml:space="preserve"> Quantify the confidence interval around the estimate and rank assumptions by influence.</w:t>
      </w:r>
    </w:p>
    <w:p>
      <w:pPr>
        <w:spacing w:after="120" w:before="60" w:line="276"/>
        <w:jc w:val="both"/>
      </w:pPr>
      <w:r>
        <w:rPr>
          <w:rFonts w:ascii="Calibri" w:cs="Calibri" w:eastAsia="Calibri" w:hAnsi="Calibri"/>
          <w:b w:val="false"/>
          <w:bCs w:val="false"/>
          <w:color w:val="1A1A1A"/>
          <w:sz w:val="20"/>
          <w:szCs w:val="20"/>
        </w:rPr>
        <w:t xml:space="preserve">Two complementary analyses. Deterministic one-way sensitivity varies each input across its plausible range while holding all others at base case, producing a tornado diagram ranked by absolute swing. Probabilistic sensitivity analysis samples all uncertain inputs simultaneously from their assigned distributions across several thousand iterations, producing a full distribution of budget impact with credible intervals and threshold-exceedance probabilities.</w:t>
      </w:r>
    </w:p>
    <w:p>
      <w:pPr>
        <w:spacing w:after="120" w:before="60" w:line="276"/>
        <w:jc w:val="both"/>
      </w:pPr>
      <w:r>
        <w:rPr>
          <w:rFonts w:ascii="Calibri" w:cs="Calibri" w:eastAsia="Calibri" w:hAnsi="Calibri"/>
          <w:b w:val="false"/>
          <w:bCs w:val="false"/>
          <w:color w:val="1A1A1A"/>
          <w:sz w:val="20"/>
          <w:szCs w:val="20"/>
        </w:rPr>
        <w:t xml:space="preserve">Prevalence distributions are parameterised directly from published WHO confidence bounds rather than from assumed variation, which makes the uncertainty statement empirically grounded rather than notional.</w:t>
      </w:r>
    </w:p>
    <w:p>
      <w:pPr>
        <w:pStyle w:val="Heading3"/>
        <w:keepNext/>
        <w:spacing w:after="90" w:before="260"/>
      </w:pPr>
      <w:r>
        <w:rPr>
          <w:rFonts w:ascii="Calibri" w:cs="Calibri" w:eastAsia="Calibri" w:hAnsi="Calibri"/>
          <w:b/>
          <w:bCs/>
          <w:color w:val="2E5C8A"/>
          <w:sz w:val="23"/>
          <w:szCs w:val="23"/>
        </w:rPr>
        <w:t xml:space="preserve">M10 — Evidence, Narrative and Export</w:t>
      </w:r>
    </w:p>
    <w:p>
      <w:pPr>
        <w:spacing w:after="120" w:before="60" w:line="276"/>
        <w:jc w:val="both"/>
      </w:pPr>
      <w:r>
        <w:rPr>
          <w:rFonts w:ascii="Calibri" w:cs="Calibri" w:eastAsia="Calibri" w:hAnsi="Calibri"/>
          <w:b/>
          <w:bCs/>
          <w:color w:val="1A1A1A"/>
          <w:sz w:val="20"/>
          <w:szCs w:val="20"/>
        </w:rPr>
        <w:t xml:space="preserve">Responsibility.</w:t>
      </w:r>
      <w:r>
        <w:rPr>
          <w:rFonts w:ascii="Calibri" w:cs="Calibri" w:eastAsia="Calibri" w:hAnsi="Calibri"/>
          <w:b w:val="false"/>
          <w:bCs w:val="false"/>
          <w:color w:val="1A1A1A"/>
          <w:sz w:val="20"/>
          <w:szCs w:val="20"/>
        </w:rPr>
        <w:t xml:space="preserve"> Ground outputs in methodological guidance and produce distributable deliverables.</w:t>
      </w:r>
    </w:p>
    <w:p>
      <w:pPr>
        <w:spacing w:after="120" w:before="60" w:line="276"/>
        <w:jc w:val="both"/>
      </w:pPr>
      <w:r>
        <w:rPr>
          <w:rFonts w:ascii="Calibri" w:cs="Calibri" w:eastAsia="Calibri" w:hAnsi="Calibri"/>
          <w:b w:val="false"/>
          <w:bCs w:val="false"/>
          <w:color w:val="1A1A1A"/>
          <w:sz w:val="20"/>
          <w:szCs w:val="20"/>
        </w:rPr>
        <w:t xml:space="preserve">Retrieval over a vector-indexed corpus of ISPOR, NICE and WHO budget impact guidance supplies cited passages; a language model composes an executive narrative constrained to the computed results and the retrieved passages. Export renders results, the complete assumption register and the citation list to PDF and PowerPoint.</w:t>
      </w:r>
    </w:p>
    <w:p>
      <w:pPr>
        <w:pBdr>
          <w:bottom w:val="single" w:color="C6CFDA" w:sz="4" w:space="2"/>
        </w:pBdr>
        <w:spacing w:after="160" w:before="60"/>
      </w:pPr>
    </w:p>
    <w:p>
      <w:pPr>
        <w:pStyle w:val="Heading2"/>
        <w:keepNext/>
        <w:pBdr>
          <w:bottom w:val="single" w:color="C6CFDA" w:sz="6" w:space="6"/>
        </w:pBdr>
        <w:spacing w:after="140" w:before="360"/>
      </w:pPr>
      <w:r>
        <w:rPr>
          <w:rFonts w:ascii="Calibri" w:cs="Calibri" w:eastAsia="Calibri" w:hAnsi="Calibri"/>
          <w:b/>
          <w:bCs/>
          <w:color w:val="1F3864"/>
          <w:sz w:val="28"/>
          <w:szCs w:val="28"/>
        </w:rPr>
        <w:t xml:space="preserve">5. Calculation Engine Specification</w:t>
      </w:r>
    </w:p>
    <w:p>
      <w:pPr>
        <w:pStyle w:val="Heading3"/>
        <w:keepNext/>
        <w:spacing w:after="90" w:before="260"/>
      </w:pPr>
      <w:r>
        <w:rPr>
          <w:rFonts w:ascii="Calibri" w:cs="Calibri" w:eastAsia="Calibri" w:hAnsi="Calibri"/>
          <w:b/>
          <w:bCs/>
          <w:color w:val="2E5C8A"/>
          <w:sz w:val="23"/>
          <w:szCs w:val="23"/>
        </w:rPr>
        <w:t xml:space="preserve">5.1 Notation</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2638"/>
        <w:gridCol w:w="7252"/>
      </w:tblGrid>
      <w:tr>
        <w:trPr>
          <w:tblHeader/>
        </w:trPr>
        <w:tc>
          <w:tcPr>
            <w:tcW w:type="dxa" w:w="2638"/>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Symbol</w:t>
            </w:r>
          </w:p>
        </w:tc>
        <w:tc>
          <w:tcPr>
            <w:tcW w:type="dxa" w:w="7252"/>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Meaning</w:t>
            </w:r>
          </w:p>
        </w:tc>
      </w:tr>
      <w:tr>
        <w:tc>
          <w:tcPr>
            <w:tcW w:type="dxa" w:w="2638"/>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c</w:t>
            </w:r>
          </w:p>
        </w:tc>
        <w:tc>
          <w:tcPr>
            <w:tcW w:type="dxa" w:w="725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Country index</w:t>
            </w:r>
          </w:p>
        </w:tc>
      </w:tr>
      <w:tr>
        <w:tc>
          <w:tcPr>
            <w:tcW w:type="dxa" w:w="2638"/>
            <w:shd w:fill="F2F5F9" w:color="auto" w:val="clear"/>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y</w:t>
            </w:r>
          </w:p>
        </w:tc>
        <w:tc>
          <w:tcPr>
            <w:tcW w:type="dxa" w:w="7252"/>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Launch-relative year, </w:t>
            </w:r>
            <w:r>
              <w:rPr>
                <w:rFonts w:ascii="Consolas" w:cs="Consolas" w:eastAsia="Consolas" w:hAnsi="Consolas"/>
                <w:b w:val="false"/>
                <w:bCs w:val="false"/>
                <w:color w:val="8A2E2E"/>
                <w:sz w:val="15"/>
                <w:szCs w:val="15"/>
                <w:shd w:fill="F1F1F1" w:color="auto" w:val="clear"/>
              </w:rPr>
              <w:t xml:space="preserve">y ∈ {1 … N}</w:t>
            </w:r>
            <w:r>
              <w:rPr>
                <w:rFonts w:ascii="Calibri" w:cs="Calibri" w:eastAsia="Calibri" w:hAnsi="Calibri"/>
                <w:b w:val="false"/>
                <w:bCs w:val="false"/>
                <w:color w:val="1A1A1A"/>
                <w:sz w:val="18"/>
                <w:szCs w:val="18"/>
              </w:rPr>
              <w:t xml:space="preserve">, where </w:t>
            </w:r>
            <w:r>
              <w:rPr>
                <w:rFonts w:ascii="Consolas" w:cs="Consolas" w:eastAsia="Consolas" w:hAnsi="Consolas"/>
                <w:b w:val="false"/>
                <w:bCs w:val="false"/>
                <w:color w:val="8A2E2E"/>
                <w:sz w:val="15"/>
                <w:szCs w:val="15"/>
                <w:shd w:fill="F1F1F1" w:color="auto" w:val="clear"/>
              </w:rPr>
              <w:t xml:space="preserve">y = 1</w:t>
            </w:r>
            <w:r>
              <w:rPr>
                <w:rFonts w:ascii="Calibri" w:cs="Calibri" w:eastAsia="Calibri" w:hAnsi="Calibri"/>
                <w:b w:val="false"/>
                <w:bCs w:val="false"/>
                <w:color w:val="1A1A1A"/>
                <w:sz w:val="18"/>
                <w:szCs w:val="18"/>
              </w:rPr>
              <w:t xml:space="preserve"> is the launch year</w:t>
            </w:r>
          </w:p>
        </w:tc>
      </w:tr>
      <w:tr>
        <w:tc>
          <w:tcPr>
            <w:tcW w:type="dxa" w:w="2638"/>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N</w:t>
            </w:r>
          </w:p>
        </w:tc>
        <w:tc>
          <w:tcPr>
            <w:tcW w:type="dxa" w:w="725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Time horizon in years, default 3, permitted range 1–5</w:t>
            </w:r>
          </w:p>
        </w:tc>
      </w:tr>
      <w:tr>
        <w:tc>
          <w:tcPr>
            <w:tcW w:type="dxa" w:w="2638"/>
            <w:shd w:fill="F2F5F9" w:color="auto" w:val="clear"/>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t</w:t>
            </w:r>
          </w:p>
        </w:tc>
        <w:tc>
          <w:tcPr>
            <w:tcW w:type="dxa" w:w="7252"/>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Therapy index within the comparator set</w:t>
            </w:r>
          </w:p>
        </w:tc>
      </w:tr>
      <w:tr>
        <w:tc>
          <w:tcPr>
            <w:tcW w:type="dxa" w:w="2638"/>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n</w:t>
            </w:r>
          </w:p>
        </w:tc>
        <w:tc>
          <w:tcPr>
            <w:tcW w:type="dxa" w:w="725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The new therapy under evaluation</w:t>
            </w:r>
          </w:p>
        </w:tc>
      </w:tr>
    </w:tbl>
    <w:p>
      <w:pPr>
        <w:spacing w:after="160"/>
      </w:pPr>
    </w:p>
    <w:p>
      <w:pPr>
        <w:spacing w:after="120" w:before="60" w:line="276"/>
        <w:jc w:val="both"/>
      </w:pPr>
      <w:r>
        <w:rPr>
          <w:rFonts w:ascii="Calibri" w:cs="Calibri" w:eastAsia="Calibri" w:hAnsi="Calibri"/>
          <w:b/>
          <w:bCs/>
          <w:color w:val="1A1A1A"/>
          <w:sz w:val="20"/>
          <w:szCs w:val="20"/>
        </w:rPr>
        <w:t xml:space="preserve">Year convention.</w:t>
      </w:r>
      <w:r>
        <w:rPr>
          <w:rFonts w:ascii="Calibri" w:cs="Calibri" w:eastAsia="Calibri" w:hAnsi="Calibri"/>
          <w:b w:val="false"/>
          <w:bCs w:val="false"/>
          <w:color w:val="1A1A1A"/>
          <w:sz w:val="20"/>
          <w:szCs w:val="20"/>
        </w:rPr>
        <w:t xml:space="preserve"> All time indices are launch-relative. Year 1 is the launch year; calendar year is derived as </w:t>
      </w:r>
      <w:r>
        <w:rPr>
          <w:rFonts w:ascii="Consolas" w:cs="Consolas" w:eastAsia="Consolas" w:hAnsi="Consolas"/>
          <w:b w:val="false"/>
          <w:bCs w:val="false"/>
          <w:color w:val="8A2E2E"/>
          <w:sz w:val="17"/>
          <w:szCs w:val="17"/>
          <w:shd w:fill="F1F1F1" w:color="auto" w:val="clear"/>
        </w:rPr>
        <w:t xml:space="preserve">launch_year + y - 1</w:t>
      </w:r>
      <w:r>
        <w:rPr>
          <w:rFonts w:ascii="Calibri" w:cs="Calibri" w:eastAsia="Calibri" w:hAnsi="Calibri"/>
          <w:b w:val="false"/>
          <w:bCs w:val="false"/>
          <w:color w:val="1A1A1A"/>
          <w:sz w:val="20"/>
          <w:szCs w:val="20"/>
        </w:rPr>
        <w:t xml:space="preserve"> for display and for indexing time-varying reference data. Launch-relative indexing is used because pre-launch assets have uncertain launch dates, and uptake trajectories are defined relative to market entry rather than to the calendar.</w:t>
      </w:r>
    </w:p>
    <w:p>
      <w:pPr>
        <w:pStyle w:val="Heading3"/>
        <w:keepNext/>
        <w:spacing w:after="90" w:before="260"/>
      </w:pPr>
      <w:r>
        <w:rPr>
          <w:rFonts w:ascii="Calibri" w:cs="Calibri" w:eastAsia="Calibri" w:hAnsi="Calibri"/>
          <w:b/>
          <w:bCs/>
          <w:color w:val="2E5C8A"/>
          <w:sz w:val="23"/>
          <w:szCs w:val="23"/>
        </w:rPr>
        <w:t xml:space="preserve">5.2 Module M2 — Population Funnel</w:t>
      </w:r>
    </w:p>
    <w:p>
      <w:pPr>
        <w:pBdr>
          <w:left w:val="single" w:color="2E5C8A" w:sz="12" w:space="8"/>
          <w:right w:val="single" w:color="D3DAE3" w:sz="2" w:space="4"/>
        </w:pBdr>
        <w:shd w:fill="F4F6F8" w:color="auto" w:val="clear"/>
        <w:spacing w:after="0" w:before="100" w:line="220"/>
        <w:ind w:left="120"/>
      </w:pPr>
      <w:r>
        <w:rPr>
          <w:rFonts w:ascii="Consolas" w:cs="Consolas" w:eastAsia="Consolas" w:hAnsi="Consolas"/>
          <w:color w:val="24292E"/>
          <w:sz w:val="15"/>
          <w:szCs w:val="15"/>
        </w:rPr>
        <w:t xml:space="preserve">Pop(c,y)        = population_total(c) × (1 + pop_growth(c))^(y-1)</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Adult(c,y)      = Pop(c,y) × adult_share(c)</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Diseased(c,y)   = Adult(c,y) × prevalence(c, indication)</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Diagnosed(c,y)  = Diseased(c,y) × diagnosis_rate(c, indication)</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Treated(c,y)    = Diagnosed(c,y) × treatment_rate(c, indication)</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Eligible(c,y)   = Treated(c,y) × Π(k ∈ K) criterion_factor(k)</w:t>
      </w:r>
    </w:p>
    <w:p>
      <w:pPr>
        <w:pBdr>
          <w:left w:val="single" w:color="2E5C8A" w:sz="12" w:space="8"/>
          <w:right w:val="single" w:color="D3DAE3" w:sz="2" w:space="4"/>
        </w:pBdr>
        <w:shd w:fill="F4F6F8" w:color="auto" w:val="clear"/>
        <w:spacing w:after="140" w:before="0" w:line="220"/>
        <w:ind w:left="120"/>
      </w:pPr>
      <w:r>
        <w:rPr>
          <w:rFonts w:ascii="Consolas" w:cs="Consolas" w:eastAsia="Consolas" w:hAnsi="Consolas"/>
          <w:color w:val="24292E"/>
          <w:sz w:val="15"/>
          <w:szCs w:val="15"/>
        </w:rPr>
        <w:t xml:space="preserve">Addressable(c,y)= Eligible(c,y) × access_rate(c)</w:t>
      </w:r>
    </w:p>
    <w:p>
      <w:pPr>
        <w:spacing w:after="120" w:before="60" w:line="276"/>
        <w:jc w:val="both"/>
      </w:pPr>
      <w:r>
        <w:rPr>
          <w:rFonts w:ascii="Calibri" w:cs="Calibri" w:eastAsia="Calibri" w:hAnsi="Calibri"/>
          <w:b w:val="false"/>
          <w:bCs w:val="false"/>
          <w:color w:val="1A1A1A"/>
          <w:sz w:val="20"/>
          <w:szCs w:val="20"/>
        </w:rPr>
        <w:t xml:space="preserve">Where </w:t>
      </w:r>
      <w:r>
        <w:rPr>
          <w:rFonts w:ascii="Consolas" w:cs="Consolas" w:eastAsia="Consolas" w:hAnsi="Consolas"/>
          <w:b w:val="false"/>
          <w:bCs w:val="false"/>
          <w:color w:val="8A2E2E"/>
          <w:sz w:val="17"/>
          <w:szCs w:val="17"/>
          <w:shd w:fill="F1F1F1" w:color="auto" w:val="clear"/>
        </w:rPr>
        <w:t xml:space="preserve">K</w:t>
      </w:r>
      <w:r>
        <w:rPr>
          <w:rFonts w:ascii="Calibri" w:cs="Calibri" w:eastAsia="Calibri" w:hAnsi="Calibri"/>
          <w:b w:val="false"/>
          <w:bCs w:val="false"/>
          <w:color w:val="1A1A1A"/>
          <w:sz w:val="20"/>
          <w:szCs w:val="20"/>
        </w:rPr>
        <w:t xml:space="preserve"> is the set of enabled eligibility criteria from M3.</w:t>
      </w:r>
    </w:p>
    <w:p>
      <w:pPr>
        <w:spacing w:after="120" w:before="60" w:line="276"/>
        <w:jc w:val="both"/>
      </w:pPr>
      <w:r>
        <w:rPr>
          <w:rFonts w:ascii="Calibri" w:cs="Calibri" w:eastAsia="Calibri" w:hAnsi="Calibri"/>
          <w:b/>
          <w:bCs/>
          <w:color w:val="1A1A1A"/>
          <w:sz w:val="20"/>
          <w:szCs w:val="20"/>
        </w:rPr>
        <w:t xml:space="preserve">Denominator alignment constraint.</w:t>
      </w:r>
      <w:r>
        <w:rPr>
          <w:rFonts w:ascii="Calibri" w:cs="Calibri" w:eastAsia="Calibri" w:hAnsi="Calibri"/>
          <w:b w:val="false"/>
          <w:bCs w:val="false"/>
          <w:color w:val="1A1A1A"/>
          <w:sz w:val="20"/>
          <w:szCs w:val="20"/>
        </w:rPr>
        <w:t xml:space="preserve"> WHO prevalence indicators </w:t>
      </w:r>
      <w:r>
        <w:rPr>
          <w:rFonts w:ascii="Consolas" w:cs="Consolas" w:eastAsia="Consolas" w:hAnsi="Consolas"/>
          <w:b w:val="false"/>
          <w:bCs w:val="false"/>
          <w:color w:val="8A2E2E"/>
          <w:sz w:val="17"/>
          <w:szCs w:val="17"/>
          <w:shd w:fill="F1F1F1" w:color="auto" w:val="clear"/>
        </w:rPr>
        <w:t xml:space="preserve">NCD_BMI_30A</w:t>
      </w:r>
      <w:r>
        <w:rPr>
          <w:rFonts w:ascii="Calibri" w:cs="Calibri" w:eastAsia="Calibri" w:hAnsi="Calibri"/>
          <w:b w:val="false"/>
          <w:bCs w:val="false"/>
          <w:color w:val="1A1A1A"/>
          <w:sz w:val="20"/>
          <w:szCs w:val="20"/>
        </w:rPr>
        <w:t xml:space="preserve"> (obesity) and </w:t>
      </w:r>
      <w:r>
        <w:rPr>
          <w:rFonts w:ascii="Consolas" w:cs="Consolas" w:eastAsia="Consolas" w:hAnsi="Consolas"/>
          <w:b w:val="false"/>
          <w:bCs w:val="false"/>
          <w:color w:val="8A2E2E"/>
          <w:sz w:val="17"/>
          <w:szCs w:val="17"/>
          <w:shd w:fill="F1F1F1" w:color="auto" w:val="clear"/>
        </w:rPr>
        <w:t xml:space="preserve">NCD_GLUC_04</w:t>
      </w:r>
      <w:r>
        <w:rPr>
          <w:rFonts w:ascii="Calibri" w:cs="Calibri" w:eastAsia="Calibri" w:hAnsi="Calibri"/>
          <w:b w:val="false"/>
          <w:bCs w:val="false"/>
          <w:color w:val="1A1A1A"/>
          <w:sz w:val="20"/>
          <w:szCs w:val="20"/>
        </w:rPr>
        <w:t xml:space="preserve"> (diabetes) are published for the adult population aged 18 and over. World Bank indicator </w:t>
      </w:r>
      <w:r>
        <w:rPr>
          <w:rFonts w:ascii="Consolas" w:cs="Consolas" w:eastAsia="Consolas" w:hAnsi="Consolas"/>
          <w:b w:val="false"/>
          <w:bCs w:val="false"/>
          <w:color w:val="8A2E2E"/>
          <w:sz w:val="17"/>
          <w:szCs w:val="17"/>
          <w:shd w:fill="F1F1F1" w:color="auto" w:val="clear"/>
        </w:rPr>
        <w:t xml:space="preserve">SP.POP.TOTL</w:t>
      </w:r>
      <w:r>
        <w:rPr>
          <w:rFonts w:ascii="Calibri" w:cs="Calibri" w:eastAsia="Calibri" w:hAnsi="Calibri"/>
          <w:b w:val="false"/>
          <w:bCs w:val="false"/>
          <w:color w:val="1A1A1A"/>
          <w:sz w:val="20"/>
          <w:szCs w:val="20"/>
        </w:rPr>
        <w:t xml:space="preserve"> reports total population across all ages. Applying an adult prevalence rate to a total population denominator inflates the diseased population by the paediatric share — approximately 22 percent in high-income markets and approximately 35 percent in India. The </w:t>
      </w:r>
      <w:r>
        <w:rPr>
          <w:rFonts w:ascii="Consolas" w:cs="Consolas" w:eastAsia="Consolas" w:hAnsi="Consolas"/>
          <w:b w:val="false"/>
          <w:bCs w:val="false"/>
          <w:color w:val="8A2E2E"/>
          <w:sz w:val="17"/>
          <w:szCs w:val="17"/>
          <w:shd w:fill="F1F1F1" w:color="auto" w:val="clear"/>
        </w:rPr>
        <w:t xml:space="preserve">adult_share(c)</w:t>
      </w:r>
      <w:r>
        <w:rPr>
          <w:rFonts w:ascii="Calibri" w:cs="Calibri" w:eastAsia="Calibri" w:hAnsi="Calibri"/>
          <w:b w:val="false"/>
          <w:bCs w:val="false"/>
          <w:color w:val="1A1A1A"/>
          <w:sz w:val="20"/>
          <w:szCs w:val="20"/>
        </w:rPr>
        <w:t xml:space="preserve"> factor is therefore mandatory and is derived as </w:t>
      </w:r>
      <w:r>
        <w:rPr>
          <w:rFonts w:ascii="Consolas" w:cs="Consolas" w:eastAsia="Consolas" w:hAnsi="Consolas"/>
          <w:b w:val="false"/>
          <w:bCs w:val="false"/>
          <w:color w:val="8A2E2E"/>
          <w:sz w:val="17"/>
          <w:szCs w:val="17"/>
          <w:shd w:fill="F1F1F1" w:color="auto" w:val="clear"/>
        </w:rPr>
        <w:t xml:space="preserve">1 - SP.POP.0014.TO.ZS / 100</w:t>
      </w:r>
      <w:r>
        <w:rPr>
          <w:rFonts w:ascii="Calibri" w:cs="Calibri" w:eastAsia="Calibri" w:hAnsi="Calibri"/>
          <w:b w:val="false"/>
          <w:bCs w:val="false"/>
          <w:color w:val="1A1A1A"/>
          <w:sz w:val="20"/>
          <w:szCs w:val="20"/>
        </w:rPr>
        <w:t xml:space="preserve">.</w:t>
      </w:r>
    </w:p>
    <w:p>
      <w:pPr>
        <w:spacing w:after="120" w:before="60" w:line="276"/>
        <w:jc w:val="both"/>
      </w:pPr>
      <w:r>
        <w:rPr>
          <w:rFonts w:ascii="Calibri" w:cs="Calibri" w:eastAsia="Calibri" w:hAnsi="Calibri"/>
          <w:b/>
          <w:bCs/>
          <w:color w:val="1A1A1A"/>
          <w:sz w:val="20"/>
          <w:szCs w:val="20"/>
        </w:rPr>
        <w:t xml:space="preserve">Access rate.</w:t>
      </w:r>
      <w:r>
        <w:rPr>
          <w:rFonts w:ascii="Calibri" w:cs="Calibri" w:eastAsia="Calibri" w:hAnsi="Calibri"/>
          <w:b w:val="false"/>
          <w:bCs w:val="false"/>
          <w:color w:val="1A1A1A"/>
          <w:sz w:val="20"/>
          <w:szCs w:val="20"/>
        </w:rPr>
        <w:t xml:space="preserve"> Represents the proportion of label-eligible patients with reimbursed access under the assumed formulary position. It is distinct from uptake: access defines who </w:t>
      </w:r>
      <w:r>
        <w:rPr>
          <w:rFonts w:ascii="Calibri" w:cs="Calibri" w:eastAsia="Calibri" w:hAnsi="Calibri"/>
          <w:b w:val="false"/>
          <w:bCs w:val="false"/>
          <w:i/>
          <w:iCs/>
          <w:color w:val="1A1A1A"/>
          <w:sz w:val="20"/>
          <w:szCs w:val="20"/>
        </w:rPr>
        <w:t xml:space="preserve">may</w:t>
      </w:r>
      <w:r>
        <w:rPr>
          <w:rFonts w:ascii="Calibri" w:cs="Calibri" w:eastAsia="Calibri" w:hAnsi="Calibri"/>
          <w:b w:val="false"/>
          <w:bCs w:val="false"/>
          <w:color w:val="1A1A1A"/>
          <w:sz w:val="20"/>
          <w:szCs w:val="20"/>
        </w:rPr>
        <w:t xml:space="preserve"> receive the therapy, uptake defines what proportion of those actually do.</w:t>
      </w:r>
    </w:p>
    <w:p>
      <w:pPr>
        <w:pStyle w:val="Heading3"/>
        <w:keepNext/>
        <w:spacing w:after="90" w:before="260"/>
      </w:pPr>
      <w:r>
        <w:rPr>
          <w:rFonts w:ascii="Calibri" w:cs="Calibri" w:eastAsia="Calibri" w:hAnsi="Calibri"/>
          <w:b/>
          <w:bCs/>
          <w:color w:val="2E5C8A"/>
          <w:sz w:val="23"/>
          <w:szCs w:val="23"/>
        </w:rPr>
        <w:t xml:space="preserve">5.3 Module M4 — Uptake Trajectory</w:t>
      </w:r>
    </w:p>
    <w:p>
      <w:pPr>
        <w:spacing w:after="120" w:before="60" w:line="276"/>
        <w:jc w:val="both"/>
      </w:pPr>
      <w:r>
        <w:rPr>
          <w:rFonts w:ascii="Calibri" w:cs="Calibri" w:eastAsia="Calibri" w:hAnsi="Calibri"/>
          <w:b/>
          <w:bCs/>
          <w:color w:val="1A1A1A"/>
          <w:sz w:val="20"/>
          <w:szCs w:val="20"/>
        </w:rPr>
        <w:t xml:space="preserve">Linear ramp.</w:t>
      </w:r>
    </w:p>
    <w:p>
      <w:pPr>
        <w:pBdr>
          <w:left w:val="single" w:color="2E5C8A" w:sz="12" w:space="8"/>
          <w:right w:val="single" w:color="D3DAE3" w:sz="2" w:space="4"/>
        </w:pBdr>
        <w:shd w:fill="F4F6F8" w:color="auto" w:val="clear"/>
        <w:spacing w:after="140" w:before="100" w:line="220"/>
        <w:ind w:left="120"/>
      </w:pPr>
      <w:r>
        <w:rPr>
          <w:rFonts w:ascii="Consolas" w:cs="Consolas" w:eastAsia="Consolas" w:hAnsi="Consolas"/>
          <w:color w:val="24292E"/>
          <w:sz w:val="15"/>
          <w:szCs w:val="15"/>
        </w:rPr>
        <w:t xml:space="preserve">u(y) = u₁ + (u_N - u₁) × (y - 1) / max(1, N - 1)</w:t>
      </w:r>
    </w:p>
    <w:p>
      <w:pPr>
        <w:spacing w:after="120" w:before="60" w:line="276"/>
        <w:jc w:val="both"/>
      </w:pPr>
      <w:r>
        <w:rPr>
          <w:rFonts w:ascii="Calibri" w:cs="Calibri" w:eastAsia="Calibri" w:hAnsi="Calibri"/>
          <w:b/>
          <w:bCs/>
          <w:color w:val="1A1A1A"/>
          <w:sz w:val="20"/>
          <w:szCs w:val="20"/>
        </w:rPr>
        <w:t xml:space="preserve">Logistic diffusion.</w:t>
      </w:r>
    </w:p>
    <w:p>
      <w:pPr>
        <w:pBdr>
          <w:left w:val="single" w:color="2E5C8A" w:sz="12" w:space="8"/>
          <w:right w:val="single" w:color="D3DAE3" w:sz="2" w:space="4"/>
        </w:pBdr>
        <w:shd w:fill="F4F6F8" w:color="auto" w:val="clear"/>
        <w:spacing w:after="140" w:before="100" w:line="220"/>
        <w:ind w:left="120"/>
      </w:pPr>
      <w:r>
        <w:rPr>
          <w:rFonts w:ascii="Consolas" w:cs="Consolas" w:eastAsia="Consolas" w:hAnsi="Consolas"/>
          <w:color w:val="24292E"/>
          <w:sz w:val="15"/>
          <w:szCs w:val="15"/>
        </w:rPr>
        <w:t xml:space="preserve">u(y) = u_max / (1 + exp(-k × (y - y_mid)))</w:t>
      </w:r>
    </w:p>
    <w:p>
      <w:pPr>
        <w:spacing w:after="120" w:before="60" w:line="276"/>
        <w:jc w:val="both"/>
      </w:pPr>
      <w:r>
        <w:rPr>
          <w:rFonts w:ascii="Calibri" w:cs="Calibri" w:eastAsia="Calibri" w:hAnsi="Calibri"/>
          <w:b w:val="false"/>
          <w:bCs w:val="false"/>
          <w:color w:val="1A1A1A"/>
          <w:sz w:val="20"/>
          <w:szCs w:val="20"/>
        </w:rPr>
        <w:t xml:space="preserve">where </w:t>
      </w:r>
      <w:r>
        <w:rPr>
          <w:rFonts w:ascii="Consolas" w:cs="Consolas" w:eastAsia="Consolas" w:hAnsi="Consolas"/>
          <w:b w:val="false"/>
          <w:bCs w:val="false"/>
          <w:color w:val="8A2E2E"/>
          <w:sz w:val="17"/>
          <w:szCs w:val="17"/>
          <w:shd w:fill="F1F1F1" w:color="auto" w:val="clear"/>
        </w:rPr>
        <w:t xml:space="preserve">u_max</w:t>
      </w:r>
      <w:r>
        <w:rPr>
          <w:rFonts w:ascii="Calibri" w:cs="Calibri" w:eastAsia="Calibri" w:hAnsi="Calibri"/>
          <w:b w:val="false"/>
          <w:bCs w:val="false"/>
          <w:color w:val="1A1A1A"/>
          <w:sz w:val="20"/>
          <w:szCs w:val="20"/>
        </w:rPr>
        <w:t xml:space="preserve"> is the plateau share, </w:t>
      </w:r>
      <w:r>
        <w:rPr>
          <w:rFonts w:ascii="Consolas" w:cs="Consolas" w:eastAsia="Consolas" w:hAnsi="Consolas"/>
          <w:b w:val="false"/>
          <w:bCs w:val="false"/>
          <w:color w:val="8A2E2E"/>
          <w:sz w:val="17"/>
          <w:szCs w:val="17"/>
          <w:shd w:fill="F1F1F1" w:color="auto" w:val="clear"/>
        </w:rPr>
        <w:t xml:space="preserve">k</w:t>
      </w:r>
      <w:r>
        <w:rPr>
          <w:rFonts w:ascii="Calibri" w:cs="Calibri" w:eastAsia="Calibri" w:hAnsi="Calibri"/>
          <w:b w:val="false"/>
          <w:bCs w:val="false"/>
          <w:color w:val="1A1A1A"/>
          <w:sz w:val="20"/>
          <w:szCs w:val="20"/>
        </w:rPr>
        <w:t xml:space="preserve"> the steepness coefficient (default 1.2), and </w:t>
      </w:r>
      <w:r>
        <w:rPr>
          <w:rFonts w:ascii="Consolas" w:cs="Consolas" w:eastAsia="Consolas" w:hAnsi="Consolas"/>
          <w:b w:val="false"/>
          <w:bCs w:val="false"/>
          <w:color w:val="8A2E2E"/>
          <w:sz w:val="17"/>
          <w:szCs w:val="17"/>
          <w:shd w:fill="F1F1F1" w:color="auto" w:val="clear"/>
        </w:rPr>
        <w:t xml:space="preserve">y_mid</w:t>
      </w:r>
      <w:r>
        <w:rPr>
          <w:rFonts w:ascii="Calibri" w:cs="Calibri" w:eastAsia="Calibri" w:hAnsi="Calibri"/>
          <w:b w:val="false"/>
          <w:bCs w:val="false"/>
          <w:color w:val="1A1A1A"/>
          <w:sz w:val="20"/>
          <w:szCs w:val="20"/>
        </w:rPr>
        <w:t xml:space="preserve"> the inflection year (default </w:t>
      </w:r>
      <w:r>
        <w:rPr>
          <w:rFonts w:ascii="Consolas" w:cs="Consolas" w:eastAsia="Consolas" w:hAnsi="Consolas"/>
          <w:b w:val="false"/>
          <w:bCs w:val="false"/>
          <w:color w:val="8A2E2E"/>
          <w:sz w:val="17"/>
          <w:szCs w:val="17"/>
          <w:shd w:fill="F1F1F1" w:color="auto" w:val="clear"/>
        </w:rPr>
        <w:t xml:space="preserve">N/2</w:t>
      </w:r>
      <w:r>
        <w:rPr>
          <w:rFonts w:ascii="Calibri" w:cs="Calibri" w:eastAsia="Calibri" w:hAnsi="Calibri"/>
          <w:b w:val="false"/>
          <w:bCs w:val="false"/>
          <w:color w:val="1A1A1A"/>
          <w:sz w:val="20"/>
          <w:szCs w:val="20"/>
        </w:rPr>
        <w:t xml:space="preserve">). Logistic is the default for therapies entering an established competitive class; linear is the default for first-in-class entry into an untreated population.</w:t>
      </w:r>
    </w:p>
    <w:p>
      <w:pPr>
        <w:spacing w:after="120" w:before="60" w:line="276"/>
        <w:jc w:val="both"/>
      </w:pPr>
      <w:r>
        <w:rPr>
          <w:rFonts w:ascii="Calibri" w:cs="Calibri" w:eastAsia="Calibri" w:hAnsi="Calibri"/>
          <w:b/>
          <w:bCs/>
          <w:color w:val="1A1A1A"/>
          <w:sz w:val="20"/>
          <w:szCs w:val="20"/>
        </w:rPr>
        <w:t xml:space="preserve">Manual.</w:t>
      </w:r>
      <w:r>
        <w:rPr>
          <w:rFonts w:ascii="Calibri" w:cs="Calibri" w:eastAsia="Calibri" w:hAnsi="Calibri"/>
          <w:b w:val="false"/>
          <w:bCs w:val="false"/>
          <w:color w:val="1A1A1A"/>
          <w:sz w:val="20"/>
          <w:szCs w:val="20"/>
        </w:rPr>
        <w:t xml:space="preserve"> A user-supplied vector </w:t>
      </w:r>
      <w:r>
        <w:rPr>
          <w:rFonts w:ascii="Consolas" w:cs="Consolas" w:eastAsia="Consolas" w:hAnsi="Consolas"/>
          <w:b w:val="false"/>
          <w:bCs w:val="false"/>
          <w:color w:val="8A2E2E"/>
          <w:sz w:val="17"/>
          <w:szCs w:val="17"/>
          <w:shd w:fill="F1F1F1" w:color="auto" w:val="clear"/>
        </w:rPr>
        <w:t xml:space="preserve">[u₁, u₂, … u_N]</w:t>
      </w:r>
      <w:r>
        <w:rPr>
          <w:rFonts w:ascii="Calibri" w:cs="Calibri" w:eastAsia="Calibri" w:hAnsi="Calibri"/>
          <w:b w:val="false"/>
          <w:bCs w:val="false"/>
          <w:color w:val="1A1A1A"/>
          <w:sz w:val="20"/>
          <w:szCs w:val="20"/>
        </w:rPr>
        <w:t xml:space="preserve">, validated to lie within </w:t>
      </w:r>
      <w:r>
        <w:rPr>
          <w:rFonts w:ascii="Consolas" w:cs="Consolas" w:eastAsia="Consolas" w:hAnsi="Consolas"/>
          <w:b w:val="false"/>
          <w:bCs w:val="false"/>
          <w:color w:val="8A2E2E"/>
          <w:sz w:val="17"/>
          <w:szCs w:val="17"/>
          <w:shd w:fill="F1F1F1" w:color="auto" w:val="clear"/>
        </w:rPr>
        <w:t xml:space="preserve">[0, 1]</w:t>
      </w:r>
      <w:r>
        <w:rPr>
          <w:rFonts w:ascii="Calibri" w:cs="Calibri" w:eastAsia="Calibri" w:hAnsi="Calibri"/>
          <w:b w:val="false"/>
          <w:bCs w:val="false"/>
          <w:color w:val="1A1A1A"/>
          <w:sz w:val="20"/>
          <w:szCs w:val="20"/>
        </w:rPr>
        <w:t xml:space="preserve"> and to be monotonically non-decreasing unless explicitly flagged as a competitive-erosion scenario.</w:t>
      </w:r>
    </w:p>
    <w:p>
      <w:pPr>
        <w:spacing w:after="120" w:before="60" w:line="276"/>
        <w:jc w:val="both"/>
      </w:pPr>
      <w:r>
        <w:rPr>
          <w:rFonts w:ascii="Calibri" w:cs="Calibri" w:eastAsia="Calibri" w:hAnsi="Calibri"/>
          <w:b/>
          <w:bCs/>
          <w:color w:val="1A1A1A"/>
          <w:sz w:val="20"/>
          <w:szCs w:val="20"/>
        </w:rPr>
        <w:t xml:space="preserve">Source of business.</w:t>
      </w:r>
      <w:r>
        <w:rPr>
          <w:rFonts w:ascii="Calibri" w:cs="Calibri" w:eastAsia="Calibri" w:hAnsi="Calibri"/>
          <w:b w:val="false"/>
          <w:bCs w:val="false"/>
          <w:color w:val="1A1A1A"/>
          <w:sz w:val="20"/>
          <w:szCs w:val="20"/>
        </w:rPr>
        <w:t xml:space="preserve"> The substitution vector </w:t>
      </w:r>
      <w:r>
        <w:rPr>
          <w:rFonts w:ascii="Consolas" w:cs="Consolas" w:eastAsia="Consolas" w:hAnsi="Consolas"/>
          <w:b w:val="false"/>
          <w:bCs w:val="false"/>
          <w:color w:val="8A2E2E"/>
          <w:sz w:val="17"/>
          <w:szCs w:val="17"/>
          <w:shd w:fill="F1F1F1" w:color="auto" w:val="clear"/>
        </w:rPr>
        <w:t xml:space="preserve">σ</w:t>
      </w:r>
      <w:r>
        <w:rPr>
          <w:rFonts w:ascii="Calibri" w:cs="Calibri" w:eastAsia="Calibri" w:hAnsi="Calibri"/>
          <w:b w:val="false"/>
          <w:bCs w:val="false"/>
          <w:color w:val="1A1A1A"/>
          <w:sz w:val="20"/>
          <w:szCs w:val="20"/>
        </w:rPr>
        <w:t xml:space="preserve"> allocates new-therapy patients across their prior treatment state:</w:t>
      </w:r>
    </w:p>
    <w:p>
      <w:pPr>
        <w:pBdr>
          <w:left w:val="single" w:color="2E5C8A" w:sz="12" w:space="8"/>
          <w:right w:val="single" w:color="D3DAE3" w:sz="2" w:space="4"/>
        </w:pBdr>
        <w:shd w:fill="F4F6F8" w:color="auto" w:val="clear"/>
        <w:spacing w:after="140" w:before="100" w:line="220"/>
        <w:ind w:left="120"/>
      </w:pPr>
      <w:r>
        <w:rPr>
          <w:rFonts w:ascii="Consolas" w:cs="Consolas" w:eastAsia="Consolas" w:hAnsi="Consolas"/>
          <w:color w:val="24292E"/>
          <w:sz w:val="15"/>
          <w:szCs w:val="15"/>
        </w:rPr>
        <w:t xml:space="preserve">Σ(t ∈ T) σ_t + σ_naive = 1,      σ_t ≥ 0</w:t>
      </w:r>
    </w:p>
    <w:p>
      <w:pPr>
        <w:spacing w:after="120" w:before="60" w:line="276"/>
        <w:jc w:val="both"/>
      </w:pPr>
      <w:r>
        <w:rPr>
          <w:rFonts w:ascii="Calibri" w:cs="Calibri" w:eastAsia="Calibri" w:hAnsi="Calibri"/>
          <w:b w:val="false"/>
          <w:bCs w:val="false"/>
          <w:color w:val="1A1A1A"/>
          <w:sz w:val="20"/>
          <w:szCs w:val="20"/>
        </w:rPr>
        <w:t xml:space="preserve">Resulting incumbent market shares in the world-with case:</w:t>
      </w:r>
    </w:p>
    <w:p>
      <w:pPr>
        <w:pBdr>
          <w:left w:val="single" w:color="2E5C8A" w:sz="12" w:space="8"/>
          <w:right w:val="single" w:color="D3DAE3" w:sz="2" w:space="4"/>
        </w:pBdr>
        <w:shd w:fill="F4F6F8" w:color="auto" w:val="clear"/>
        <w:spacing w:after="140" w:before="100" w:line="220"/>
        <w:ind w:left="120"/>
      </w:pPr>
      <w:r>
        <w:rPr>
          <w:rFonts w:ascii="Consolas" w:cs="Consolas" w:eastAsia="Consolas" w:hAnsi="Consolas"/>
          <w:color w:val="24292E"/>
          <w:sz w:val="15"/>
          <w:szCs w:val="15"/>
        </w:rPr>
        <w:t xml:space="preserve">m_with(t, y) = max(0, m_without(t, y) - u(y) × σ_t)</w:t>
      </w:r>
    </w:p>
    <w:p>
      <w:pPr>
        <w:pStyle w:val="Heading3"/>
        <w:keepNext/>
        <w:spacing w:after="90" w:before="260"/>
      </w:pPr>
      <w:r>
        <w:rPr>
          <w:rFonts w:ascii="Calibri" w:cs="Calibri" w:eastAsia="Calibri" w:hAnsi="Calibri"/>
          <w:b/>
          <w:bCs/>
          <w:color w:val="2E5C8A"/>
          <w:sz w:val="23"/>
          <w:szCs w:val="23"/>
        </w:rPr>
        <w:t xml:space="preserve">5.4 Module M6 — Persistence Adjustment</w:t>
      </w:r>
    </w:p>
    <w:p>
      <w:pPr>
        <w:spacing w:after="120" w:before="60" w:line="276"/>
        <w:jc w:val="both"/>
      </w:pPr>
      <w:r>
        <w:rPr>
          <w:rFonts w:ascii="Calibri" w:cs="Calibri" w:eastAsia="Calibri" w:hAnsi="Calibri"/>
          <w:b w:val="false"/>
          <w:bCs w:val="false"/>
          <w:color w:val="1A1A1A"/>
          <w:sz w:val="20"/>
          <w:szCs w:val="20"/>
        </w:rPr>
        <w:t xml:space="preserve">Let </w:t>
      </w:r>
      <w:r>
        <w:rPr>
          <w:rFonts w:ascii="Consolas" w:cs="Consolas" w:eastAsia="Consolas" w:hAnsi="Consolas"/>
          <w:b w:val="false"/>
          <w:bCs w:val="false"/>
          <w:color w:val="8A2E2E"/>
          <w:sz w:val="17"/>
          <w:szCs w:val="17"/>
          <w:shd w:fill="F1F1F1" w:color="auto" w:val="clear"/>
        </w:rPr>
        <w:t xml:space="preserve">p₁₂</w:t>
      </w:r>
      <w:r>
        <w:rPr>
          <w:rFonts w:ascii="Calibri" w:cs="Calibri" w:eastAsia="Calibri" w:hAnsi="Calibri"/>
          <w:b w:val="false"/>
          <w:bCs w:val="false"/>
          <w:color w:val="1A1A1A"/>
          <w:sz w:val="20"/>
          <w:szCs w:val="20"/>
        </w:rPr>
        <w:t xml:space="preserve"> denote the proportion of patients still on therapy at twelve months. Assuming exponential time-to-discontinuation with hazard </w:t>
      </w:r>
      <w:r>
        <w:rPr>
          <w:rFonts w:ascii="Consolas" w:cs="Consolas" w:eastAsia="Consolas" w:hAnsi="Consolas"/>
          <w:b w:val="false"/>
          <w:bCs w:val="false"/>
          <w:color w:val="8A2E2E"/>
          <w:sz w:val="17"/>
          <w:szCs w:val="17"/>
          <w:shd w:fill="F1F1F1" w:color="auto" w:val="clear"/>
        </w:rPr>
        <w:t xml:space="preserve">λ</w:t>
      </w:r>
      <w:r>
        <w:rPr>
          <w:rFonts w:ascii="Calibri" w:cs="Calibri" w:eastAsia="Calibri" w:hAnsi="Calibri"/>
          <w:b w:val="false"/>
          <w:bCs w:val="false"/>
          <w:color w:val="1A1A1A"/>
          <w:sz w:val="20"/>
          <w:szCs w:val="20"/>
        </w:rPr>
        <w:t xml:space="preserve">, calibrated so that </w:t>
      </w:r>
      <w:r>
        <w:rPr>
          <w:rFonts w:ascii="Consolas" w:cs="Consolas" w:eastAsia="Consolas" w:hAnsi="Consolas"/>
          <w:b w:val="false"/>
          <w:bCs w:val="false"/>
          <w:color w:val="8A2E2E"/>
          <w:sz w:val="17"/>
          <w:szCs w:val="17"/>
          <w:shd w:fill="F1F1F1" w:color="auto" w:val="clear"/>
        </w:rPr>
        <w:t xml:space="preserve">S(12) = p₁₂</w:t>
      </w:r>
      <w:r>
        <w:rPr>
          <w:rFonts w:ascii="Calibri" w:cs="Calibri" w:eastAsia="Calibri" w:hAnsi="Calibri"/>
          <w:b w:val="false"/>
          <w:bCs w:val="false"/>
          <w:color w:val="1A1A1A"/>
          <w:sz w:val="20"/>
          <w:szCs w:val="20"/>
        </w:rPr>
        <w:t xml:space="preserve">:</w:t>
      </w:r>
    </w:p>
    <w:p>
      <w:pPr>
        <w:pBdr>
          <w:left w:val="single" w:color="2E5C8A" w:sz="12" w:space="8"/>
          <w:right w:val="single" w:color="D3DAE3" w:sz="2" w:space="4"/>
        </w:pBdr>
        <w:shd w:fill="F4F6F8" w:color="auto" w:val="clear"/>
        <w:spacing w:after="140" w:before="100" w:line="220"/>
        <w:ind w:left="120"/>
      </w:pPr>
      <w:r>
        <w:rPr>
          <w:rFonts w:ascii="Consolas" w:cs="Consolas" w:eastAsia="Consolas" w:hAnsi="Consolas"/>
          <w:color w:val="24292E"/>
          <w:sz w:val="15"/>
          <w:szCs w:val="15"/>
        </w:rPr>
        <w:t xml:space="preserve">λ = -ln(p₁₂) / 12</w:t>
      </w:r>
    </w:p>
    <w:p>
      <w:pPr>
        <w:spacing w:after="120" w:before="60" w:line="276"/>
        <w:jc w:val="both"/>
      </w:pPr>
      <w:r>
        <w:rPr>
          <w:rFonts w:ascii="Calibri" w:cs="Calibri" w:eastAsia="Calibri" w:hAnsi="Calibri"/>
          <w:b w:val="false"/>
          <w:bCs w:val="false"/>
          <w:color w:val="1A1A1A"/>
          <w:sz w:val="20"/>
          <w:szCs w:val="20"/>
        </w:rPr>
        <w:t xml:space="preserve">The persistence-adjusted treatment-year fraction is the mean of the survival function over the year:</w:t>
      </w:r>
    </w:p>
    <w:p>
      <w:pPr>
        <w:pBdr>
          <w:left w:val="single" w:color="2E5C8A" w:sz="12" w:space="8"/>
          <w:right w:val="single" w:color="D3DAE3" w:sz="2" w:space="4"/>
        </w:pBdr>
        <w:shd w:fill="F4F6F8" w:color="auto" w:val="clear"/>
        <w:spacing w:after="0" w:before="100" w:line="220"/>
        <w:ind w:left="120"/>
      </w:pPr>
      <w:r>
        <w:rPr>
          <w:rFonts w:ascii="Consolas" w:cs="Consolas" w:eastAsia="Consolas" w:hAnsi="Consolas"/>
          <w:color w:val="24292E"/>
          <w:sz w:val="15"/>
          <w:szCs w:val="15"/>
        </w:rPr>
        <w:t xml:space="preserve">f  =  (1/12) * INTEGRAL[m = 0 .. 12] e^(-lambda*m) dm</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(1 - e^(-12*lambda)) / (12*lambda)</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140" w:before="0" w:line="220"/>
        <w:ind w:left="120"/>
      </w:pPr>
      <w:r>
        <w:rPr>
          <w:rFonts w:ascii="Consolas" w:cs="Consolas" w:eastAsia="Consolas" w:hAnsi="Consolas"/>
          <w:color w:val="24292E"/>
          <w:sz w:val="15"/>
          <w:szCs w:val="15"/>
        </w:rPr>
        <w:t xml:space="preserve">   =  (1 - p12) / (-ln p12)</w:t>
      </w:r>
    </w:p>
    <w:p>
      <w:pPr>
        <w:spacing w:after="120" w:before="60" w:line="276"/>
        <w:jc w:val="both"/>
      </w:pPr>
      <w:r>
        <w:rPr>
          <w:rFonts w:ascii="Calibri" w:cs="Calibri" w:eastAsia="Calibri" w:hAnsi="Calibri"/>
          <w:b/>
          <w:bCs/>
          <w:color w:val="1A1A1A"/>
          <w:sz w:val="20"/>
          <w:szCs w:val="20"/>
        </w:rPr>
        <w:t xml:space="preserve">Closed form:</w:t>
      </w:r>
    </w:p>
    <w:p>
      <w:pPr>
        <w:pBdr>
          <w:left w:val="single" w:color="2E5C8A" w:sz="12" w:space="8"/>
          <w:right w:val="single" w:color="D3DAE3" w:sz="2" w:space="4"/>
        </w:pBdr>
        <w:shd w:fill="F4F6F8" w:color="auto" w:val="clear"/>
        <w:spacing w:after="0" w:before="100" w:line="220"/>
        <w:ind w:left="120"/>
      </w:pPr>
      <w:r>
        <w:rPr>
          <w:rFonts w:ascii="Consolas" w:cs="Consolas" w:eastAsia="Consolas" w:hAnsi="Consolas"/>
          <w:color w:val="24292E"/>
          <w:sz w:val="15"/>
          <w:szCs w:val="15"/>
        </w:rPr>
        <w:t xml:space="preserve">f = (1 - p₁₂) / (-ln p₁₂)          for 0 &lt; p₁₂ &lt; 1</w:t>
      </w:r>
    </w:p>
    <w:p>
      <w:pPr>
        <w:pBdr>
          <w:left w:val="single" w:color="2E5C8A" w:sz="12" w:space="8"/>
          <w:right w:val="single" w:color="D3DAE3" w:sz="2" w:space="4"/>
        </w:pBdr>
        <w:shd w:fill="F4F6F8" w:color="auto" w:val="clear"/>
        <w:spacing w:after="140" w:before="0" w:line="220"/>
        <w:ind w:left="120"/>
      </w:pPr>
      <w:r>
        <w:rPr>
          <w:rFonts w:ascii="Consolas" w:cs="Consolas" w:eastAsia="Consolas" w:hAnsi="Consolas"/>
          <w:color w:val="24292E"/>
          <w:sz w:val="15"/>
          <w:szCs w:val="15"/>
        </w:rPr>
        <w:t xml:space="preserve">f = 1                              for p₁₂ = 1  (limiting case)</w:t>
      </w:r>
    </w:p>
    <w:p>
      <w:pPr>
        <w:spacing w:after="120" w:before="60" w:line="276"/>
        <w:jc w:val="both"/>
      </w:pPr>
      <w:r>
        <w:rPr>
          <w:rFonts w:ascii="Calibri" w:cs="Calibri" w:eastAsia="Calibri" w:hAnsi="Calibri"/>
          <w:b w:val="false"/>
          <w:bCs w:val="false"/>
          <w:color w:val="1A1A1A"/>
          <w:sz w:val="20"/>
          <w:szCs w:val="20"/>
        </w:rPr>
        <w:t xml:space="preserve">Worked values:</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2188"/>
        <w:gridCol w:w="2339"/>
        <w:gridCol w:w="5363"/>
      </w:tblGrid>
      <w:tr>
        <w:trPr>
          <w:tblHeader/>
        </w:trPr>
        <w:tc>
          <w:tcPr>
            <w:tcW w:type="dxa" w:w="2188"/>
            <w:shd w:fill="1F3864" w:color="auto" w:val="clear"/>
            <w:tcMar>
              <w:top w:type="dxa" w:w="60"/>
              <w:left w:type="dxa" w:w="100"/>
              <w:bottom w:type="dxa" w:w="60"/>
              <w:right w:type="dxa" w:w="100"/>
            </w:tcMar>
          </w:tcPr>
          <w:p>
            <w:pPr>
              <w:spacing w:after="0" w:before="0" w:line="240"/>
              <w:jc w:val="left"/>
            </w:pPr>
            <w:r>
              <w:rPr>
                <w:rFonts w:ascii="Consolas" w:cs="Consolas" w:eastAsia="Consolas" w:hAnsi="Consolas"/>
                <w:b/>
                <w:bCs/>
                <w:color w:val="8A2E2E"/>
                <w:sz w:val="15"/>
                <w:szCs w:val="15"/>
                <w:shd w:fill="F1F1F1" w:color="auto" w:val="clear"/>
              </w:rPr>
              <w:t xml:space="preserve">p₁₂</w:t>
            </w:r>
          </w:p>
        </w:tc>
        <w:tc>
          <w:tcPr>
            <w:tcW w:type="dxa" w:w="2339"/>
            <w:shd w:fill="1F3864" w:color="auto" w:val="clear"/>
            <w:tcMar>
              <w:top w:type="dxa" w:w="60"/>
              <w:left w:type="dxa" w:w="100"/>
              <w:bottom w:type="dxa" w:w="60"/>
              <w:right w:type="dxa" w:w="100"/>
            </w:tcMar>
          </w:tcPr>
          <w:p>
            <w:pPr>
              <w:spacing w:after="0" w:before="0" w:line="240"/>
              <w:jc w:val="left"/>
            </w:pPr>
            <w:r>
              <w:rPr>
                <w:rFonts w:ascii="Consolas" w:cs="Consolas" w:eastAsia="Consolas" w:hAnsi="Consolas"/>
                <w:b/>
                <w:bCs/>
                <w:color w:val="8A2E2E"/>
                <w:sz w:val="15"/>
                <w:szCs w:val="15"/>
                <w:shd w:fill="F1F1F1" w:color="auto" w:val="clear"/>
              </w:rPr>
              <w:t xml:space="preserve">f</w:t>
            </w:r>
          </w:p>
        </w:tc>
        <w:tc>
          <w:tcPr>
            <w:tcW w:type="dxa" w:w="5363"/>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Interpretation</w:t>
            </w:r>
          </w:p>
        </w:tc>
      </w:tr>
      <w:tr>
        <w:tc>
          <w:tcPr>
            <w:tcW w:type="dxa" w:w="218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1.00</w:t>
            </w:r>
          </w:p>
        </w:tc>
        <w:tc>
          <w:tcPr>
            <w:tcW w:type="dxa" w:w="233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1.000</w:t>
            </w:r>
          </w:p>
        </w:tc>
        <w:tc>
          <w:tcPr>
            <w:tcW w:type="dxa" w:w="536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Full-year persistence</w:t>
            </w:r>
          </w:p>
        </w:tc>
      </w:tr>
      <w:tr>
        <w:tc>
          <w:tcPr>
            <w:tcW w:type="dxa" w:w="218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0.70</w:t>
            </w:r>
          </w:p>
        </w:tc>
        <w:tc>
          <w:tcPr>
            <w:tcW w:type="dxa" w:w="233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0.841</w:t>
            </w:r>
          </w:p>
        </w:tc>
        <w:tc>
          <w:tcPr>
            <w:tcW w:type="dxa" w:w="536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84.1% of a full treatment-year consumed</w:t>
            </w:r>
          </w:p>
        </w:tc>
      </w:tr>
      <w:tr>
        <w:tc>
          <w:tcPr>
            <w:tcW w:type="dxa" w:w="218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0.50</w:t>
            </w:r>
          </w:p>
        </w:tc>
        <w:tc>
          <w:tcPr>
            <w:tcW w:type="dxa" w:w="233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0.721</w:t>
            </w:r>
          </w:p>
        </w:tc>
        <w:tc>
          <w:tcPr>
            <w:tcW w:type="dxa" w:w="536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72.1%</w:t>
            </w:r>
          </w:p>
        </w:tc>
      </w:tr>
      <w:tr>
        <w:tc>
          <w:tcPr>
            <w:tcW w:type="dxa" w:w="218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0.30</w:t>
            </w:r>
          </w:p>
        </w:tc>
        <w:tc>
          <w:tcPr>
            <w:tcW w:type="dxa" w:w="233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0.581</w:t>
            </w:r>
          </w:p>
        </w:tc>
        <w:tc>
          <w:tcPr>
            <w:tcW w:type="dxa" w:w="536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58.1%</w:t>
            </w:r>
          </w:p>
        </w:tc>
      </w:tr>
      <w:tr>
        <w:tc>
          <w:tcPr>
            <w:tcW w:type="dxa" w:w="218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0.20</w:t>
            </w:r>
          </w:p>
        </w:tc>
        <w:tc>
          <w:tcPr>
            <w:tcW w:type="dxa" w:w="233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0.497</w:t>
            </w:r>
          </w:p>
        </w:tc>
        <w:tc>
          <w:tcPr>
            <w:tcW w:type="dxa" w:w="536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49.7%</w:t>
            </w:r>
          </w:p>
        </w:tc>
      </w:tr>
    </w:tbl>
    <w:p>
      <w:pPr>
        <w:spacing w:after="160"/>
      </w:pPr>
    </w:p>
    <w:p>
      <w:pPr>
        <w:spacing w:after="120" w:before="60" w:line="276"/>
        <w:jc w:val="both"/>
      </w:pPr>
      <w:r>
        <w:rPr>
          <w:rFonts w:ascii="Calibri" w:cs="Calibri" w:eastAsia="Calibri" w:hAnsi="Calibri"/>
          <w:b w:val="false"/>
          <w:bCs w:val="false"/>
          <w:color w:val="1A1A1A"/>
          <w:sz w:val="20"/>
          <w:szCs w:val="20"/>
        </w:rPr>
        <w:t xml:space="preserve">Persistence is applied per therapy, since the new therapy and its comparators may differ materially in discontinuation profile. In steady state beyond year one, the incident cohort is supplemented by the surviving prevalent cohort; for the three-to-five-year horizons in scope, the first-year fraction is applied uniformly and the resulting conservatism is documented as a stated model limitation.</w:t>
      </w:r>
    </w:p>
    <w:p>
      <w:pPr>
        <w:pStyle w:val="Heading3"/>
        <w:keepNext/>
        <w:spacing w:after="90" w:before="260"/>
      </w:pPr>
      <w:r>
        <w:rPr>
          <w:rFonts w:ascii="Calibri" w:cs="Calibri" w:eastAsia="Calibri" w:hAnsi="Calibri"/>
          <w:b/>
          <w:bCs/>
          <w:color w:val="2E5C8A"/>
          <w:sz w:val="23"/>
          <w:szCs w:val="23"/>
        </w:rPr>
        <w:t xml:space="preserve">5.5 Module M5 — Cost of Therapy</w:t>
      </w:r>
    </w:p>
    <w:p>
      <w:pPr>
        <w:spacing w:after="120" w:before="60" w:line="276"/>
        <w:jc w:val="both"/>
      </w:pPr>
      <w:r>
        <w:rPr>
          <w:rFonts w:ascii="Calibri" w:cs="Calibri" w:eastAsia="Calibri" w:hAnsi="Calibri"/>
          <w:b/>
          <w:bCs/>
          <w:color w:val="1A1A1A"/>
          <w:sz w:val="20"/>
          <w:szCs w:val="20"/>
        </w:rPr>
        <w:t xml:space="preserve">Annual acquisition cost.</w:t>
      </w:r>
    </w:p>
    <w:p>
      <w:pPr>
        <w:pBdr>
          <w:left w:val="single" w:color="2E5C8A" w:sz="12" w:space="8"/>
          <w:right w:val="single" w:color="D3DAE3" w:sz="2" w:space="4"/>
        </w:pBdr>
        <w:shd w:fill="F4F6F8" w:color="auto" w:val="clear"/>
        <w:spacing w:after="140" w:before="100" w:line="220"/>
        <w:ind w:left="120"/>
      </w:pPr>
      <w:r>
        <w:rPr>
          <w:rFonts w:ascii="Consolas" w:cs="Consolas" w:eastAsia="Consolas" w:hAnsi="Consolas"/>
          <w:color w:val="24292E"/>
          <w:sz w:val="15"/>
          <w:szCs w:val="15"/>
        </w:rPr>
        <w:t xml:space="preserve">acq(t,c) = unit_price(t,c) × units_per_admin(t) × admins_per_year(t) × (1 + wastage(t)) × (1 - discount(t,c))</w:t>
      </w:r>
    </w:p>
    <w:p>
      <w:pPr>
        <w:spacing w:after="120" w:before="60" w:line="276"/>
        <w:jc w:val="both"/>
      </w:pPr>
      <w:r>
        <w:rPr>
          <w:rFonts w:ascii="Calibri" w:cs="Calibri" w:eastAsia="Calibri" w:hAnsi="Calibri"/>
          <w:b/>
          <w:bCs/>
          <w:color w:val="1A1A1A"/>
          <w:sz w:val="20"/>
          <w:szCs w:val="20"/>
        </w:rPr>
        <w:t xml:space="preserve">Total annual cost per treated patient-year.</w:t>
      </w:r>
    </w:p>
    <w:p>
      <w:pPr>
        <w:pBdr>
          <w:left w:val="single" w:color="2E5C8A" w:sz="12" w:space="8"/>
          <w:right w:val="single" w:color="D3DAE3" w:sz="2" w:space="4"/>
        </w:pBdr>
        <w:shd w:fill="F4F6F8" w:color="auto" w:val="clear"/>
        <w:spacing w:after="140" w:before="100" w:line="220"/>
        <w:ind w:left="120"/>
      </w:pPr>
      <w:r>
        <w:rPr>
          <w:rFonts w:ascii="Consolas" w:cs="Consolas" w:eastAsia="Consolas" w:hAnsi="Consolas"/>
          <w:color w:val="24292E"/>
          <w:sz w:val="15"/>
          <w:szCs w:val="15"/>
        </w:rPr>
        <w:t xml:space="preserve">AC(t,c) = acq(t,c) + admin_cost(t,c) + monitoring_cost(t,c) + ae_cost(t,c) - offset(t,c)</w:t>
      </w:r>
    </w:p>
    <w:p>
      <w:pPr>
        <w:spacing w:after="120" w:before="60" w:line="276"/>
        <w:jc w:val="both"/>
      </w:pPr>
      <w:r>
        <w:rPr>
          <w:rFonts w:ascii="Calibri" w:cs="Calibri" w:eastAsia="Calibri" w:hAnsi="Calibri"/>
          <w:b/>
          <w:bCs/>
          <w:color w:val="1A1A1A"/>
          <w:sz w:val="20"/>
          <w:szCs w:val="20"/>
        </w:rPr>
        <w:t xml:space="preserve">Cross-market price derivation.</w:t>
      </w:r>
      <w:r>
        <w:rPr>
          <w:rFonts w:ascii="Calibri" w:cs="Calibri" w:eastAsia="Calibri" w:hAnsi="Calibri"/>
          <w:b w:val="false"/>
          <w:bCs w:val="false"/>
          <w:color w:val="1A1A1A"/>
          <w:sz w:val="20"/>
          <w:szCs w:val="20"/>
        </w:rPr>
        <w:t xml:space="preserve"> Where no observed price exists for market </w:t>
      </w:r>
      <w:r>
        <w:rPr>
          <w:rFonts w:ascii="Consolas" w:cs="Consolas" w:eastAsia="Consolas" w:hAnsi="Consolas"/>
          <w:b w:val="false"/>
          <w:bCs w:val="false"/>
          <w:color w:val="8A2E2E"/>
          <w:sz w:val="17"/>
          <w:szCs w:val="17"/>
          <w:shd w:fill="F1F1F1" w:color="auto" w:val="clear"/>
        </w:rPr>
        <w:t xml:space="preserve">c</w:t>
      </w:r>
      <w:r>
        <w:rPr>
          <w:rFonts w:ascii="Calibri" w:cs="Calibri" w:eastAsia="Calibri" w:hAnsi="Calibri"/>
          <w:b w:val="false"/>
          <w:bCs w:val="false"/>
          <w:color w:val="1A1A1A"/>
          <w:sz w:val="20"/>
          <w:szCs w:val="20"/>
        </w:rPr>
        <w:t xml:space="preserve">, the price is derived from a reference market by purchasing-power-parity adjustment with explicit income elasticity:</w:t>
      </w:r>
    </w:p>
    <w:p>
      <w:pPr>
        <w:pBdr>
          <w:left w:val="single" w:color="2E5C8A" w:sz="12" w:space="8"/>
          <w:right w:val="single" w:color="D3DAE3" w:sz="2" w:space="4"/>
        </w:pBdr>
        <w:shd w:fill="F4F6F8" w:color="auto" w:val="clear"/>
        <w:spacing w:after="0" w:before="100" w:line="220"/>
        <w:ind w:left="120"/>
      </w:pPr>
      <w:r>
        <w:rPr>
          <w:rFonts w:ascii="Consolas" w:cs="Consolas" w:eastAsia="Consolas" w:hAnsi="Consolas"/>
          <w:color w:val="24292E"/>
          <w:sz w:val="15"/>
          <w:szCs w:val="15"/>
        </w:rPr>
        <w:t xml:space="preserve">price(c) = max(  price(ref) * [ gdp_pc_ppp(c) / gdp_pc_ppp(ref) ] ^ epsilon ,</w:t>
      </w:r>
    </w:p>
    <w:p>
      <w:pPr>
        <w:pBdr>
          <w:left w:val="single" w:color="2E5C8A" w:sz="12" w:space="8"/>
          <w:right w:val="single" w:color="D3DAE3" w:sz="2" w:space="4"/>
        </w:pBdr>
        <w:shd w:fill="F4F6F8" w:color="auto" w:val="clear"/>
        <w:spacing w:after="140" w:before="0" w:line="220"/>
        <w:ind w:left="120"/>
      </w:pPr>
      <w:r>
        <w:rPr>
          <w:rFonts w:ascii="Consolas" w:cs="Consolas" w:eastAsia="Consolas" w:hAnsi="Consolas"/>
          <w:color w:val="24292E"/>
          <w:sz w:val="15"/>
          <w:szCs w:val="15"/>
        </w:rPr>
        <w:t xml:space="preserve">                 floor * price(ref)  )</w:t>
      </w:r>
    </w:p>
    <w:p>
      <w:pPr>
        <w:spacing w:after="120" w:before="60" w:line="276"/>
        <w:jc w:val="both"/>
      </w:pPr>
      <w:r>
        <w:rPr>
          <w:rFonts w:ascii="Calibri" w:cs="Calibri" w:eastAsia="Calibri" w:hAnsi="Calibri"/>
          <w:b w:val="false"/>
          <w:bCs w:val="false"/>
          <w:color w:val="1A1A1A"/>
          <w:sz w:val="20"/>
          <w:szCs w:val="20"/>
        </w:rPr>
        <w:t xml:space="preserve">with income elasticity </w:t>
      </w:r>
      <w:r>
        <w:rPr>
          <w:rFonts w:ascii="Consolas" w:cs="Consolas" w:eastAsia="Consolas" w:hAnsi="Consolas"/>
          <w:b w:val="false"/>
          <w:bCs w:val="false"/>
          <w:color w:val="8A2E2E"/>
          <w:sz w:val="17"/>
          <w:szCs w:val="17"/>
          <w:shd w:fill="F1F1F1" w:color="auto" w:val="clear"/>
        </w:rPr>
        <w:t xml:space="preserve">ε</w:t>
      </w:r>
      <w:r>
        <w:rPr>
          <w:rFonts w:ascii="Calibri" w:cs="Calibri" w:eastAsia="Calibri" w:hAnsi="Calibri"/>
          <w:b w:val="false"/>
          <w:bCs w:val="false"/>
          <w:color w:val="1A1A1A"/>
          <w:sz w:val="20"/>
          <w:szCs w:val="20"/>
        </w:rPr>
        <w:t xml:space="preserve"> defaulting to 1.0 and a price floor of 0.05. This is a modelling assumption, not an observation, and is labelled as such wherever a derived price appears in the interface. Both </w:t>
      </w:r>
      <w:r>
        <w:rPr>
          <w:rFonts w:ascii="Consolas" w:cs="Consolas" w:eastAsia="Consolas" w:hAnsi="Consolas"/>
          <w:b w:val="false"/>
          <w:bCs w:val="false"/>
          <w:color w:val="8A2E2E"/>
          <w:sz w:val="17"/>
          <w:szCs w:val="17"/>
          <w:shd w:fill="F1F1F1" w:color="auto" w:val="clear"/>
        </w:rPr>
        <w:t xml:space="preserve">ε</w:t>
      </w:r>
      <w:r>
        <w:rPr>
          <w:rFonts w:ascii="Calibri" w:cs="Calibri" w:eastAsia="Calibri" w:hAnsi="Calibri"/>
          <w:b w:val="false"/>
          <w:bCs w:val="false"/>
          <w:color w:val="1A1A1A"/>
          <w:sz w:val="20"/>
          <w:szCs w:val="20"/>
        </w:rPr>
        <w:t xml:space="preserve"> and the floor are exposed as sensitivity levers, since international reference pricing behaviour varies substantially by market.</w:t>
      </w:r>
    </w:p>
    <w:p>
      <w:pPr>
        <w:pStyle w:val="Heading3"/>
        <w:keepNext/>
        <w:spacing w:after="90" w:before="260"/>
      </w:pPr>
      <w:r>
        <w:rPr>
          <w:rFonts w:ascii="Calibri" w:cs="Calibri" w:eastAsia="Calibri" w:hAnsi="Calibri"/>
          <w:b/>
          <w:bCs/>
          <w:color w:val="2E5C8A"/>
          <w:sz w:val="23"/>
          <w:szCs w:val="23"/>
        </w:rPr>
        <w:t xml:space="preserve">5.6 Module M7 — Incremental Budget Impact</w:t>
      </w:r>
    </w:p>
    <w:p>
      <w:pPr>
        <w:spacing w:after="120" w:before="60" w:line="276"/>
        <w:jc w:val="both"/>
      </w:pPr>
      <w:r>
        <w:rPr>
          <w:rFonts w:ascii="Calibri" w:cs="Calibri" w:eastAsia="Calibri" w:hAnsi="Calibri"/>
          <w:b w:val="false"/>
          <w:bCs w:val="false"/>
          <w:color w:val="1A1A1A"/>
          <w:sz w:val="20"/>
          <w:szCs w:val="20"/>
        </w:rPr>
        <w:t xml:space="preserve">This is the definitional core of the system.</w:t>
      </w:r>
    </w:p>
    <w:p>
      <w:pPr>
        <w:spacing w:after="120" w:before="60" w:line="276"/>
        <w:jc w:val="both"/>
      </w:pPr>
      <w:r>
        <w:rPr>
          <w:rFonts w:ascii="Calibri" w:cs="Calibri" w:eastAsia="Calibri" w:hAnsi="Calibri"/>
          <w:b/>
          <w:bCs/>
          <w:color w:val="1A1A1A"/>
          <w:sz w:val="20"/>
          <w:szCs w:val="20"/>
        </w:rPr>
        <w:t xml:space="preserve">World without the new therapy:</w:t>
      </w:r>
    </w:p>
    <w:p>
      <w:pPr>
        <w:pBdr>
          <w:left w:val="single" w:color="2E5C8A" w:sz="12" w:space="8"/>
          <w:right w:val="single" w:color="D3DAE3" w:sz="2" w:space="4"/>
        </w:pBdr>
        <w:shd w:fill="F4F6F8" w:color="auto" w:val="clear"/>
        <w:spacing w:after="140" w:before="100" w:line="220"/>
        <w:ind w:left="120"/>
      </w:pPr>
      <w:r>
        <w:rPr>
          <w:rFonts w:ascii="Consolas" w:cs="Consolas" w:eastAsia="Consolas" w:hAnsi="Consolas"/>
          <w:color w:val="24292E"/>
          <w:sz w:val="15"/>
          <w:szCs w:val="15"/>
        </w:rPr>
        <w:t xml:space="preserve">Cost_without(c,y) = Addressable(c,y) × Σ(t ∈ T) [ m_without(t,y) × f_t × AC(t,c) ]</w:t>
      </w:r>
    </w:p>
    <w:p>
      <w:pPr>
        <w:spacing w:after="120" w:before="60" w:line="276"/>
        <w:jc w:val="both"/>
      </w:pPr>
      <w:r>
        <w:rPr>
          <w:rFonts w:ascii="Calibri" w:cs="Calibri" w:eastAsia="Calibri" w:hAnsi="Calibri"/>
          <w:b/>
          <w:bCs/>
          <w:color w:val="1A1A1A"/>
          <w:sz w:val="20"/>
          <w:szCs w:val="20"/>
        </w:rPr>
        <w:t xml:space="preserve">World with the new therapy:</w:t>
      </w:r>
    </w:p>
    <w:p>
      <w:pPr>
        <w:pBdr>
          <w:left w:val="single" w:color="2E5C8A" w:sz="12" w:space="8"/>
          <w:right w:val="single" w:color="D3DAE3" w:sz="2" w:space="4"/>
        </w:pBdr>
        <w:shd w:fill="F4F6F8" w:color="auto" w:val="clear"/>
        <w:spacing w:after="0" w:before="100" w:line="220"/>
        <w:ind w:left="120"/>
      </w:pPr>
      <w:r>
        <w:rPr>
          <w:rFonts w:ascii="Consolas" w:cs="Consolas" w:eastAsia="Consolas" w:hAnsi="Consolas"/>
          <w:color w:val="24292E"/>
          <w:sz w:val="15"/>
          <w:szCs w:val="15"/>
        </w:rPr>
        <w:t xml:space="preserve">Cost_with(c,y) = Addressable(c,y) × [ u(y) × f_n × AC(n,c)</w:t>
      </w:r>
    </w:p>
    <w:p>
      <w:pPr>
        <w:pBdr>
          <w:left w:val="single" w:color="2E5C8A" w:sz="12" w:space="8"/>
          <w:right w:val="single" w:color="D3DAE3" w:sz="2" w:space="4"/>
        </w:pBdr>
        <w:shd w:fill="F4F6F8" w:color="auto" w:val="clear"/>
        <w:spacing w:after="140" w:before="0" w:line="220"/>
        <w:ind w:left="120"/>
      </w:pPr>
      <w:r>
        <w:rPr>
          <w:rFonts w:ascii="Consolas" w:cs="Consolas" w:eastAsia="Consolas" w:hAnsi="Consolas"/>
          <w:color w:val="24292E"/>
          <w:sz w:val="15"/>
          <w:szCs w:val="15"/>
        </w:rPr>
        <w:t xml:space="preserve">                                     + Σ(t ∈ T) m_with(t,y) × f_t × AC(t,c) ]</w:t>
      </w:r>
    </w:p>
    <w:p>
      <w:pPr>
        <w:spacing w:after="120" w:before="60" w:line="276"/>
        <w:jc w:val="both"/>
      </w:pPr>
      <w:r>
        <w:rPr>
          <w:rFonts w:ascii="Calibri" w:cs="Calibri" w:eastAsia="Calibri" w:hAnsi="Calibri"/>
          <w:b/>
          <w:bCs/>
          <w:color w:val="1A1A1A"/>
          <w:sz w:val="20"/>
          <w:szCs w:val="20"/>
        </w:rPr>
        <w:t xml:space="preserve">Incremental budget impact:</w:t>
      </w:r>
    </w:p>
    <w:p>
      <w:pPr>
        <w:pBdr>
          <w:left w:val="single" w:color="2E5C8A" w:sz="12" w:space="8"/>
          <w:right w:val="single" w:color="D3DAE3" w:sz="2" w:space="4"/>
        </w:pBdr>
        <w:shd w:fill="F4F6F8" w:color="auto" w:val="clear"/>
        <w:spacing w:after="140" w:before="100" w:line="220"/>
        <w:ind w:left="120"/>
      </w:pPr>
      <w:r>
        <w:rPr>
          <w:rFonts w:ascii="Consolas" w:cs="Consolas" w:eastAsia="Consolas" w:hAnsi="Consolas"/>
          <w:color w:val="24292E"/>
          <w:sz w:val="15"/>
          <w:szCs w:val="15"/>
        </w:rPr>
        <w:t xml:space="preserve">BI(c,y) = Cost_with(c,y) - Cost_without(c,y)</w:t>
      </w:r>
    </w:p>
    <w:p>
      <w:pPr>
        <w:spacing w:after="120" w:before="60" w:line="276"/>
        <w:jc w:val="both"/>
      </w:pPr>
      <w:r>
        <w:rPr>
          <w:rFonts w:ascii="Calibri" w:cs="Calibri" w:eastAsia="Calibri" w:hAnsi="Calibri"/>
          <w:b w:val="false"/>
          <w:bCs w:val="false"/>
          <w:color w:val="1A1A1A"/>
          <w:sz w:val="20"/>
          <w:szCs w:val="20"/>
        </w:rPr>
        <w:t xml:space="preserve">Substituting the displacement relation </w:t>
      </w:r>
      <w:r>
        <w:rPr>
          <w:rFonts w:ascii="Consolas" w:cs="Consolas" w:eastAsia="Consolas" w:hAnsi="Consolas"/>
          <w:b w:val="false"/>
          <w:bCs w:val="false"/>
          <w:color w:val="8A2E2E"/>
          <w:sz w:val="17"/>
          <w:szCs w:val="17"/>
          <w:shd w:fill="F1F1F1" w:color="auto" w:val="clear"/>
        </w:rPr>
        <w:t xml:space="preserve">m_with(t,y) = m_without(t,y) - u(y) × σ_t</w:t>
      </w:r>
      <w:r>
        <w:rPr>
          <w:rFonts w:ascii="Calibri" w:cs="Calibri" w:eastAsia="Calibri" w:hAnsi="Calibri"/>
          <w:b w:val="false"/>
          <w:bCs w:val="false"/>
          <w:color w:val="1A1A1A"/>
          <w:sz w:val="20"/>
          <w:szCs w:val="20"/>
        </w:rPr>
        <w:t xml:space="preserve"> yields the reduced form used by the implementation:</w:t>
      </w:r>
    </w:p>
    <w:p>
      <w:pPr>
        <w:pBdr>
          <w:left w:val="single" w:color="2E5C8A" w:sz="12" w:space="8"/>
          <w:right w:val="single" w:color="D3DAE3" w:sz="2" w:space="4"/>
        </w:pBdr>
        <w:shd w:fill="F4F6F8" w:color="auto" w:val="clear"/>
        <w:spacing w:after="140" w:before="100" w:line="220"/>
        <w:ind w:left="120"/>
      </w:pPr>
      <w:r>
        <w:rPr>
          <w:rFonts w:ascii="Consolas" w:cs="Consolas" w:eastAsia="Consolas" w:hAnsi="Consolas"/>
          <w:color w:val="24292E"/>
          <w:sz w:val="15"/>
          <w:szCs w:val="15"/>
        </w:rPr>
        <w:t xml:space="preserve">BI(c,y) = Addressable(c,y) × u(y) × [ f_n × AC(n,c) - Σ(t ∈ T) σ_t × f_t × AC(t,c) ]</w:t>
      </w:r>
    </w:p>
    <w:p>
      <w:pPr>
        <w:spacing w:after="120" w:before="60" w:line="276"/>
        <w:jc w:val="both"/>
      </w:pPr>
      <w:r>
        <w:rPr>
          <w:rFonts w:ascii="Calibri" w:cs="Calibri" w:eastAsia="Calibri" w:hAnsi="Calibri"/>
          <w:b w:val="false"/>
          <w:bCs w:val="false"/>
          <w:color w:val="1A1A1A"/>
          <w:sz w:val="20"/>
          <w:szCs w:val="20"/>
        </w:rPr>
        <w:t xml:space="preserve">The bracketed term is the </w:t>
      </w:r>
      <w:r>
        <w:rPr>
          <w:rFonts w:ascii="Calibri" w:cs="Calibri" w:eastAsia="Calibri" w:hAnsi="Calibri"/>
          <w:b/>
          <w:bCs/>
          <w:color w:val="1A1A1A"/>
          <w:sz w:val="20"/>
          <w:szCs w:val="20"/>
        </w:rPr>
        <w:t xml:space="preserve">net incremental cost per patient switched</w:t>
      </w:r>
      <w:r>
        <w:rPr>
          <w:rFonts w:ascii="Calibri" w:cs="Calibri" w:eastAsia="Calibri" w:hAnsi="Calibri"/>
          <w:b w:val="false"/>
          <w:bCs w:val="false"/>
          <w:color w:val="1A1A1A"/>
          <w:sz w:val="20"/>
          <w:szCs w:val="20"/>
        </w:rPr>
        <w:t xml:space="preserve">: the persistence-adjusted cost of the new therapy less the persistence-adjusted weighted cost of the therapies it displaces. Where the new therapy displaces a high-cost incumbent, this term may be negative, and the correct result is a budget </w:t>
      </w:r>
      <w:r>
        <w:rPr>
          <w:rFonts w:ascii="Calibri" w:cs="Calibri" w:eastAsia="Calibri" w:hAnsi="Calibri"/>
          <w:b w:val="false"/>
          <w:bCs w:val="false"/>
          <w:i/>
          <w:iCs/>
          <w:color w:val="1A1A1A"/>
          <w:sz w:val="20"/>
          <w:szCs w:val="20"/>
        </w:rPr>
        <w:t xml:space="preserve">saving</w:t>
      </w:r>
      <w:r>
        <w:rPr>
          <w:rFonts w:ascii="Calibri" w:cs="Calibri" w:eastAsia="Calibri" w:hAnsi="Calibri"/>
          <w:b w:val="false"/>
          <w:bCs w:val="false"/>
          <w:color w:val="1A1A1A"/>
          <w:sz w:val="20"/>
          <w:szCs w:val="20"/>
        </w:rPr>
        <w:t xml:space="preserve">. A model that omits the displacement term reports the gross cost of the new therapy and overstates budget impact by the full cost of displaced care.</w:t>
      </w:r>
    </w:p>
    <w:p>
      <w:pPr>
        <w:spacing w:after="120" w:before="60" w:line="276"/>
        <w:jc w:val="both"/>
      </w:pPr>
      <w:r>
        <w:rPr>
          <w:rFonts w:ascii="Calibri" w:cs="Calibri" w:eastAsia="Calibri" w:hAnsi="Calibri"/>
          <w:b/>
          <w:bCs/>
          <w:color w:val="1A1A1A"/>
          <w:sz w:val="20"/>
          <w:szCs w:val="20"/>
        </w:rPr>
        <w:t xml:space="preserve">Aggregations.</w:t>
      </w:r>
    </w:p>
    <w:p>
      <w:pPr>
        <w:pBdr>
          <w:left w:val="single" w:color="2E5C8A" w:sz="12" w:space="8"/>
          <w:right w:val="single" w:color="D3DAE3" w:sz="2" w:space="4"/>
        </w:pBdr>
        <w:shd w:fill="F4F6F8" w:color="auto" w:val="clear"/>
        <w:spacing w:after="0" w:before="100" w:line="220"/>
        <w:ind w:left="120"/>
      </w:pPr>
      <w:r>
        <w:rPr>
          <w:rFonts w:ascii="Consolas" w:cs="Consolas" w:eastAsia="Consolas" w:hAnsi="Consolas"/>
          <w:color w:val="24292E"/>
          <w:sz w:val="15"/>
          <w:szCs w:val="15"/>
        </w:rPr>
        <w:t xml:space="preserve">Cumulative(c)      = Σ(y = 1 … N) BI(c,y)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PerPatient(c,y)    = BI(c,y) / (Addressable(c,y) × u(y))</w:t>
      </w:r>
    </w:p>
    <w:p>
      <w:pPr>
        <w:pBdr>
          <w:left w:val="single" w:color="2E5C8A" w:sz="12" w:space="8"/>
          <w:right w:val="single" w:color="D3DAE3" w:sz="2" w:space="4"/>
        </w:pBdr>
        <w:shd w:fill="F4F6F8" w:color="auto" w:val="clear"/>
        <w:spacing w:after="140" w:before="0" w:line="220"/>
        <w:ind w:left="120"/>
      </w:pPr>
      <w:r>
        <w:rPr>
          <w:rFonts w:ascii="Consolas" w:cs="Consolas" w:eastAsia="Consolas" w:hAnsi="Consolas"/>
          <w:color w:val="24292E"/>
          <w:sz w:val="15"/>
          <w:szCs w:val="15"/>
        </w:rPr>
        <w:t xml:space="preserve">Total(y)           = Σ(c) BI(c,y) / fx_rate(currency(c) → reporting_currency)</w:t>
      </w:r>
    </w:p>
    <w:p>
      <w:pPr>
        <w:spacing w:after="120" w:before="60" w:line="276"/>
        <w:jc w:val="both"/>
      </w:pPr>
      <w:r>
        <w:rPr>
          <w:rFonts w:ascii="Calibri" w:cs="Calibri" w:eastAsia="Calibri" w:hAnsi="Calibri"/>
          <w:b w:val="false"/>
          <w:bCs w:val="false"/>
          <w:color w:val="1A1A1A"/>
          <w:sz w:val="20"/>
          <w:szCs w:val="20"/>
        </w:rPr>
        <w:t xml:space="preserve">Foreign-exchange rates are resolved once at run time and persisted into the run snapshot. Subsequent re-execution of a stored run uses the snapshotted rates, so historical results never change silently as rates move.</w:t>
      </w:r>
    </w:p>
    <w:p>
      <w:pPr>
        <w:pStyle w:val="Heading3"/>
        <w:keepNext/>
        <w:spacing w:after="90" w:before="260"/>
      </w:pPr>
      <w:r>
        <w:rPr>
          <w:rFonts w:ascii="Calibri" w:cs="Calibri" w:eastAsia="Calibri" w:hAnsi="Calibri"/>
          <w:b/>
          <w:bCs/>
          <w:color w:val="2E5C8A"/>
          <w:sz w:val="23"/>
          <w:szCs w:val="23"/>
        </w:rPr>
        <w:t xml:space="preserve">5.7 Module M8 — Affordability Position</w:t>
      </w:r>
    </w:p>
    <w:p>
      <w:pPr>
        <w:pBdr>
          <w:left w:val="single" w:color="2E5C8A" w:sz="12" w:space="8"/>
          <w:right w:val="single" w:color="D3DAE3" w:sz="2" w:space="4"/>
        </w:pBdr>
        <w:shd w:fill="F4F6F8" w:color="auto" w:val="clear"/>
        <w:spacing w:after="0" w:before="100" w:line="220"/>
        <w:ind w:left="120"/>
      </w:pPr>
      <w:r>
        <w:rPr>
          <w:rFonts w:ascii="Consolas" w:cs="Consolas" w:eastAsia="Consolas" w:hAnsi="Consolas"/>
          <w:color w:val="24292E"/>
          <w:sz w:val="15"/>
          <w:szCs w:val="15"/>
        </w:rPr>
        <w:t xml:space="preserve">HealthBudget(c,y) = health_exp_pc(c) × Pop(c,y)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140" w:before="0" w:line="220"/>
        <w:ind w:left="120"/>
      </w:pPr>
      <w:r>
        <w:rPr>
          <w:rFonts w:ascii="Consolas" w:cs="Consolas" w:eastAsia="Consolas" w:hAnsi="Consolas"/>
          <w:color w:val="24292E"/>
          <w:sz w:val="15"/>
          <w:szCs w:val="15"/>
        </w:rPr>
        <w:t xml:space="preserve">AffordabilityRatio(c,y) = BI(c,y) / HealthBudget(c,y)</w:t>
      </w:r>
    </w:p>
    <w:p>
      <w:pPr>
        <w:spacing w:after="120" w:before="60" w:line="276"/>
        <w:jc w:val="both"/>
      </w:pPr>
      <w:r>
        <w:rPr>
          <w:rFonts w:ascii="Calibri" w:cs="Calibri" w:eastAsia="Calibri" w:hAnsi="Calibri"/>
          <w:b w:val="false"/>
          <w:bCs w:val="false"/>
          <w:color w:val="1A1A1A"/>
          <w:sz w:val="20"/>
          <w:szCs w:val="20"/>
        </w:rPr>
        <w:t xml:space="preserve">Default classification bands, configurable per deployment:</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1823"/>
        <w:gridCol w:w="3433"/>
        <w:gridCol w:w="4634"/>
      </w:tblGrid>
      <w:tr>
        <w:trPr>
          <w:tblHeader/>
        </w:trPr>
        <w:tc>
          <w:tcPr>
            <w:tcW w:type="dxa" w:w="1823"/>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Band</w:t>
            </w:r>
          </w:p>
        </w:tc>
        <w:tc>
          <w:tcPr>
            <w:tcW w:type="dxa" w:w="3433"/>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Ratio of national health expenditure</w:t>
            </w:r>
          </w:p>
        </w:tc>
        <w:tc>
          <w:tcPr>
            <w:tcW w:type="dxa" w:w="4634"/>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Interpretation</w:t>
            </w:r>
          </w:p>
        </w:tc>
      </w:tr>
      <w:tr>
        <w:tc>
          <w:tcPr>
            <w:tcW w:type="dxa" w:w="182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Low</w:t>
            </w:r>
          </w:p>
        </w:tc>
        <w:tc>
          <w:tcPr>
            <w:tcW w:type="dxa" w:w="343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&lt; 0.10%</w:t>
            </w:r>
          </w:p>
        </w:tc>
        <w:tc>
          <w:tcPr>
            <w:tcW w:type="dxa" w:w="463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Unlikely to trigger budget-driven access restriction</w:t>
            </w:r>
          </w:p>
        </w:tc>
      </w:tr>
      <w:tr>
        <w:tc>
          <w:tcPr>
            <w:tcW w:type="dxa" w:w="182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Moderate</w:t>
            </w:r>
          </w:p>
        </w:tc>
        <w:tc>
          <w:tcPr>
            <w:tcW w:type="dxa" w:w="343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0.10% – 0.50%</w:t>
            </w:r>
          </w:p>
        </w:tc>
        <w:tc>
          <w:tcPr>
            <w:tcW w:type="dxa" w:w="463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Managed entry or risk-sharing arrangement likely required</w:t>
            </w:r>
          </w:p>
        </w:tc>
      </w:tr>
      <w:tr>
        <w:tc>
          <w:tcPr>
            <w:tcW w:type="dxa" w:w="182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High</w:t>
            </w:r>
          </w:p>
        </w:tc>
        <w:tc>
          <w:tcPr>
            <w:tcW w:type="dxa" w:w="343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0.50% – 1.00%</w:t>
            </w:r>
          </w:p>
        </w:tc>
        <w:tc>
          <w:tcPr>
            <w:tcW w:type="dxa" w:w="463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Significant reimbursement resistance expected</w:t>
            </w:r>
          </w:p>
        </w:tc>
      </w:tr>
      <w:tr>
        <w:tc>
          <w:tcPr>
            <w:tcW w:type="dxa" w:w="182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Critical</w:t>
            </w:r>
          </w:p>
        </w:tc>
        <w:tc>
          <w:tcPr>
            <w:tcW w:type="dxa" w:w="343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&gt; 1.00%</w:t>
            </w:r>
          </w:p>
        </w:tc>
        <w:tc>
          <w:tcPr>
            <w:tcW w:type="dxa" w:w="463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Access improbable without substantial price concession or volume cap</w:t>
            </w:r>
          </w:p>
        </w:tc>
      </w:tr>
    </w:tbl>
    <w:p>
      <w:pPr>
        <w:spacing w:after="160"/>
      </w:pPr>
    </w:p>
    <w:p>
      <w:pPr>
        <w:spacing w:after="120" w:before="60" w:line="276"/>
        <w:jc w:val="both"/>
      </w:pPr>
      <w:r>
        <w:rPr>
          <w:rFonts w:ascii="Calibri" w:cs="Calibri" w:eastAsia="Calibri" w:hAnsi="Calibri"/>
          <w:b w:val="false"/>
          <w:bCs w:val="false"/>
          <w:color w:val="1A1A1A"/>
          <w:sz w:val="20"/>
          <w:szCs w:val="20"/>
        </w:rPr>
        <w:t xml:space="preserve">For markets modelled at plan rather than national level, per-member-per-year is reported as </w:t>
      </w:r>
      <w:r>
        <w:rPr>
          <w:rFonts w:ascii="Consolas" w:cs="Consolas" w:eastAsia="Consolas" w:hAnsi="Consolas"/>
          <w:b w:val="false"/>
          <w:bCs w:val="false"/>
          <w:color w:val="8A2E2E"/>
          <w:sz w:val="17"/>
          <w:szCs w:val="17"/>
          <w:shd w:fill="F1F1F1" w:color="auto" w:val="clear"/>
        </w:rPr>
        <w:t xml:space="preserve">BI(c,y) / covered_lives(c)</w:t>
      </w:r>
      <w:r>
        <w:rPr>
          <w:rFonts w:ascii="Calibri" w:cs="Calibri" w:eastAsia="Calibri" w:hAnsi="Calibri"/>
          <w:b w:val="false"/>
          <w:bCs w:val="false"/>
          <w:color w:val="1A1A1A"/>
          <w:sz w:val="20"/>
          <w:szCs w:val="20"/>
        </w:rPr>
        <w:t xml:space="preserve">.</w:t>
      </w:r>
    </w:p>
    <w:p>
      <w:pPr>
        <w:pStyle w:val="Heading3"/>
        <w:keepNext/>
        <w:spacing w:after="90" w:before="260"/>
      </w:pPr>
      <w:r>
        <w:rPr>
          <w:rFonts w:ascii="Calibri" w:cs="Calibri" w:eastAsia="Calibri" w:hAnsi="Calibri"/>
          <w:b/>
          <w:bCs/>
          <w:color w:val="2E5C8A"/>
          <w:sz w:val="23"/>
          <w:szCs w:val="23"/>
        </w:rPr>
        <w:t xml:space="preserve">5.8 Module M8 — Reverse Price Solver</w:t>
      </w:r>
    </w:p>
    <w:p>
      <w:pPr>
        <w:spacing w:after="120" w:before="60" w:line="276"/>
        <w:jc w:val="both"/>
      </w:pPr>
      <w:r>
        <w:rPr>
          <w:rFonts w:ascii="Calibri" w:cs="Calibri" w:eastAsia="Calibri" w:hAnsi="Calibri"/>
          <w:b w:val="false"/>
          <w:bCs w:val="false"/>
          <w:color w:val="1A1A1A"/>
          <w:sz w:val="20"/>
          <w:szCs w:val="20"/>
        </w:rPr>
        <w:t xml:space="preserve">Given a target affordability ratio </w:t>
      </w:r>
      <w:r>
        <w:rPr>
          <w:rFonts w:ascii="Consolas" w:cs="Consolas" w:eastAsia="Consolas" w:hAnsi="Consolas"/>
          <w:b w:val="false"/>
          <w:bCs w:val="false"/>
          <w:color w:val="8A2E2E"/>
          <w:sz w:val="17"/>
          <w:szCs w:val="17"/>
          <w:shd w:fill="F1F1F1" w:color="auto" w:val="clear"/>
        </w:rPr>
        <w:t xml:space="preserve">τ</w:t>
      </w:r>
      <w:r>
        <w:rPr>
          <w:rFonts w:ascii="Calibri" w:cs="Calibri" w:eastAsia="Calibri" w:hAnsi="Calibri"/>
          <w:b w:val="false"/>
          <w:bCs w:val="false"/>
          <w:color w:val="1A1A1A"/>
          <w:sz w:val="20"/>
          <w:szCs w:val="20"/>
        </w:rPr>
        <w:t xml:space="preserve">, solve for the maximum net annual price per patient of the new therapy.</w:t>
      </w:r>
    </w:p>
    <w:p>
      <w:pPr>
        <w:spacing w:after="120" w:before="60" w:line="276"/>
        <w:jc w:val="both"/>
      </w:pPr>
      <w:r>
        <w:rPr>
          <w:rFonts w:ascii="Calibri" w:cs="Calibri" w:eastAsia="Calibri" w:hAnsi="Calibri"/>
          <w:b w:val="false"/>
          <w:bCs w:val="false"/>
          <w:color w:val="1A1A1A"/>
          <w:sz w:val="20"/>
          <w:szCs w:val="20"/>
        </w:rPr>
        <w:t xml:space="preserve">Budget impact is linear in the new therapy's unit price when all other parameters are held fixed. Writing </w:t>
      </w:r>
      <w:r>
        <w:rPr>
          <w:rFonts w:ascii="Consolas" w:cs="Consolas" w:eastAsia="Consolas" w:hAnsi="Consolas"/>
          <w:b w:val="false"/>
          <w:bCs w:val="false"/>
          <w:color w:val="8A2E2E"/>
          <w:sz w:val="17"/>
          <w:szCs w:val="17"/>
          <w:shd w:fill="F1F1F1" w:color="auto" w:val="clear"/>
        </w:rPr>
        <w:t xml:space="preserve">p</w:t>
      </w:r>
      <w:r>
        <w:rPr>
          <w:rFonts w:ascii="Calibri" w:cs="Calibri" w:eastAsia="Calibri" w:hAnsi="Calibri"/>
          <w:b w:val="false"/>
          <w:bCs w:val="false"/>
          <w:color w:val="1A1A1A"/>
          <w:sz w:val="20"/>
          <w:szCs w:val="20"/>
        </w:rPr>
        <w:t xml:space="preserve"> for the reference-market net annual acquisition price and separating terms:</w:t>
      </w:r>
    </w:p>
    <w:p>
      <w:pPr>
        <w:pBdr>
          <w:left w:val="single" w:color="2E5C8A" w:sz="12" w:space="8"/>
          <w:right w:val="single" w:color="D3DAE3" w:sz="2" w:space="4"/>
        </w:pBdr>
        <w:shd w:fill="F4F6F8" w:color="auto" w:val="clear"/>
        <w:spacing w:after="140" w:before="100" w:line="220"/>
        <w:ind w:left="120"/>
      </w:pPr>
      <w:r>
        <w:rPr>
          <w:rFonts w:ascii="Consolas" w:cs="Consolas" w:eastAsia="Consolas" w:hAnsi="Consolas"/>
          <w:color w:val="24292E"/>
          <w:sz w:val="15"/>
          <w:szCs w:val="15"/>
        </w:rPr>
        <w:t xml:space="preserve">BI(c,y) = α(c,y) × p + β(c,y)</w:t>
      </w:r>
    </w:p>
    <w:p>
      <w:pPr>
        <w:spacing w:after="120" w:before="60" w:line="276"/>
        <w:jc w:val="both"/>
      </w:pPr>
      <w:r>
        <w:rPr>
          <w:rFonts w:ascii="Calibri" w:cs="Calibri" w:eastAsia="Calibri" w:hAnsi="Calibri"/>
          <w:b w:val="false"/>
          <w:bCs w:val="false"/>
          <w:color w:val="1A1A1A"/>
          <w:sz w:val="20"/>
          <w:szCs w:val="20"/>
        </w:rPr>
        <w:t xml:space="preserve">where:</w:t>
      </w:r>
    </w:p>
    <w:p>
      <w:pPr>
        <w:pBdr>
          <w:left w:val="single" w:color="2E5C8A" w:sz="12" w:space="8"/>
          <w:right w:val="single" w:color="D3DAE3" w:sz="2" w:space="4"/>
        </w:pBdr>
        <w:shd w:fill="F4F6F8" w:color="auto" w:val="clear"/>
        <w:spacing w:after="0" w:before="100" w:line="220"/>
        <w:ind w:left="120"/>
      </w:pPr>
      <w:r>
        <w:rPr>
          <w:rFonts w:ascii="Consolas" w:cs="Consolas" w:eastAsia="Consolas" w:hAnsi="Consolas"/>
          <w:color w:val="24292E"/>
          <w:sz w:val="15"/>
          <w:szCs w:val="15"/>
        </w:rPr>
        <w:t xml:space="preserve">D(c,y)  = Addressable(c,y) × u(y)                                    (patients on new therapy)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α(c,y)  = D(c,y) × f_n × (1 + wastage_n) × (1 - discount_n) × ppp_factor(c)</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β(c,y)  = D(c,y) × [ (admin_n + monitoring_n + ae_n - offset_n)  × f_n</w:t>
      </w:r>
    </w:p>
    <w:p>
      <w:pPr>
        <w:pBdr>
          <w:left w:val="single" w:color="2E5C8A" w:sz="12" w:space="8"/>
          <w:right w:val="single" w:color="D3DAE3" w:sz="2" w:space="4"/>
        </w:pBdr>
        <w:shd w:fill="F4F6F8" w:color="auto" w:val="clear"/>
        <w:spacing w:after="140" w:before="0" w:line="220"/>
        <w:ind w:left="120"/>
      </w:pPr>
      <w:r>
        <w:rPr>
          <w:rFonts w:ascii="Consolas" w:cs="Consolas" w:eastAsia="Consolas" w:hAnsi="Consolas"/>
          <w:color w:val="24292E"/>
          <w:sz w:val="15"/>
          <w:szCs w:val="15"/>
        </w:rPr>
        <w:t xml:space="preserve">                     - Σ(t) σ_t × f_t × AC(t,c) ]</w:t>
      </w:r>
    </w:p>
    <w:p>
      <w:pPr>
        <w:spacing w:after="120" w:before="60" w:line="276"/>
        <w:jc w:val="both"/>
      </w:pPr>
      <w:r>
        <w:rPr>
          <w:rFonts w:ascii="Calibri" w:cs="Calibri" w:eastAsia="Calibri" w:hAnsi="Calibri"/>
          <w:b w:val="false"/>
          <w:bCs w:val="false"/>
          <w:color w:val="1A1A1A"/>
          <w:sz w:val="20"/>
          <w:szCs w:val="20"/>
        </w:rPr>
        <w:t xml:space="preserve">Applying the affordability constraint across the full horizon:</w:t>
      </w:r>
    </w:p>
    <w:p>
      <w:pPr>
        <w:pBdr>
          <w:left w:val="single" w:color="2E5C8A" w:sz="12" w:space="8"/>
          <w:right w:val="single" w:color="D3DAE3" w:sz="2" w:space="4"/>
        </w:pBdr>
        <w:shd w:fill="F4F6F8" w:color="auto" w:val="clear"/>
        <w:spacing w:after="140" w:before="100" w:line="220"/>
        <w:ind w:left="120"/>
      </w:pPr>
      <w:r>
        <w:rPr>
          <w:rFonts w:ascii="Consolas" w:cs="Consolas" w:eastAsia="Consolas" w:hAnsi="Consolas"/>
          <w:color w:val="24292E"/>
          <w:sz w:val="15"/>
          <w:szCs w:val="15"/>
        </w:rPr>
        <w:t xml:space="preserve">Σ(y) [ α(c,y) × p + β(c,y) ]  =  τ × Σ(y) HealthBudget(c,y)</w:t>
      </w:r>
    </w:p>
    <w:p>
      <w:pPr>
        <w:spacing w:after="120" w:before="60" w:line="276"/>
        <w:jc w:val="both"/>
      </w:pPr>
      <w:r>
        <w:rPr>
          <w:rFonts w:ascii="Calibri" w:cs="Calibri" w:eastAsia="Calibri" w:hAnsi="Calibri"/>
          <w:b/>
          <w:bCs/>
          <w:color w:val="1A1A1A"/>
          <w:sz w:val="20"/>
          <w:szCs w:val="20"/>
        </w:rPr>
        <w:t xml:space="preserve">Analytic solution:</w:t>
      </w:r>
    </w:p>
    <w:p>
      <w:pPr>
        <w:pBdr>
          <w:left w:val="single" w:color="2E5C8A" w:sz="12" w:space="8"/>
          <w:right w:val="single" w:color="D3DAE3" w:sz="2" w:space="4"/>
        </w:pBdr>
        <w:shd w:fill="F4F6F8" w:color="auto" w:val="clear"/>
        <w:spacing w:after="0" w:before="100" w:line="220"/>
        <w:ind w:left="120"/>
      </w:pPr>
      <w:r>
        <w:rPr>
          <w:rFonts w:ascii="Consolas" w:cs="Consolas" w:eastAsia="Consolas" w:hAnsi="Consolas"/>
          <w:color w:val="24292E"/>
          <w:sz w:val="15"/>
          <w:szCs w:val="15"/>
        </w:rPr>
        <w:t xml:space="preserve">          τ × Σ(y) HealthBudget(c,y)  -  Σ(y) β(c,y)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p*(c) =  ───────────────────────────────────────────</w:t>
      </w:r>
    </w:p>
    <w:p>
      <w:pPr>
        <w:pBdr>
          <w:left w:val="single" w:color="2E5C8A" w:sz="12" w:space="8"/>
          <w:right w:val="single" w:color="D3DAE3" w:sz="2" w:space="4"/>
        </w:pBdr>
        <w:shd w:fill="F4F6F8" w:color="auto" w:val="clear"/>
        <w:spacing w:after="140" w:before="0" w:line="220"/>
        <w:ind w:left="120"/>
      </w:pPr>
      <w:r>
        <w:rPr>
          <w:rFonts w:ascii="Consolas" w:cs="Consolas" w:eastAsia="Consolas" w:hAnsi="Consolas"/>
          <w:color w:val="24292E"/>
          <w:sz w:val="15"/>
          <w:szCs w:val="15"/>
        </w:rPr>
        <w:t xml:space="preserve">                      Σ(y) α(c,y)</w:t>
      </w:r>
    </w:p>
    <w:p>
      <w:pPr>
        <w:spacing w:after="120" w:before="60" w:line="276"/>
        <w:jc w:val="both"/>
      </w:pPr>
      <w:r>
        <w:rPr>
          <w:rFonts w:ascii="Calibri" w:cs="Calibri" w:eastAsia="Calibri" w:hAnsi="Calibri"/>
          <w:b/>
          <w:bCs/>
          <w:color w:val="1A1A1A"/>
          <w:sz w:val="20"/>
          <w:szCs w:val="20"/>
        </w:rPr>
        <w:t xml:space="preserve">Fallback.</w:t>
      </w:r>
      <w:r>
        <w:rPr>
          <w:rFonts w:ascii="Calibri" w:cs="Calibri" w:eastAsia="Calibri" w:hAnsi="Calibri"/>
          <w:b w:val="false"/>
          <w:bCs w:val="false"/>
          <w:color w:val="1A1A1A"/>
          <w:sz w:val="20"/>
          <w:szCs w:val="20"/>
        </w:rPr>
        <w:t xml:space="preserve"> Where the configuration introduces non-linearity in price — tiered discount schedules or volume-dependent rebates — the analytic form is invalid. The solver detects these conditions and falls back to bisection on </w:t>
      </w:r>
      <w:r>
        <w:rPr>
          <w:rFonts w:ascii="Consolas" w:cs="Consolas" w:eastAsia="Consolas" w:hAnsi="Consolas"/>
          <w:b w:val="false"/>
          <w:bCs w:val="false"/>
          <w:color w:val="8A2E2E"/>
          <w:sz w:val="17"/>
          <w:szCs w:val="17"/>
          <w:shd w:fill="F1F1F1" w:color="auto" w:val="clear"/>
        </w:rPr>
        <w:t xml:space="preserve">p ∈ [0, 10 × p_ref]</w:t>
      </w:r>
      <w:r>
        <w:rPr>
          <w:rFonts w:ascii="Calibri" w:cs="Calibri" w:eastAsia="Calibri" w:hAnsi="Calibri"/>
          <w:b w:val="false"/>
          <w:bCs w:val="false"/>
          <w:color w:val="1A1A1A"/>
          <w:sz w:val="20"/>
          <w:szCs w:val="20"/>
        </w:rPr>
        <w:t xml:space="preserve"> with a relative tolerance of 1×10⁻⁶ and a cap of 100 iterations. The response records which method was used.</w:t>
      </w:r>
    </w:p>
    <w:p>
      <w:pPr>
        <w:spacing w:after="120" w:before="60" w:line="276"/>
        <w:jc w:val="both"/>
      </w:pPr>
      <w:r>
        <w:rPr>
          <w:rFonts w:ascii="Calibri" w:cs="Calibri" w:eastAsia="Calibri" w:hAnsi="Calibri"/>
          <w:b w:val="false"/>
          <w:bCs w:val="false"/>
          <w:color w:val="1A1A1A"/>
          <w:sz w:val="20"/>
          <w:szCs w:val="20"/>
        </w:rPr>
        <w:t xml:space="preserve">An active price floor in the purchasing-power adjustment does </w:t>
      </w:r>
      <w:r>
        <w:rPr>
          <w:rFonts w:ascii="Calibri" w:cs="Calibri" w:eastAsia="Calibri" w:hAnsi="Calibri"/>
          <w:b/>
          <w:bCs/>
          <w:color w:val="1A1A1A"/>
          <w:sz w:val="20"/>
          <w:szCs w:val="20"/>
        </w:rPr>
        <w:t xml:space="preserve">not</w:t>
      </w:r>
      <w:r>
        <w:rPr>
          <w:rFonts w:ascii="Calibri" w:cs="Calibri" w:eastAsia="Calibri" w:hAnsi="Calibri"/>
          <w:b w:val="false"/>
          <w:bCs w:val="false"/>
          <w:color w:val="1A1A1A"/>
          <w:sz w:val="20"/>
          <w:szCs w:val="20"/>
        </w:rPr>
        <w:t xml:space="preserve"> require the fallback: since </w:t>
      </w:r>
      <w:r>
        <w:rPr>
          <w:rFonts w:ascii="Consolas" w:cs="Consolas" w:eastAsia="Consolas" w:hAnsi="Consolas"/>
          <w:b w:val="false"/>
          <w:bCs w:val="false"/>
          <w:color w:val="8A2E2E"/>
          <w:sz w:val="17"/>
          <w:szCs w:val="17"/>
          <w:shd w:fill="F1F1F1" w:color="auto" w:val="clear"/>
        </w:rPr>
        <w:t xml:space="preserve">max(a·p, b·p) = p · max(a, b)</w:t>
      </w:r>
      <w:r>
        <w:rPr>
          <w:rFonts w:ascii="Calibri" w:cs="Calibri" w:eastAsia="Calibri" w:hAnsi="Calibri"/>
          <w:b w:val="false"/>
          <w:bCs w:val="false"/>
          <w:color w:val="1A1A1A"/>
          <w:sz w:val="20"/>
          <w:szCs w:val="20"/>
        </w:rPr>
        <w:t xml:space="preserve"> for </w:t>
      </w:r>
      <w:r>
        <w:rPr>
          <w:rFonts w:ascii="Consolas" w:cs="Consolas" w:eastAsia="Consolas" w:hAnsi="Consolas"/>
          <w:b w:val="false"/>
          <w:bCs w:val="false"/>
          <w:color w:val="8A2E2E"/>
          <w:sz w:val="17"/>
          <w:szCs w:val="17"/>
          <w:shd w:fill="F1F1F1" w:color="auto" w:val="clear"/>
        </w:rPr>
        <w:t xml:space="preserve">p &gt; 0</w:t>
      </w:r>
      <w:r>
        <w:rPr>
          <w:rFonts w:ascii="Calibri" w:cs="Calibri" w:eastAsia="Calibri" w:hAnsi="Calibri"/>
          <w:b w:val="false"/>
          <w:bCs w:val="false"/>
          <w:color w:val="1A1A1A"/>
          <w:sz w:val="20"/>
          <w:szCs w:val="20"/>
        </w:rPr>
        <w:t xml:space="preserve">, the floor acts as a constant multiplier on price and linearity is preserved. The analytic path remains valid.</w:t>
      </w:r>
    </w:p>
    <w:p>
      <w:pPr>
        <w:spacing w:after="120" w:before="60" w:line="276"/>
        <w:jc w:val="both"/>
      </w:pPr>
      <w:r>
        <w:rPr>
          <w:rFonts w:ascii="Calibri" w:cs="Calibri" w:eastAsia="Calibri" w:hAnsi="Calibri"/>
          <w:b/>
          <w:bCs/>
          <w:color w:val="1A1A1A"/>
          <w:sz w:val="20"/>
          <w:szCs w:val="20"/>
        </w:rPr>
        <w:t xml:space="preserve">Degenerate cases.</w:t>
      </w:r>
    </w:p>
    <w:p>
      <w:pPr>
        <w:pStyle w:val="ListParagraph"/>
        <w:numPr>
          <w:ilvl w:val="0"/>
          <w:numId w:val="1"/>
        </w:numPr>
        <w:spacing w:after="40" w:before="40" w:line="264"/>
      </w:pPr>
      <w:r>
        <w:rPr>
          <w:rFonts w:ascii="Consolas" w:cs="Consolas" w:eastAsia="Consolas" w:hAnsi="Consolas"/>
          <w:b w:val="false"/>
          <w:bCs w:val="false"/>
          <w:color w:val="8A2E2E"/>
          <w:sz w:val="17"/>
          <w:szCs w:val="17"/>
          <w:shd w:fill="F1F1F1" w:color="auto" w:val="clear"/>
        </w:rPr>
        <w:t xml:space="preserve">Σα = 0</w:t>
      </w:r>
      <w:r>
        <w:rPr>
          <w:rFonts w:ascii="Calibri" w:cs="Calibri" w:eastAsia="Calibri" w:hAnsi="Calibri"/>
          <w:b w:val="false"/>
          <w:bCs w:val="false"/>
          <w:color w:val="1A1A1A"/>
          <w:sz w:val="20"/>
          <w:szCs w:val="20"/>
        </w:rPr>
        <w:t xml:space="preserve"> — no patients reach the new therapy in any year. No solution exists; the solver returns unbounded with a diagnostic.</w:t>
      </w:r>
    </w:p>
    <w:p>
      <w:pPr>
        <w:pStyle w:val="ListParagraph"/>
        <w:numPr>
          <w:ilvl w:val="0"/>
          <w:numId w:val="1"/>
        </w:numPr>
        <w:spacing w:after="40" w:before="40" w:line="264"/>
      </w:pPr>
      <w:r>
        <w:rPr>
          <w:rFonts w:ascii="Consolas" w:cs="Consolas" w:eastAsia="Consolas" w:hAnsi="Consolas"/>
          <w:b w:val="false"/>
          <w:bCs w:val="false"/>
          <w:color w:val="8A2E2E"/>
          <w:sz w:val="17"/>
          <w:szCs w:val="17"/>
          <w:shd w:fill="F1F1F1" w:color="auto" w:val="clear"/>
        </w:rPr>
        <w:t xml:space="preserve">p* &lt; 0</w:t>
      </w:r>
      <w:r>
        <w:rPr>
          <w:rFonts w:ascii="Calibri" w:cs="Calibri" w:eastAsia="Calibri" w:hAnsi="Calibri"/>
          <w:b w:val="false"/>
          <w:bCs w:val="false"/>
          <w:color w:val="1A1A1A"/>
          <w:sz w:val="20"/>
          <w:szCs w:val="20"/>
        </w:rPr>
        <w:t xml:space="preserve"> — the affordability target cannot be met at any non-negative price, because displaced-therapy savings are insufficient. Returns infeasible with the shortfall quantified.</w:t>
      </w:r>
    </w:p>
    <w:p>
      <w:pPr>
        <w:spacing w:after="120" w:before="60" w:line="276"/>
        <w:jc w:val="both"/>
      </w:pPr>
      <w:r>
        <w:rPr>
          <w:rFonts w:ascii="Calibri" w:cs="Calibri" w:eastAsia="Calibri" w:hAnsi="Calibri"/>
          <w:b/>
          <w:bCs/>
          <w:color w:val="1A1A1A"/>
          <w:sz w:val="20"/>
          <w:szCs w:val="20"/>
        </w:rPr>
        <w:t xml:space="preserve">Price corridor.</w:t>
      </w:r>
      <w:r>
        <w:rPr>
          <w:rFonts w:ascii="Calibri" w:cs="Calibri" w:eastAsia="Calibri" w:hAnsi="Calibri"/>
          <w:b w:val="false"/>
          <w:bCs w:val="false"/>
          <w:color w:val="1A1A1A"/>
          <w:sz w:val="20"/>
          <w:szCs w:val="20"/>
        </w:rPr>
        <w:t xml:space="preserve"> Executing the solver across all selected markets yields the vector </w:t>
      </w:r>
      <w:r>
        <w:rPr>
          <w:rFonts w:ascii="Consolas" w:cs="Consolas" w:eastAsia="Consolas" w:hAnsi="Consolas"/>
          <w:b w:val="false"/>
          <w:bCs w:val="false"/>
          <w:color w:val="8A2E2E"/>
          <w:sz w:val="17"/>
          <w:szCs w:val="17"/>
          <w:shd w:fill="F1F1F1" w:color="auto" w:val="clear"/>
        </w:rPr>
        <w:t xml:space="preserve">{p*(c)}</w:t>
      </w:r>
      <w:r>
        <w:rPr>
          <w:rFonts w:ascii="Calibri" w:cs="Calibri" w:eastAsia="Calibri" w:hAnsi="Calibri"/>
          <w:b w:val="false"/>
          <w:bCs w:val="false"/>
          <w:color w:val="1A1A1A"/>
          <w:sz w:val="20"/>
          <w:szCs w:val="20"/>
        </w:rPr>
        <w:t xml:space="preserve">. The minimum across markets is the binding constraint for a single global price; the full vector defines the differential pricing envelope. This output directly addresses the pre-launch pricing question that motivates the system.</w:t>
      </w:r>
    </w:p>
    <w:p>
      <w:pPr>
        <w:pStyle w:val="Heading3"/>
        <w:keepNext/>
        <w:spacing w:after="90" w:before="260"/>
      </w:pPr>
      <w:r>
        <w:rPr>
          <w:rFonts w:ascii="Calibri" w:cs="Calibri" w:eastAsia="Calibri" w:hAnsi="Calibri"/>
          <w:b/>
          <w:bCs/>
          <w:color w:val="2E5C8A"/>
          <w:sz w:val="23"/>
          <w:szCs w:val="23"/>
        </w:rPr>
        <w:t xml:space="preserve">5.9 Module M9 — Sensitivity Analysis</w:t>
      </w:r>
    </w:p>
    <w:p>
      <w:pPr>
        <w:spacing w:after="120" w:before="60" w:line="276"/>
        <w:jc w:val="both"/>
      </w:pPr>
      <w:r>
        <w:rPr>
          <w:rFonts w:ascii="Calibri" w:cs="Calibri" w:eastAsia="Calibri" w:hAnsi="Calibri"/>
          <w:b/>
          <w:bCs/>
          <w:color w:val="1A1A1A"/>
          <w:sz w:val="20"/>
          <w:szCs w:val="20"/>
        </w:rPr>
        <w:t xml:space="preserve">One-way deterministic.</w:t>
      </w:r>
      <w:r>
        <w:rPr>
          <w:rFonts w:ascii="Calibri" w:cs="Calibri" w:eastAsia="Calibri" w:hAnsi="Calibri"/>
          <w:b w:val="false"/>
          <w:bCs w:val="false"/>
          <w:color w:val="1A1A1A"/>
          <w:sz w:val="20"/>
          <w:szCs w:val="20"/>
        </w:rPr>
        <w:t xml:space="preserve"> For each input </w:t>
      </w:r>
      <w:r>
        <w:rPr>
          <w:rFonts w:ascii="Consolas" w:cs="Consolas" w:eastAsia="Consolas" w:hAnsi="Consolas"/>
          <w:b w:val="false"/>
          <w:bCs w:val="false"/>
          <w:color w:val="8A2E2E"/>
          <w:sz w:val="17"/>
          <w:szCs w:val="17"/>
          <w:shd w:fill="F1F1F1" w:color="auto" w:val="clear"/>
        </w:rPr>
        <w:t xml:space="preserve">x_i</w:t>
      </w:r>
      <w:r>
        <w:rPr>
          <w:rFonts w:ascii="Calibri" w:cs="Calibri" w:eastAsia="Calibri" w:hAnsi="Calibri"/>
          <w:b w:val="false"/>
          <w:bCs w:val="false"/>
          <w:color w:val="1A1A1A"/>
          <w:sz w:val="20"/>
          <w:szCs w:val="20"/>
        </w:rPr>
        <w:t xml:space="preserve"> with plausible range </w:t>
      </w:r>
      <w:r>
        <w:rPr>
          <w:rFonts w:ascii="Consolas" w:cs="Consolas" w:eastAsia="Consolas" w:hAnsi="Consolas"/>
          <w:b w:val="false"/>
          <w:bCs w:val="false"/>
          <w:color w:val="8A2E2E"/>
          <w:sz w:val="17"/>
          <w:szCs w:val="17"/>
          <w:shd w:fill="F1F1F1" w:color="auto" w:val="clear"/>
        </w:rPr>
        <w:t xml:space="preserve">[lo_i, hi_i]</w:t>
      </w:r>
      <w:r>
        <w:rPr>
          <w:rFonts w:ascii="Calibri" w:cs="Calibri" w:eastAsia="Calibri" w:hAnsi="Calibri"/>
          <w:b w:val="false"/>
          <w:bCs w:val="false"/>
          <w:color w:val="1A1A1A"/>
          <w:sz w:val="20"/>
          <w:szCs w:val="20"/>
        </w:rPr>
        <w:t xml:space="preserve">, evaluate total cumulative budget impact at both bounds while holding all other inputs at base case:</w:t>
      </w:r>
    </w:p>
    <w:p>
      <w:pPr>
        <w:pBdr>
          <w:left w:val="single" w:color="2E5C8A" w:sz="12" w:space="8"/>
          <w:right w:val="single" w:color="D3DAE3" w:sz="2" w:space="4"/>
        </w:pBdr>
        <w:shd w:fill="F4F6F8" w:color="auto" w:val="clear"/>
        <w:spacing w:after="140" w:before="100" w:line="220"/>
        <w:ind w:left="120"/>
      </w:pPr>
      <w:r>
        <w:rPr>
          <w:rFonts w:ascii="Consolas" w:cs="Consolas" w:eastAsia="Consolas" w:hAnsi="Consolas"/>
          <w:color w:val="24292E"/>
          <w:sz w:val="15"/>
          <w:szCs w:val="15"/>
        </w:rPr>
        <w:t xml:space="preserve">swing_i = | BI_total(x_i = hi_i) - BI_total(x_i = lo_i) |</w:t>
      </w:r>
    </w:p>
    <w:p>
      <w:pPr>
        <w:spacing w:after="120" w:before="60" w:line="276"/>
        <w:jc w:val="both"/>
      </w:pPr>
      <w:r>
        <w:rPr>
          <w:rFonts w:ascii="Calibri" w:cs="Calibri" w:eastAsia="Calibri" w:hAnsi="Calibri"/>
          <w:b w:val="false"/>
          <w:bCs w:val="false"/>
          <w:color w:val="1A1A1A"/>
          <w:sz w:val="20"/>
          <w:szCs w:val="20"/>
        </w:rPr>
        <w:t xml:space="preserve">Inputs are ranked by descending swing and rendered as a tornado diagram. The ranking is the substantive output: it identifies which assumptions determine the answer and therefore which evidence is worth acquiring before the decision is made.</w:t>
      </w:r>
    </w:p>
    <w:p>
      <w:pPr>
        <w:spacing w:after="120" w:before="60" w:line="276"/>
        <w:jc w:val="both"/>
      </w:pPr>
      <w:r>
        <w:rPr>
          <w:rFonts w:ascii="Calibri" w:cs="Calibri" w:eastAsia="Calibri" w:hAnsi="Calibri"/>
          <w:b/>
          <w:bCs/>
          <w:color w:val="1A1A1A"/>
          <w:sz w:val="20"/>
          <w:szCs w:val="20"/>
        </w:rPr>
        <w:t xml:space="preserve">Probabilistic sensitivity analysis.</w:t>
      </w:r>
      <w:r>
        <w:rPr>
          <w:rFonts w:ascii="Calibri" w:cs="Calibri" w:eastAsia="Calibri" w:hAnsi="Calibri"/>
          <w:b w:val="false"/>
          <w:bCs w:val="false"/>
          <w:color w:val="1A1A1A"/>
          <w:sz w:val="20"/>
          <w:szCs w:val="20"/>
        </w:rPr>
        <w:t xml:space="preserve"> Monte Carlo simulation over </w:t>
      </w:r>
      <w:r>
        <w:rPr>
          <w:rFonts w:ascii="Consolas" w:cs="Consolas" w:eastAsia="Consolas" w:hAnsi="Consolas"/>
          <w:b w:val="false"/>
          <w:bCs w:val="false"/>
          <w:color w:val="8A2E2E"/>
          <w:sz w:val="17"/>
          <w:szCs w:val="17"/>
          <w:shd w:fill="F1F1F1" w:color="auto" w:val="clear"/>
        </w:rPr>
        <w:t xml:space="preserve">M</w:t>
      </w:r>
      <w:r>
        <w:rPr>
          <w:rFonts w:ascii="Calibri" w:cs="Calibri" w:eastAsia="Calibri" w:hAnsi="Calibri"/>
          <w:b w:val="false"/>
          <w:bCs w:val="false"/>
          <w:color w:val="1A1A1A"/>
          <w:sz w:val="20"/>
          <w:szCs w:val="20"/>
        </w:rPr>
        <w:t xml:space="preserve"> iterations (default 5,000). Assigned distributions:</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3754"/>
        <w:gridCol w:w="2056"/>
        <w:gridCol w:w="4080"/>
      </w:tblGrid>
      <w:tr>
        <w:trPr>
          <w:tblHeader/>
        </w:trPr>
        <w:tc>
          <w:tcPr>
            <w:tcW w:type="dxa" w:w="3754"/>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Parameter class</w:t>
            </w:r>
          </w:p>
        </w:tc>
        <w:tc>
          <w:tcPr>
            <w:tcW w:type="dxa" w:w="2056"/>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Distribution</w:t>
            </w:r>
          </w:p>
        </w:tc>
        <w:tc>
          <w:tcPr>
            <w:tcW w:type="dxa" w:w="4080"/>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Parameterisation</w:t>
            </w:r>
          </w:p>
        </w:tc>
      </w:tr>
      <w:tr>
        <w:tc>
          <w:tcPr>
            <w:tcW w:type="dxa" w:w="375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Prevalence</w:t>
            </w:r>
          </w:p>
        </w:tc>
        <w:tc>
          <w:tcPr>
            <w:tcW w:type="dxa" w:w="205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Beta</w:t>
            </w:r>
          </w:p>
        </w:tc>
        <w:tc>
          <w:tcPr>
            <w:tcW w:type="dxa" w:w="408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Method of moments from WHO published mean and 95% bounds</w:t>
            </w:r>
          </w:p>
        </w:tc>
      </w:tr>
      <w:tr>
        <w:tc>
          <w:tcPr>
            <w:tcW w:type="dxa" w:w="375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Diagnosis rate, treatment rate, access rate</w:t>
            </w:r>
          </w:p>
        </w:tc>
        <w:tc>
          <w:tcPr>
            <w:tcW w:type="dxa" w:w="2056"/>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Beta</w:t>
            </w:r>
          </w:p>
        </w:tc>
        <w:tc>
          <w:tcPr>
            <w:tcW w:type="dxa" w:w="408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From mean and assumed standard error</w:t>
            </w:r>
          </w:p>
        </w:tc>
      </w:tr>
      <w:tr>
        <w:tc>
          <w:tcPr>
            <w:tcW w:type="dxa" w:w="375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Eligibility criterion factors</w:t>
            </w:r>
          </w:p>
        </w:tc>
        <w:tc>
          <w:tcPr>
            <w:tcW w:type="dxa" w:w="205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Beta</w:t>
            </w:r>
          </w:p>
        </w:tc>
        <w:tc>
          <w:tcPr>
            <w:tcW w:type="dxa" w:w="408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From mean and confidence tier</w:t>
            </w:r>
          </w:p>
        </w:tc>
      </w:tr>
      <w:tr>
        <w:tc>
          <w:tcPr>
            <w:tcW w:type="dxa" w:w="375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Uptake plateau</w:t>
            </w:r>
          </w:p>
        </w:tc>
        <w:tc>
          <w:tcPr>
            <w:tcW w:type="dxa" w:w="2056"/>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Beta</w:t>
            </w:r>
          </w:p>
        </w:tc>
        <w:tc>
          <w:tcPr>
            <w:tcW w:type="dxa" w:w="408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From mean and assumed standard error</w:t>
            </w:r>
          </w:p>
        </w:tc>
      </w:tr>
      <w:tr>
        <w:tc>
          <w:tcPr>
            <w:tcW w:type="dxa" w:w="375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Twelve-month persistence</w:t>
            </w:r>
          </w:p>
        </w:tc>
        <w:tc>
          <w:tcPr>
            <w:tcW w:type="dxa" w:w="205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Beta</w:t>
            </w:r>
          </w:p>
        </w:tc>
        <w:tc>
          <w:tcPr>
            <w:tcW w:type="dxa" w:w="408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From mean and assumed standard error</w:t>
            </w:r>
          </w:p>
        </w:tc>
      </w:tr>
      <w:tr>
        <w:tc>
          <w:tcPr>
            <w:tcW w:type="dxa" w:w="375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Unit prices</w:t>
            </w:r>
          </w:p>
        </w:tc>
        <w:tc>
          <w:tcPr>
            <w:tcW w:type="dxa" w:w="2056"/>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Triangular</w:t>
            </w:r>
          </w:p>
        </w:tc>
        <w:tc>
          <w:tcPr>
            <w:tcW w:type="dxa" w:w="408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Minimum, mode, maximum from the price scenario range</w:t>
            </w:r>
          </w:p>
        </w:tc>
      </w:tr>
      <w:tr>
        <w:tc>
          <w:tcPr>
            <w:tcW w:type="dxa" w:w="375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Administration, monitoring, adverse-event costs</w:t>
            </w:r>
          </w:p>
        </w:tc>
        <w:tc>
          <w:tcPr>
            <w:tcW w:type="dxa" w:w="205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Gamma</w:t>
            </w:r>
          </w:p>
        </w:tc>
        <w:tc>
          <w:tcPr>
            <w:tcW w:type="dxa" w:w="408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Shape and scale from mean and standard error</w:t>
            </w:r>
          </w:p>
        </w:tc>
      </w:tr>
    </w:tbl>
    <w:p>
      <w:pPr>
        <w:spacing w:after="160"/>
      </w:pPr>
    </w:p>
    <w:p>
      <w:pPr>
        <w:spacing w:after="120" w:before="60" w:line="276"/>
        <w:jc w:val="both"/>
      </w:pPr>
      <w:r>
        <w:rPr>
          <w:rFonts w:ascii="Calibri" w:cs="Calibri" w:eastAsia="Calibri" w:hAnsi="Calibri"/>
          <w:b w:val="false"/>
          <w:bCs w:val="false"/>
          <w:color w:val="1A1A1A"/>
          <w:sz w:val="20"/>
          <w:szCs w:val="20"/>
        </w:rPr>
        <w:t xml:space="preserve">For any parameter supplied with published bounds, the standard deviation is derived as </w:t>
      </w:r>
      <w:r>
        <w:rPr>
          <w:rFonts w:ascii="Consolas" w:cs="Consolas" w:eastAsia="Consolas" w:hAnsi="Consolas"/>
          <w:b w:val="false"/>
          <w:bCs w:val="false"/>
          <w:color w:val="8A2E2E"/>
          <w:sz w:val="17"/>
          <w:szCs w:val="17"/>
          <w:shd w:fill="F1F1F1" w:color="auto" w:val="clear"/>
        </w:rPr>
        <w:t xml:space="preserve">(upper - lower) / 3.92</w:t>
      </w:r>
      <w:r>
        <w:rPr>
          <w:rFonts w:ascii="Calibri" w:cs="Calibri" w:eastAsia="Calibri" w:hAnsi="Calibri"/>
          <w:b w:val="false"/>
          <w:bCs w:val="false"/>
          <w:color w:val="1A1A1A"/>
          <w:sz w:val="20"/>
          <w:szCs w:val="20"/>
        </w:rPr>
        <w:t xml:space="preserve">, the normal approximation to a 95 percent interval.</w:t>
      </w:r>
    </w:p>
    <w:p>
      <w:pPr>
        <w:spacing w:after="120" w:before="60" w:line="276"/>
        <w:jc w:val="both"/>
      </w:pPr>
      <w:r>
        <w:rPr>
          <w:rFonts w:ascii="Calibri" w:cs="Calibri" w:eastAsia="Calibri" w:hAnsi="Calibri"/>
          <w:b w:val="false"/>
          <w:bCs w:val="false"/>
          <w:color w:val="1A1A1A"/>
          <w:sz w:val="20"/>
          <w:szCs w:val="20"/>
        </w:rPr>
        <w:t xml:space="preserve">Reported outputs: mean, median, 2.5th and 97.5th percentiles of cumulative budget impact; the probability that budget impact exceeds each affordability band threshold; and a cumulative distribution plot.</w:t>
      </w:r>
    </w:p>
    <w:p>
      <w:pPr>
        <w:spacing w:after="120" w:before="60" w:line="276"/>
        <w:jc w:val="both"/>
      </w:pPr>
      <w:r>
        <w:rPr>
          <w:rFonts w:ascii="Calibri" w:cs="Calibri" w:eastAsia="Calibri" w:hAnsi="Calibri"/>
          <w:b/>
          <w:bCs/>
          <w:color w:val="1A1A1A"/>
          <w:sz w:val="20"/>
          <w:szCs w:val="20"/>
        </w:rPr>
        <w:t xml:space="preserve">Confidence tiers.</w:t>
      </w:r>
      <w:r>
        <w:rPr>
          <w:rFonts w:ascii="Calibri" w:cs="Calibri" w:eastAsia="Calibri" w:hAnsi="Calibri"/>
          <w:b w:val="false"/>
          <w:bCs w:val="false"/>
          <w:color w:val="1A1A1A"/>
          <w:sz w:val="20"/>
          <w:szCs w:val="20"/>
        </w:rPr>
        <w:t xml:space="preserve"> Every parameter carries a tier that determines its default uncertainty width when no published interval exists:</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1667"/>
        <w:gridCol w:w="4546"/>
        <w:gridCol w:w="3677"/>
      </w:tblGrid>
      <w:tr>
        <w:trPr>
          <w:tblHeader/>
        </w:trPr>
        <w:tc>
          <w:tcPr>
            <w:tcW w:type="dxa" w:w="1667"/>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Tier</w:t>
            </w:r>
          </w:p>
        </w:tc>
        <w:tc>
          <w:tcPr>
            <w:tcW w:type="dxa" w:w="4546"/>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Source character</w:t>
            </w:r>
          </w:p>
        </w:tc>
        <w:tc>
          <w:tcPr>
            <w:tcW w:type="dxa" w:w="3677"/>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Default relative standard error</w:t>
            </w:r>
          </w:p>
        </w:tc>
      </w:tr>
      <w:tr>
        <w:tc>
          <w:tcPr>
            <w:tcW w:type="dxa" w:w="166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w:t>
            </w:r>
          </w:p>
        </w:tc>
        <w:tc>
          <w:tcPr>
            <w:tcW w:type="dxa" w:w="454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Published, country-specific, with stated interval</w:t>
            </w:r>
          </w:p>
        </w:tc>
        <w:tc>
          <w:tcPr>
            <w:tcW w:type="dxa" w:w="367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Interval as published</w:t>
            </w:r>
          </w:p>
        </w:tc>
      </w:tr>
      <w:tr>
        <w:tc>
          <w:tcPr>
            <w:tcW w:type="dxa" w:w="166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B</w:t>
            </w:r>
          </w:p>
        </w:tc>
        <w:tc>
          <w:tcPr>
            <w:tcW w:type="dxa" w:w="4546"/>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Published, regional or extrapolated</w:t>
            </w:r>
          </w:p>
        </w:tc>
        <w:tc>
          <w:tcPr>
            <w:tcW w:type="dxa" w:w="367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15%</w:t>
            </w:r>
          </w:p>
        </w:tc>
      </w:tr>
      <w:tr>
        <w:tc>
          <w:tcPr>
            <w:tcW w:type="dxa" w:w="166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w:t>
            </w:r>
          </w:p>
        </w:tc>
        <w:tc>
          <w:tcPr>
            <w:tcW w:type="dxa" w:w="454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Analogue-derived or expert assumption</w:t>
            </w:r>
          </w:p>
        </w:tc>
        <w:tc>
          <w:tcPr>
            <w:tcW w:type="dxa" w:w="367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30%</w:t>
            </w:r>
          </w:p>
        </w:tc>
      </w:tr>
      <w:tr>
        <w:tc>
          <w:tcPr>
            <w:tcW w:type="dxa" w:w="166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D</w:t>
            </w:r>
          </w:p>
        </w:tc>
        <w:tc>
          <w:tcPr>
            <w:tcW w:type="dxa" w:w="4546"/>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Placeholder requiring replacement</w:t>
            </w:r>
          </w:p>
        </w:tc>
        <w:tc>
          <w:tcPr>
            <w:tcW w:type="dxa" w:w="367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50%</w:t>
            </w:r>
          </w:p>
        </w:tc>
      </w:tr>
    </w:tbl>
    <w:p>
      <w:pPr>
        <w:spacing w:after="160"/>
      </w:pPr>
    </w:p>
    <w:p>
      <w:pPr>
        <w:pBdr>
          <w:bottom w:val="single" w:color="C6CFDA" w:sz="4" w:space="2"/>
        </w:pBdr>
        <w:spacing w:after="160" w:before="60"/>
      </w:pPr>
    </w:p>
    <w:p>
      <w:pPr>
        <w:pStyle w:val="Heading2"/>
        <w:keepNext/>
        <w:pBdr>
          <w:bottom w:val="single" w:color="C6CFDA" w:sz="6" w:space="6"/>
        </w:pBdr>
        <w:spacing w:after="140" w:before="360"/>
      </w:pPr>
      <w:r>
        <w:rPr>
          <w:rFonts w:ascii="Calibri" w:cs="Calibri" w:eastAsia="Calibri" w:hAnsi="Calibri"/>
          <w:b/>
          <w:bCs/>
          <w:color w:val="1F3864"/>
          <w:sz w:val="28"/>
          <w:szCs w:val="28"/>
        </w:rPr>
        <w:t xml:space="preserve">6. Country and Reference Data</w:t>
      </w:r>
    </w:p>
    <w:p>
      <w:pPr>
        <w:pStyle w:val="Heading3"/>
        <w:keepNext/>
        <w:spacing w:after="90" w:before="260"/>
      </w:pPr>
      <w:r>
        <w:rPr>
          <w:rFonts w:ascii="Calibri" w:cs="Calibri" w:eastAsia="Calibri" w:hAnsi="Calibri"/>
          <w:b/>
          <w:bCs/>
          <w:color w:val="2E5C8A"/>
          <w:sz w:val="23"/>
          <w:szCs w:val="23"/>
        </w:rPr>
        <w:t xml:space="preserve">6.1 Market Coverage</w:t>
      </w:r>
    </w:p>
    <w:p>
      <w:pPr>
        <w:spacing w:after="120" w:before="60" w:line="276"/>
        <w:jc w:val="both"/>
      </w:pPr>
      <w:r>
        <w:rPr>
          <w:rFonts w:ascii="Calibri" w:cs="Calibri" w:eastAsia="Calibri" w:hAnsi="Calibri"/>
          <w:b w:val="false"/>
          <w:bCs w:val="false"/>
          <w:color w:val="1A1A1A"/>
          <w:sz w:val="20"/>
          <w:szCs w:val="20"/>
        </w:rPr>
        <w:t xml:space="preserve">Ten markets, selected to span health-system archetypes and income levels.</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650"/>
        <w:gridCol w:w="1013"/>
        <w:gridCol w:w="815"/>
        <w:gridCol w:w="1454"/>
        <w:gridCol w:w="1099"/>
        <w:gridCol w:w="1368"/>
        <w:gridCol w:w="777"/>
        <w:gridCol w:w="1277"/>
        <w:gridCol w:w="1437"/>
      </w:tblGrid>
      <w:tr>
        <w:trPr>
          <w:tblHeader/>
        </w:trPr>
        <w:tc>
          <w:tcPr>
            <w:tcW w:type="dxa" w:w="650"/>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5"/>
                <w:szCs w:val="15"/>
              </w:rPr>
              <w:t xml:space="preserve">ISO3</w:t>
            </w:r>
          </w:p>
        </w:tc>
        <w:tc>
          <w:tcPr>
            <w:tcW w:type="dxa" w:w="1013"/>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5"/>
                <w:szCs w:val="15"/>
              </w:rPr>
              <w:t xml:space="preserve">Market</w:t>
            </w:r>
          </w:p>
        </w:tc>
        <w:tc>
          <w:tcPr>
            <w:tcW w:type="dxa" w:w="815"/>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5"/>
                <w:szCs w:val="15"/>
              </w:rPr>
              <w:t xml:space="preserve">Currency</w:t>
            </w:r>
          </w:p>
        </w:tc>
        <w:tc>
          <w:tcPr>
            <w:tcW w:type="dxa" w:w="1454"/>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5"/>
                <w:szCs w:val="15"/>
              </w:rPr>
              <w:t xml:space="preserve">Archetype</w:t>
            </w:r>
          </w:p>
        </w:tc>
        <w:tc>
          <w:tcPr>
            <w:tcW w:type="dxa" w:w="1099"/>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5"/>
                <w:szCs w:val="15"/>
              </w:rPr>
              <w:t xml:space="preserve">Population (2025)</w:t>
            </w:r>
          </w:p>
        </w:tc>
        <w:tc>
          <w:tcPr>
            <w:tcW w:type="dxa" w:w="1368"/>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5"/>
                <w:szCs w:val="15"/>
              </w:rPr>
              <w:t xml:space="preserve">Health exp. per capita (USD)</w:t>
            </w:r>
          </w:p>
        </w:tc>
        <w:tc>
          <w:tcPr>
            <w:tcW w:type="dxa" w:w="777"/>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5"/>
                <w:szCs w:val="15"/>
              </w:rPr>
              <w:t xml:space="preserve">Vintage</w:t>
            </w:r>
          </w:p>
        </w:tc>
        <w:tc>
          <w:tcPr>
            <w:tcW w:type="dxa" w:w="1277"/>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5"/>
                <w:szCs w:val="15"/>
              </w:rPr>
              <w:t xml:space="preserve">GDP per capita PPP (USD)</w:t>
            </w:r>
          </w:p>
        </w:tc>
        <w:tc>
          <w:tcPr>
            <w:tcW w:type="dxa" w:w="1437"/>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5"/>
                <w:szCs w:val="15"/>
              </w:rPr>
              <w:t xml:space="preserve">National health budget (USD bn)</w:t>
            </w:r>
          </w:p>
        </w:tc>
      </w:tr>
      <w:tr>
        <w:tc>
          <w:tcPr>
            <w:tcW w:type="dxa" w:w="65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USA</w:t>
            </w:r>
          </w:p>
        </w:tc>
        <w:tc>
          <w:tcPr>
            <w:tcW w:type="dxa" w:w="101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United States</w:t>
            </w:r>
          </w:p>
        </w:tc>
        <w:tc>
          <w:tcPr>
            <w:tcW w:type="dxa" w:w="81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USD</w:t>
            </w:r>
          </w:p>
        </w:tc>
        <w:tc>
          <w:tcPr>
            <w:tcW w:type="dxa" w:w="145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Multi-payer, commercial + public</w:t>
            </w:r>
          </w:p>
        </w:tc>
        <w:tc>
          <w:tcPr>
            <w:tcW w:type="dxa" w:w="109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341.8 M</w:t>
            </w:r>
          </w:p>
        </w:tc>
        <w:tc>
          <w:tcPr>
            <w:tcW w:type="dxa" w:w="136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13,473</w:t>
            </w:r>
          </w:p>
        </w:tc>
        <w:tc>
          <w:tcPr>
            <w:tcW w:type="dxa" w:w="77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2023</w:t>
            </w:r>
          </w:p>
        </w:tc>
        <w:tc>
          <w:tcPr>
            <w:tcW w:type="dxa" w:w="127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90,027</w:t>
            </w:r>
          </w:p>
        </w:tc>
        <w:tc>
          <w:tcPr>
            <w:tcW w:type="dxa" w:w="143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4,604.9</w:t>
            </w:r>
          </w:p>
        </w:tc>
      </w:tr>
      <w:tr>
        <w:tc>
          <w:tcPr>
            <w:tcW w:type="dxa" w:w="65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GBR</w:t>
            </w:r>
          </w:p>
        </w:tc>
        <w:tc>
          <w:tcPr>
            <w:tcW w:type="dxa" w:w="101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United Kingdom</w:t>
            </w:r>
          </w:p>
        </w:tc>
        <w:tc>
          <w:tcPr>
            <w:tcW w:type="dxa" w:w="81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GBP</w:t>
            </w:r>
          </w:p>
        </w:tc>
        <w:tc>
          <w:tcPr>
            <w:tcW w:type="dxa" w:w="145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Single-payer national</w:t>
            </w:r>
          </w:p>
        </w:tc>
        <w:tc>
          <w:tcPr>
            <w:tcW w:type="dxa" w:w="109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69.5 M</w:t>
            </w:r>
          </w:p>
        </w:tc>
        <w:tc>
          <w:tcPr>
            <w:tcW w:type="dxa" w:w="136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5,860</w:t>
            </w:r>
          </w:p>
        </w:tc>
        <w:tc>
          <w:tcPr>
            <w:tcW w:type="dxa" w:w="77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2024</w:t>
            </w:r>
          </w:p>
        </w:tc>
        <w:tc>
          <w:tcPr>
            <w:tcW w:type="dxa" w:w="127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64,606</w:t>
            </w:r>
          </w:p>
        </w:tc>
        <w:tc>
          <w:tcPr>
            <w:tcW w:type="dxa" w:w="143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407.2</w:t>
            </w:r>
          </w:p>
        </w:tc>
      </w:tr>
      <w:tr>
        <w:tc>
          <w:tcPr>
            <w:tcW w:type="dxa" w:w="65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DEU</w:t>
            </w:r>
          </w:p>
        </w:tc>
        <w:tc>
          <w:tcPr>
            <w:tcW w:type="dxa" w:w="101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Germany</w:t>
            </w:r>
          </w:p>
        </w:tc>
        <w:tc>
          <w:tcPr>
            <w:tcW w:type="dxa" w:w="81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EUR</w:t>
            </w:r>
          </w:p>
        </w:tc>
        <w:tc>
          <w:tcPr>
            <w:tcW w:type="dxa" w:w="145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Statutory sickness fund</w:t>
            </w:r>
          </w:p>
        </w:tc>
        <w:tc>
          <w:tcPr>
            <w:tcW w:type="dxa" w:w="109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83.5 M</w:t>
            </w:r>
          </w:p>
        </w:tc>
        <w:tc>
          <w:tcPr>
            <w:tcW w:type="dxa" w:w="136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6,849</w:t>
            </w:r>
          </w:p>
        </w:tc>
        <w:tc>
          <w:tcPr>
            <w:tcW w:type="dxa" w:w="77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2024</w:t>
            </w:r>
          </w:p>
        </w:tc>
        <w:tc>
          <w:tcPr>
            <w:tcW w:type="dxa" w:w="127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75,407</w:t>
            </w:r>
          </w:p>
        </w:tc>
        <w:tc>
          <w:tcPr>
            <w:tcW w:type="dxa" w:w="143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571.9</w:t>
            </w:r>
          </w:p>
        </w:tc>
      </w:tr>
      <w:tr>
        <w:tc>
          <w:tcPr>
            <w:tcW w:type="dxa" w:w="65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FRA</w:t>
            </w:r>
          </w:p>
        </w:tc>
        <w:tc>
          <w:tcPr>
            <w:tcW w:type="dxa" w:w="101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France</w:t>
            </w:r>
          </w:p>
        </w:tc>
        <w:tc>
          <w:tcPr>
            <w:tcW w:type="dxa" w:w="81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EUR</w:t>
            </w:r>
          </w:p>
        </w:tc>
        <w:tc>
          <w:tcPr>
            <w:tcW w:type="dxa" w:w="145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Statutory national insurance</w:t>
            </w:r>
          </w:p>
        </w:tc>
        <w:tc>
          <w:tcPr>
            <w:tcW w:type="dxa" w:w="109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68.7 M</w:t>
            </w:r>
          </w:p>
        </w:tc>
        <w:tc>
          <w:tcPr>
            <w:tcW w:type="dxa" w:w="136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5,327</w:t>
            </w:r>
          </w:p>
        </w:tc>
        <w:tc>
          <w:tcPr>
            <w:tcW w:type="dxa" w:w="77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2024</w:t>
            </w:r>
          </w:p>
        </w:tc>
        <w:tc>
          <w:tcPr>
            <w:tcW w:type="dxa" w:w="127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63,975</w:t>
            </w:r>
          </w:p>
        </w:tc>
        <w:tc>
          <w:tcPr>
            <w:tcW w:type="dxa" w:w="143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366.1</w:t>
            </w:r>
          </w:p>
        </w:tc>
      </w:tr>
      <w:tr>
        <w:tc>
          <w:tcPr>
            <w:tcW w:type="dxa" w:w="65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ITA</w:t>
            </w:r>
          </w:p>
        </w:tc>
        <w:tc>
          <w:tcPr>
            <w:tcW w:type="dxa" w:w="101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Italy</w:t>
            </w:r>
          </w:p>
        </w:tc>
        <w:tc>
          <w:tcPr>
            <w:tcW w:type="dxa" w:w="81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EUR</w:t>
            </w:r>
          </w:p>
        </w:tc>
        <w:tc>
          <w:tcPr>
            <w:tcW w:type="dxa" w:w="145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Regional national health service</w:t>
            </w:r>
          </w:p>
        </w:tc>
        <w:tc>
          <w:tcPr>
            <w:tcW w:type="dxa" w:w="109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58.9 M</w:t>
            </w:r>
          </w:p>
        </w:tc>
        <w:tc>
          <w:tcPr>
            <w:tcW w:type="dxa" w:w="136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3,398</w:t>
            </w:r>
          </w:p>
        </w:tc>
        <w:tc>
          <w:tcPr>
            <w:tcW w:type="dxa" w:w="77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2024</w:t>
            </w:r>
          </w:p>
        </w:tc>
        <w:tc>
          <w:tcPr>
            <w:tcW w:type="dxa" w:w="127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62,803</w:t>
            </w:r>
          </w:p>
        </w:tc>
        <w:tc>
          <w:tcPr>
            <w:tcW w:type="dxa" w:w="143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200.2</w:t>
            </w:r>
          </w:p>
        </w:tc>
      </w:tr>
      <w:tr>
        <w:tc>
          <w:tcPr>
            <w:tcW w:type="dxa" w:w="65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ESP</w:t>
            </w:r>
          </w:p>
        </w:tc>
        <w:tc>
          <w:tcPr>
            <w:tcW w:type="dxa" w:w="101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Spain</w:t>
            </w:r>
          </w:p>
        </w:tc>
        <w:tc>
          <w:tcPr>
            <w:tcW w:type="dxa" w:w="81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EUR</w:t>
            </w:r>
          </w:p>
        </w:tc>
        <w:tc>
          <w:tcPr>
            <w:tcW w:type="dxa" w:w="145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Regional national health service</w:t>
            </w:r>
          </w:p>
        </w:tc>
        <w:tc>
          <w:tcPr>
            <w:tcW w:type="dxa" w:w="109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49.4 M</w:t>
            </w:r>
          </w:p>
        </w:tc>
        <w:tc>
          <w:tcPr>
            <w:tcW w:type="dxa" w:w="136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3,107</w:t>
            </w:r>
          </w:p>
        </w:tc>
        <w:tc>
          <w:tcPr>
            <w:tcW w:type="dxa" w:w="77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2023</w:t>
            </w:r>
          </w:p>
        </w:tc>
        <w:tc>
          <w:tcPr>
            <w:tcW w:type="dxa" w:w="127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59,868</w:t>
            </w:r>
          </w:p>
        </w:tc>
        <w:tc>
          <w:tcPr>
            <w:tcW w:type="dxa" w:w="143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153.3</w:t>
            </w:r>
          </w:p>
        </w:tc>
      </w:tr>
      <w:tr>
        <w:tc>
          <w:tcPr>
            <w:tcW w:type="dxa" w:w="65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JPN</w:t>
            </w:r>
          </w:p>
        </w:tc>
        <w:tc>
          <w:tcPr>
            <w:tcW w:type="dxa" w:w="101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Japan</w:t>
            </w:r>
          </w:p>
        </w:tc>
        <w:tc>
          <w:tcPr>
            <w:tcW w:type="dxa" w:w="81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JPY</w:t>
            </w:r>
          </w:p>
        </w:tc>
        <w:tc>
          <w:tcPr>
            <w:tcW w:type="dxa" w:w="145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Universal social insurance</w:t>
            </w:r>
          </w:p>
        </w:tc>
        <w:tc>
          <w:tcPr>
            <w:tcW w:type="dxa" w:w="109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123.4 M</w:t>
            </w:r>
          </w:p>
        </w:tc>
        <w:tc>
          <w:tcPr>
            <w:tcW w:type="dxa" w:w="136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3,638</w:t>
            </w:r>
          </w:p>
        </w:tc>
        <w:tc>
          <w:tcPr>
            <w:tcW w:type="dxa" w:w="77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2023</w:t>
            </w:r>
          </w:p>
        </w:tc>
        <w:tc>
          <w:tcPr>
            <w:tcW w:type="dxa" w:w="127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55,422</w:t>
            </w:r>
          </w:p>
        </w:tc>
        <w:tc>
          <w:tcPr>
            <w:tcW w:type="dxa" w:w="143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448.8</w:t>
            </w:r>
          </w:p>
        </w:tc>
      </w:tr>
      <w:tr>
        <w:tc>
          <w:tcPr>
            <w:tcW w:type="dxa" w:w="65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CHN</w:t>
            </w:r>
          </w:p>
        </w:tc>
        <w:tc>
          <w:tcPr>
            <w:tcW w:type="dxa" w:w="101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China</w:t>
            </w:r>
          </w:p>
        </w:tc>
        <w:tc>
          <w:tcPr>
            <w:tcW w:type="dxa" w:w="81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CNY</w:t>
            </w:r>
          </w:p>
        </w:tc>
        <w:tc>
          <w:tcPr>
            <w:tcW w:type="dxa" w:w="145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Basic medical insurance, tiered</w:t>
            </w:r>
          </w:p>
        </w:tc>
        <w:tc>
          <w:tcPr>
            <w:tcW w:type="dxa" w:w="109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1,406.6 M</w:t>
            </w:r>
          </w:p>
        </w:tc>
        <w:tc>
          <w:tcPr>
            <w:tcW w:type="dxa" w:w="136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763</w:t>
            </w:r>
          </w:p>
        </w:tc>
        <w:tc>
          <w:tcPr>
            <w:tcW w:type="dxa" w:w="77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2023</w:t>
            </w:r>
          </w:p>
        </w:tc>
        <w:tc>
          <w:tcPr>
            <w:tcW w:type="dxa" w:w="127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29,333</w:t>
            </w:r>
          </w:p>
        </w:tc>
        <w:tc>
          <w:tcPr>
            <w:tcW w:type="dxa" w:w="143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1,073.8</w:t>
            </w:r>
          </w:p>
        </w:tc>
      </w:tr>
      <w:tr>
        <w:tc>
          <w:tcPr>
            <w:tcW w:type="dxa" w:w="65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BRA</w:t>
            </w:r>
          </w:p>
        </w:tc>
        <w:tc>
          <w:tcPr>
            <w:tcW w:type="dxa" w:w="101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Brazil</w:t>
            </w:r>
          </w:p>
        </w:tc>
        <w:tc>
          <w:tcPr>
            <w:tcW w:type="dxa" w:w="81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BRL</w:t>
            </w:r>
          </w:p>
        </w:tc>
        <w:tc>
          <w:tcPr>
            <w:tcW w:type="dxa" w:w="145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Public SUS + supplementary</w:t>
            </w:r>
          </w:p>
        </w:tc>
        <w:tc>
          <w:tcPr>
            <w:tcW w:type="dxa" w:w="109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212.8 M</w:t>
            </w:r>
          </w:p>
        </w:tc>
        <w:tc>
          <w:tcPr>
            <w:tcW w:type="dxa" w:w="136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1,010</w:t>
            </w:r>
          </w:p>
        </w:tc>
        <w:tc>
          <w:tcPr>
            <w:tcW w:type="dxa" w:w="77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2023</w:t>
            </w:r>
          </w:p>
        </w:tc>
        <w:tc>
          <w:tcPr>
            <w:tcW w:type="dxa" w:w="127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23,433</w:t>
            </w:r>
          </w:p>
        </w:tc>
        <w:tc>
          <w:tcPr>
            <w:tcW w:type="dxa" w:w="143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214.9</w:t>
            </w:r>
          </w:p>
        </w:tc>
      </w:tr>
      <w:tr>
        <w:tc>
          <w:tcPr>
            <w:tcW w:type="dxa" w:w="65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IND</w:t>
            </w:r>
          </w:p>
        </w:tc>
        <w:tc>
          <w:tcPr>
            <w:tcW w:type="dxa" w:w="101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India</w:t>
            </w:r>
          </w:p>
        </w:tc>
        <w:tc>
          <w:tcPr>
            <w:tcW w:type="dxa" w:w="81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INR</w:t>
            </w:r>
          </w:p>
        </w:tc>
        <w:tc>
          <w:tcPr>
            <w:tcW w:type="dxa" w:w="145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Predominantly out-of-pocket</w:t>
            </w:r>
          </w:p>
        </w:tc>
        <w:tc>
          <w:tcPr>
            <w:tcW w:type="dxa" w:w="109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1,463.9 M</w:t>
            </w:r>
          </w:p>
        </w:tc>
        <w:tc>
          <w:tcPr>
            <w:tcW w:type="dxa" w:w="136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85</w:t>
            </w:r>
          </w:p>
        </w:tc>
        <w:tc>
          <w:tcPr>
            <w:tcW w:type="dxa" w:w="77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2023</w:t>
            </w:r>
          </w:p>
        </w:tc>
        <w:tc>
          <w:tcPr>
            <w:tcW w:type="dxa" w:w="127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11,748</w:t>
            </w:r>
          </w:p>
        </w:tc>
        <w:tc>
          <w:tcPr>
            <w:tcW w:type="dxa" w:w="143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5"/>
                <w:szCs w:val="15"/>
              </w:rPr>
              <w:t xml:space="preserve">124.0</w:t>
            </w:r>
          </w:p>
        </w:tc>
      </w:tr>
    </w:tbl>
    <w:p>
      <w:pPr>
        <w:spacing w:after="160"/>
      </w:pPr>
    </w:p>
    <w:p>
      <w:pPr>
        <w:spacing w:after="120" w:before="60" w:line="276"/>
        <w:jc w:val="both"/>
      </w:pPr>
      <w:r>
        <w:rPr>
          <w:rFonts w:ascii="Calibri" w:cs="Calibri" w:eastAsia="Calibri" w:hAnsi="Calibri"/>
          <w:b w:val="false"/>
          <w:bCs w:val="false"/>
          <w:color w:val="1A1A1A"/>
          <w:sz w:val="20"/>
          <w:szCs w:val="20"/>
        </w:rPr>
        <w:t xml:space="preserve">Health budget is computed as health expenditure per capita multiplied by population. The three-order-of-magnitude spread in per-capita health expenditure between the United States and India is the principal driver of affordability divergence and is the reason the reverse price solver must operate per market rather than globally.</w:t>
      </w:r>
    </w:p>
    <w:p>
      <w:pPr>
        <w:pStyle w:val="Heading3"/>
        <w:keepNext/>
        <w:spacing w:after="90" w:before="260"/>
      </w:pPr>
      <w:r>
        <w:rPr>
          <w:rFonts w:ascii="Calibri" w:cs="Calibri" w:eastAsia="Calibri" w:hAnsi="Calibri"/>
          <w:b/>
          <w:bCs/>
          <w:color w:val="2E5C8A"/>
          <w:sz w:val="23"/>
          <w:szCs w:val="23"/>
        </w:rPr>
        <w:t xml:space="preserve">6.2 Foreign Exchange</w:t>
      </w:r>
    </w:p>
    <w:p>
      <w:pPr>
        <w:spacing w:after="120" w:before="60" w:line="276"/>
        <w:jc w:val="both"/>
      </w:pPr>
      <w:r>
        <w:rPr>
          <w:rFonts w:ascii="Calibri" w:cs="Calibri" w:eastAsia="Calibri" w:hAnsi="Calibri"/>
          <w:b w:val="false"/>
          <w:bCs w:val="false"/>
          <w:color w:val="1A1A1A"/>
          <w:sz w:val="20"/>
          <w:szCs w:val="20"/>
        </w:rPr>
        <w:t xml:space="preserve">Rates are sourced from the Frankfurter API against a USD base and cover every currency required by the market set.</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2756"/>
        <w:gridCol w:w="3324"/>
        <w:gridCol w:w="3810"/>
      </w:tblGrid>
      <w:tr>
        <w:trPr>
          <w:tblHeader/>
        </w:trPr>
        <w:tc>
          <w:tcPr>
            <w:tcW w:type="dxa" w:w="2756"/>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Currency</w:t>
            </w:r>
          </w:p>
        </w:tc>
        <w:tc>
          <w:tcPr>
            <w:tcW w:type="dxa" w:w="3324"/>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Units per USD</w:t>
            </w:r>
          </w:p>
        </w:tc>
        <w:tc>
          <w:tcPr>
            <w:tcW w:type="dxa" w:w="3810"/>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Markets</w:t>
            </w:r>
          </w:p>
        </w:tc>
      </w:tr>
      <w:tr>
        <w:tc>
          <w:tcPr>
            <w:tcW w:type="dxa" w:w="275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EUR</w:t>
            </w:r>
          </w:p>
        </w:tc>
        <w:tc>
          <w:tcPr>
            <w:tcW w:type="dxa" w:w="332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0.86386</w:t>
            </w:r>
          </w:p>
        </w:tc>
        <w:tc>
          <w:tcPr>
            <w:tcW w:type="dxa" w:w="381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DEU, FRA, ITA, ESP</w:t>
            </w:r>
          </w:p>
        </w:tc>
      </w:tr>
      <w:tr>
        <w:tc>
          <w:tcPr>
            <w:tcW w:type="dxa" w:w="2756"/>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GBP</w:t>
            </w:r>
          </w:p>
        </w:tc>
        <w:tc>
          <w:tcPr>
            <w:tcW w:type="dxa" w:w="332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0.73933</w:t>
            </w:r>
          </w:p>
        </w:tc>
        <w:tc>
          <w:tcPr>
            <w:tcW w:type="dxa" w:w="381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GBR</w:t>
            </w:r>
          </w:p>
        </w:tc>
      </w:tr>
      <w:tr>
        <w:tc>
          <w:tcPr>
            <w:tcW w:type="dxa" w:w="275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JPY</w:t>
            </w:r>
          </w:p>
        </w:tc>
        <w:tc>
          <w:tcPr>
            <w:tcW w:type="dxa" w:w="332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159.70</w:t>
            </w:r>
          </w:p>
        </w:tc>
        <w:tc>
          <w:tcPr>
            <w:tcW w:type="dxa" w:w="381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JPN</w:t>
            </w:r>
          </w:p>
        </w:tc>
      </w:tr>
      <w:tr>
        <w:tc>
          <w:tcPr>
            <w:tcW w:type="dxa" w:w="2756"/>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CNY</w:t>
            </w:r>
          </w:p>
        </w:tc>
        <w:tc>
          <w:tcPr>
            <w:tcW w:type="dxa" w:w="332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6.7423</w:t>
            </w:r>
          </w:p>
        </w:tc>
        <w:tc>
          <w:tcPr>
            <w:tcW w:type="dxa" w:w="381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CHN</w:t>
            </w:r>
          </w:p>
        </w:tc>
      </w:tr>
      <w:tr>
        <w:tc>
          <w:tcPr>
            <w:tcW w:type="dxa" w:w="275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BRL</w:t>
            </w:r>
          </w:p>
        </w:tc>
        <w:tc>
          <w:tcPr>
            <w:tcW w:type="dxa" w:w="332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5.2074</w:t>
            </w:r>
          </w:p>
        </w:tc>
        <w:tc>
          <w:tcPr>
            <w:tcW w:type="dxa" w:w="381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BRA</w:t>
            </w:r>
          </w:p>
        </w:tc>
      </w:tr>
      <w:tr>
        <w:tc>
          <w:tcPr>
            <w:tcW w:type="dxa" w:w="2756"/>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INR</w:t>
            </w:r>
          </w:p>
        </w:tc>
        <w:tc>
          <w:tcPr>
            <w:tcW w:type="dxa" w:w="332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95.69</w:t>
            </w:r>
          </w:p>
        </w:tc>
        <w:tc>
          <w:tcPr>
            <w:tcW w:type="dxa" w:w="381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IND</w:t>
            </w:r>
          </w:p>
        </w:tc>
      </w:tr>
      <w:tr>
        <w:tc>
          <w:tcPr>
            <w:tcW w:type="dxa" w:w="275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USD</w:t>
            </w:r>
          </w:p>
        </w:tc>
        <w:tc>
          <w:tcPr>
            <w:tcW w:type="dxa" w:w="332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1.00000</w:t>
            </w:r>
          </w:p>
        </w:tc>
        <w:tc>
          <w:tcPr>
            <w:tcW w:type="dxa" w:w="381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USA</w:t>
            </w:r>
          </w:p>
        </w:tc>
      </w:tr>
    </w:tbl>
    <w:p>
      <w:pPr>
        <w:spacing w:after="160"/>
      </w:pPr>
    </w:p>
    <w:p>
      <w:pPr>
        <w:spacing w:after="120" w:before="60" w:line="276"/>
        <w:jc w:val="both"/>
      </w:pPr>
      <w:r>
        <w:rPr>
          <w:rFonts w:ascii="Calibri" w:cs="Calibri" w:eastAsia="Calibri" w:hAnsi="Calibri"/>
          <w:b w:val="false"/>
          <w:bCs w:val="false"/>
          <w:color w:val="1A1A1A"/>
          <w:sz w:val="20"/>
          <w:szCs w:val="20"/>
        </w:rPr>
        <w:t xml:space="preserve">Rates carry a fetch date and are snapshotted into every run.</w:t>
      </w:r>
    </w:p>
    <w:p>
      <w:pPr>
        <w:pStyle w:val="Heading3"/>
        <w:keepNext/>
        <w:spacing w:after="90" w:before="260"/>
      </w:pPr>
      <w:r>
        <w:rPr>
          <w:rFonts w:ascii="Calibri" w:cs="Calibri" w:eastAsia="Calibri" w:hAnsi="Calibri"/>
          <w:b/>
          <w:bCs/>
          <w:color w:val="2E5C8A"/>
          <w:sz w:val="23"/>
          <w:szCs w:val="23"/>
        </w:rPr>
        <w:t xml:space="preserve">6.3 Baseline Epidemiology — Obesity</w:t>
      </w:r>
    </w:p>
    <w:p>
      <w:pPr>
        <w:spacing w:after="120" w:before="60" w:line="276"/>
        <w:jc w:val="both"/>
      </w:pPr>
      <w:r>
        <w:rPr>
          <w:rFonts w:ascii="Calibri" w:cs="Calibri" w:eastAsia="Calibri" w:hAnsi="Calibri"/>
          <w:b w:val="false"/>
          <w:bCs w:val="false"/>
          <w:color w:val="1A1A1A"/>
          <w:sz w:val="20"/>
          <w:szCs w:val="20"/>
        </w:rPr>
        <w:t xml:space="preserve">WHO Global Health Observatory indicator </w:t>
      </w:r>
      <w:r>
        <w:rPr>
          <w:rFonts w:ascii="Consolas" w:cs="Consolas" w:eastAsia="Consolas" w:hAnsi="Consolas"/>
          <w:b w:val="false"/>
          <w:bCs w:val="false"/>
          <w:color w:val="8A2E2E"/>
          <w:sz w:val="17"/>
          <w:szCs w:val="17"/>
          <w:shd w:fill="F1F1F1" w:color="auto" w:val="clear"/>
        </w:rPr>
        <w:t xml:space="preserve">NCD_BMI_30A</w:t>
      </w:r>
      <w:r>
        <w:rPr>
          <w:rFonts w:ascii="Calibri" w:cs="Calibri" w:eastAsia="Calibri" w:hAnsi="Calibri"/>
          <w:b w:val="false"/>
          <w:bCs w:val="false"/>
          <w:color w:val="1A1A1A"/>
          <w:sz w:val="20"/>
          <w:szCs w:val="20"/>
        </w:rPr>
        <w:t xml:space="preserve">, BMI ≥ 30 kg/m², adults aged 18 and over, both sexes, reference year 2024. Confidence bounds are as published and are used directly to parameterise the probabilistic sensitivity analysis.</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1210"/>
        <w:gridCol w:w="1649"/>
        <w:gridCol w:w="1585"/>
        <w:gridCol w:w="1585"/>
        <w:gridCol w:w="1712"/>
        <w:gridCol w:w="2149"/>
      </w:tblGrid>
      <w:tr>
        <w:trPr>
          <w:tblHeader/>
        </w:trPr>
        <w:tc>
          <w:tcPr>
            <w:tcW w:type="dxa" w:w="1210"/>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6"/>
                <w:szCs w:val="16"/>
              </w:rPr>
              <w:t xml:space="preserve">ISO3</w:t>
            </w:r>
          </w:p>
        </w:tc>
        <w:tc>
          <w:tcPr>
            <w:tcW w:type="dxa" w:w="1649"/>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6"/>
                <w:szCs w:val="16"/>
              </w:rPr>
              <w:t xml:space="preserve">Prevalence</w:t>
            </w:r>
          </w:p>
        </w:tc>
        <w:tc>
          <w:tcPr>
            <w:tcW w:type="dxa" w:w="1585"/>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6"/>
                <w:szCs w:val="16"/>
              </w:rPr>
              <w:t xml:space="preserve">95% lower</w:t>
            </w:r>
          </w:p>
        </w:tc>
        <w:tc>
          <w:tcPr>
            <w:tcW w:type="dxa" w:w="1585"/>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6"/>
                <w:szCs w:val="16"/>
              </w:rPr>
              <w:t xml:space="preserve">95% upper</w:t>
            </w:r>
          </w:p>
        </w:tc>
        <w:tc>
          <w:tcPr>
            <w:tcW w:type="dxa" w:w="1712"/>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6"/>
                <w:szCs w:val="16"/>
              </w:rPr>
              <w:t xml:space="preserve">Adult share</w:t>
            </w:r>
          </w:p>
        </w:tc>
        <w:tc>
          <w:tcPr>
            <w:tcW w:type="dxa" w:w="2149"/>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6"/>
                <w:szCs w:val="16"/>
              </w:rPr>
              <w:t xml:space="preserve">Adults with obesity</w:t>
            </w:r>
          </w:p>
        </w:tc>
      </w:tr>
      <w:tr>
        <w:tc>
          <w:tcPr>
            <w:tcW w:type="dxa" w:w="121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USA</w:t>
            </w:r>
          </w:p>
        </w:tc>
        <w:tc>
          <w:tcPr>
            <w:tcW w:type="dxa" w:w="164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40.96%</w:t>
            </w:r>
          </w:p>
        </w:tc>
        <w:tc>
          <w:tcPr>
            <w:tcW w:type="dxa" w:w="158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38.18%</w:t>
            </w:r>
          </w:p>
        </w:tc>
        <w:tc>
          <w:tcPr>
            <w:tcW w:type="dxa" w:w="158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43.72%</w:t>
            </w:r>
          </w:p>
        </w:tc>
        <w:tc>
          <w:tcPr>
            <w:tcW w:type="dxa" w:w="171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0.78</w:t>
            </w:r>
          </w:p>
        </w:tc>
        <w:tc>
          <w:tcPr>
            <w:tcW w:type="dxa" w:w="214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109.2 M</w:t>
            </w:r>
          </w:p>
        </w:tc>
      </w:tr>
      <w:tr>
        <w:tc>
          <w:tcPr>
            <w:tcW w:type="dxa" w:w="121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BRA</w:t>
            </w:r>
          </w:p>
        </w:tc>
        <w:tc>
          <w:tcPr>
            <w:tcW w:type="dxa" w:w="164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30.14%</w:t>
            </w:r>
          </w:p>
        </w:tc>
        <w:tc>
          <w:tcPr>
            <w:tcW w:type="dxa" w:w="158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27.42%</w:t>
            </w:r>
          </w:p>
        </w:tc>
        <w:tc>
          <w:tcPr>
            <w:tcW w:type="dxa" w:w="158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32.96%</w:t>
            </w:r>
          </w:p>
        </w:tc>
        <w:tc>
          <w:tcPr>
            <w:tcW w:type="dxa" w:w="1712"/>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0.78</w:t>
            </w:r>
          </w:p>
        </w:tc>
        <w:tc>
          <w:tcPr>
            <w:tcW w:type="dxa" w:w="214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50.0 M</w:t>
            </w:r>
          </w:p>
        </w:tc>
      </w:tr>
      <w:tr>
        <w:tc>
          <w:tcPr>
            <w:tcW w:type="dxa" w:w="121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GBR</w:t>
            </w:r>
          </w:p>
        </w:tc>
        <w:tc>
          <w:tcPr>
            <w:tcW w:type="dxa" w:w="164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27.38%</w:t>
            </w:r>
          </w:p>
        </w:tc>
        <w:tc>
          <w:tcPr>
            <w:tcW w:type="dxa" w:w="158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25.14%</w:t>
            </w:r>
          </w:p>
        </w:tc>
        <w:tc>
          <w:tcPr>
            <w:tcW w:type="dxa" w:w="158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29.76%</w:t>
            </w:r>
          </w:p>
        </w:tc>
        <w:tc>
          <w:tcPr>
            <w:tcW w:type="dxa" w:w="171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0.80</w:t>
            </w:r>
          </w:p>
        </w:tc>
        <w:tc>
          <w:tcPr>
            <w:tcW w:type="dxa" w:w="214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15.2 M</w:t>
            </w:r>
          </w:p>
        </w:tc>
      </w:tr>
      <w:tr>
        <w:tc>
          <w:tcPr>
            <w:tcW w:type="dxa" w:w="121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DEU</w:t>
            </w:r>
          </w:p>
        </w:tc>
        <w:tc>
          <w:tcPr>
            <w:tcW w:type="dxa" w:w="164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20.64%</w:t>
            </w:r>
          </w:p>
        </w:tc>
        <w:tc>
          <w:tcPr>
            <w:tcW w:type="dxa" w:w="158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17.59%</w:t>
            </w:r>
          </w:p>
        </w:tc>
        <w:tc>
          <w:tcPr>
            <w:tcW w:type="dxa" w:w="158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23.91%</w:t>
            </w:r>
          </w:p>
        </w:tc>
        <w:tc>
          <w:tcPr>
            <w:tcW w:type="dxa" w:w="1712"/>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0.82</w:t>
            </w:r>
          </w:p>
        </w:tc>
        <w:tc>
          <w:tcPr>
            <w:tcW w:type="dxa" w:w="214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14.1 M</w:t>
            </w:r>
          </w:p>
        </w:tc>
      </w:tr>
      <w:tr>
        <w:tc>
          <w:tcPr>
            <w:tcW w:type="dxa" w:w="121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ESP</w:t>
            </w:r>
          </w:p>
        </w:tc>
        <w:tc>
          <w:tcPr>
            <w:tcW w:type="dxa" w:w="164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15.31%</w:t>
            </w:r>
          </w:p>
        </w:tc>
        <w:tc>
          <w:tcPr>
            <w:tcW w:type="dxa" w:w="158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12.47%</w:t>
            </w:r>
          </w:p>
        </w:tc>
        <w:tc>
          <w:tcPr>
            <w:tcW w:type="dxa" w:w="158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18.43%</w:t>
            </w:r>
          </w:p>
        </w:tc>
        <w:tc>
          <w:tcPr>
            <w:tcW w:type="dxa" w:w="171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0.85</w:t>
            </w:r>
          </w:p>
        </w:tc>
        <w:tc>
          <w:tcPr>
            <w:tcW w:type="dxa" w:w="214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6.4 M</w:t>
            </w:r>
          </w:p>
        </w:tc>
      </w:tr>
      <w:tr>
        <w:tc>
          <w:tcPr>
            <w:tcW w:type="dxa" w:w="121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ITA</w:t>
            </w:r>
          </w:p>
        </w:tc>
        <w:tc>
          <w:tcPr>
            <w:tcW w:type="dxa" w:w="164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13.99%</w:t>
            </w:r>
          </w:p>
        </w:tc>
        <w:tc>
          <w:tcPr>
            <w:tcW w:type="dxa" w:w="158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11.86%</w:t>
            </w:r>
          </w:p>
        </w:tc>
        <w:tc>
          <w:tcPr>
            <w:tcW w:type="dxa" w:w="158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16.37%</w:t>
            </w:r>
          </w:p>
        </w:tc>
        <w:tc>
          <w:tcPr>
            <w:tcW w:type="dxa" w:w="1712"/>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0.86</w:t>
            </w:r>
          </w:p>
        </w:tc>
        <w:tc>
          <w:tcPr>
            <w:tcW w:type="dxa" w:w="214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7.1 M</w:t>
            </w:r>
          </w:p>
        </w:tc>
      </w:tr>
      <w:tr>
        <w:tc>
          <w:tcPr>
            <w:tcW w:type="dxa" w:w="121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FRA</w:t>
            </w:r>
          </w:p>
        </w:tc>
        <w:tc>
          <w:tcPr>
            <w:tcW w:type="dxa" w:w="164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11.19%</w:t>
            </w:r>
          </w:p>
        </w:tc>
        <w:tc>
          <w:tcPr>
            <w:tcW w:type="dxa" w:w="158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9.63%</w:t>
            </w:r>
          </w:p>
        </w:tc>
        <w:tc>
          <w:tcPr>
            <w:tcW w:type="dxa" w:w="158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12.92%</w:t>
            </w:r>
          </w:p>
        </w:tc>
        <w:tc>
          <w:tcPr>
            <w:tcW w:type="dxa" w:w="171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0.81</w:t>
            </w:r>
          </w:p>
        </w:tc>
        <w:tc>
          <w:tcPr>
            <w:tcW w:type="dxa" w:w="214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6.2 M</w:t>
            </w:r>
          </w:p>
        </w:tc>
      </w:tr>
      <w:tr>
        <w:tc>
          <w:tcPr>
            <w:tcW w:type="dxa" w:w="121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CHN</w:t>
            </w:r>
          </w:p>
        </w:tc>
        <w:tc>
          <w:tcPr>
            <w:tcW w:type="dxa" w:w="164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9.29%</w:t>
            </w:r>
          </w:p>
        </w:tc>
        <w:tc>
          <w:tcPr>
            <w:tcW w:type="dxa" w:w="158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7.86%</w:t>
            </w:r>
          </w:p>
        </w:tc>
        <w:tc>
          <w:tcPr>
            <w:tcW w:type="dxa" w:w="158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10.82%</w:t>
            </w:r>
          </w:p>
        </w:tc>
        <w:tc>
          <w:tcPr>
            <w:tcW w:type="dxa" w:w="1712"/>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0.82</w:t>
            </w:r>
          </w:p>
        </w:tc>
        <w:tc>
          <w:tcPr>
            <w:tcW w:type="dxa" w:w="214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107.2 M</w:t>
            </w:r>
          </w:p>
        </w:tc>
      </w:tr>
      <w:tr>
        <w:tc>
          <w:tcPr>
            <w:tcW w:type="dxa" w:w="121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IND</w:t>
            </w:r>
          </w:p>
        </w:tc>
        <w:tc>
          <w:tcPr>
            <w:tcW w:type="dxa" w:w="164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8.01%</w:t>
            </w:r>
          </w:p>
        </w:tc>
        <w:tc>
          <w:tcPr>
            <w:tcW w:type="dxa" w:w="158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6.99%</w:t>
            </w:r>
          </w:p>
        </w:tc>
        <w:tc>
          <w:tcPr>
            <w:tcW w:type="dxa" w:w="158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9.18%</w:t>
            </w:r>
          </w:p>
        </w:tc>
        <w:tc>
          <w:tcPr>
            <w:tcW w:type="dxa" w:w="171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0.65</w:t>
            </w:r>
          </w:p>
        </w:tc>
        <w:tc>
          <w:tcPr>
            <w:tcW w:type="dxa" w:w="214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76.2 M</w:t>
            </w:r>
          </w:p>
        </w:tc>
      </w:tr>
      <w:tr>
        <w:tc>
          <w:tcPr>
            <w:tcW w:type="dxa" w:w="121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JPN</w:t>
            </w:r>
          </w:p>
        </w:tc>
        <w:tc>
          <w:tcPr>
            <w:tcW w:type="dxa" w:w="164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5.90%</w:t>
            </w:r>
          </w:p>
        </w:tc>
        <w:tc>
          <w:tcPr>
            <w:tcW w:type="dxa" w:w="158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4.75%</w:t>
            </w:r>
          </w:p>
        </w:tc>
        <w:tc>
          <w:tcPr>
            <w:tcW w:type="dxa" w:w="158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7.15%</w:t>
            </w:r>
          </w:p>
        </w:tc>
        <w:tc>
          <w:tcPr>
            <w:tcW w:type="dxa" w:w="1712"/>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0.86</w:t>
            </w:r>
          </w:p>
        </w:tc>
        <w:tc>
          <w:tcPr>
            <w:tcW w:type="dxa" w:w="214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6.3 M</w:t>
            </w:r>
          </w:p>
        </w:tc>
      </w:tr>
    </w:tbl>
    <w:p>
      <w:pPr>
        <w:spacing w:after="160"/>
      </w:pPr>
    </w:p>
    <w:p>
      <w:pPr>
        <w:spacing w:after="120" w:before="60" w:line="276"/>
        <w:jc w:val="both"/>
      </w:pPr>
      <w:r>
        <w:rPr>
          <w:rFonts w:ascii="Calibri" w:cs="Calibri" w:eastAsia="Calibri" w:hAnsi="Calibri"/>
          <w:b w:val="false"/>
          <w:bCs w:val="false"/>
          <w:color w:val="1A1A1A"/>
          <w:sz w:val="20"/>
          <w:szCs w:val="20"/>
        </w:rPr>
        <w:t xml:space="preserve">Adult counts are computed as population x adult share x prevalence, using the population figures in §6.1 and the adult shares shown. They are reproducible from the table.</w:t>
      </w:r>
    </w:p>
    <w:p>
      <w:pPr>
        <w:pStyle w:val="Heading3"/>
        <w:keepNext/>
        <w:spacing w:after="90" w:before="260"/>
      </w:pPr>
      <w:r>
        <w:rPr>
          <w:rFonts w:ascii="Calibri" w:cs="Calibri" w:eastAsia="Calibri" w:hAnsi="Calibri"/>
          <w:b/>
          <w:bCs/>
          <w:color w:val="2E5C8A"/>
          <w:sz w:val="23"/>
          <w:szCs w:val="23"/>
        </w:rPr>
        <w:t xml:space="preserve">6.4 Baseline Epidemiology — Type 2 Diabetes</w:t>
      </w:r>
    </w:p>
    <w:p>
      <w:pPr>
        <w:spacing w:after="120" w:before="60" w:line="276"/>
        <w:jc w:val="both"/>
      </w:pPr>
      <w:r>
        <w:rPr>
          <w:rFonts w:ascii="Calibri" w:cs="Calibri" w:eastAsia="Calibri" w:hAnsi="Calibri"/>
          <w:b w:val="false"/>
          <w:bCs w:val="false"/>
          <w:color w:val="1A1A1A"/>
          <w:sz w:val="20"/>
          <w:szCs w:val="20"/>
        </w:rPr>
        <w:t xml:space="preserve">WHO Global Health Observatory indicator </w:t>
      </w:r>
      <w:r>
        <w:rPr>
          <w:rFonts w:ascii="Consolas" w:cs="Consolas" w:eastAsia="Consolas" w:hAnsi="Consolas"/>
          <w:b w:val="false"/>
          <w:bCs w:val="false"/>
          <w:color w:val="8A2E2E"/>
          <w:sz w:val="17"/>
          <w:szCs w:val="17"/>
          <w:shd w:fill="F1F1F1" w:color="auto" w:val="clear"/>
        </w:rPr>
        <w:t xml:space="preserve">NCD_GLUC_04</w:t>
      </w:r>
      <w:r>
        <w:rPr>
          <w:rFonts w:ascii="Calibri" w:cs="Calibri" w:eastAsia="Calibri" w:hAnsi="Calibri"/>
          <w:b w:val="false"/>
          <w:bCs w:val="false"/>
          <w:color w:val="1A1A1A"/>
          <w:sz w:val="20"/>
          <w:szCs w:val="20"/>
        </w:rPr>
        <w:t xml:space="preserve">, adults aged 18 and over, both sexes.</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1985"/>
        <w:gridCol w:w="2705"/>
        <w:gridCol w:w="2599"/>
        <w:gridCol w:w="2601"/>
      </w:tblGrid>
      <w:tr>
        <w:trPr>
          <w:tblHeader/>
        </w:trPr>
        <w:tc>
          <w:tcPr>
            <w:tcW w:type="dxa" w:w="1985"/>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ISO3</w:t>
            </w:r>
          </w:p>
        </w:tc>
        <w:tc>
          <w:tcPr>
            <w:tcW w:type="dxa" w:w="2705"/>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Prevalence</w:t>
            </w:r>
          </w:p>
        </w:tc>
        <w:tc>
          <w:tcPr>
            <w:tcW w:type="dxa" w:w="2599"/>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95% lower</w:t>
            </w:r>
          </w:p>
        </w:tc>
        <w:tc>
          <w:tcPr>
            <w:tcW w:type="dxa" w:w="2601"/>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95% upper</w:t>
            </w:r>
          </w:p>
        </w:tc>
      </w:tr>
      <w:tr>
        <w:tc>
          <w:tcPr>
            <w:tcW w:type="dxa" w:w="198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CHN</w:t>
            </w:r>
          </w:p>
        </w:tc>
        <w:tc>
          <w:tcPr>
            <w:tcW w:type="dxa" w:w="270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8.80%</w:t>
            </w:r>
          </w:p>
        </w:tc>
        <w:tc>
          <w:tcPr>
            <w:tcW w:type="dxa" w:w="259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6.00%</w:t>
            </w:r>
          </w:p>
        </w:tc>
        <w:tc>
          <w:tcPr>
            <w:tcW w:type="dxa" w:w="2601"/>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12.40%</w:t>
            </w:r>
          </w:p>
        </w:tc>
      </w:tr>
      <w:tr>
        <w:tc>
          <w:tcPr>
            <w:tcW w:type="dxa" w:w="198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IND</w:t>
            </w:r>
          </w:p>
        </w:tc>
        <w:tc>
          <w:tcPr>
            <w:tcW w:type="dxa" w:w="270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8.70%</w:t>
            </w:r>
          </w:p>
        </w:tc>
        <w:tc>
          <w:tcPr>
            <w:tcW w:type="dxa" w:w="259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5.90%</w:t>
            </w:r>
          </w:p>
        </w:tc>
        <w:tc>
          <w:tcPr>
            <w:tcW w:type="dxa" w:w="2601"/>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12.00%</w:t>
            </w:r>
          </w:p>
        </w:tc>
      </w:tr>
      <w:tr>
        <w:tc>
          <w:tcPr>
            <w:tcW w:type="dxa" w:w="198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BRA</w:t>
            </w:r>
          </w:p>
        </w:tc>
        <w:tc>
          <w:tcPr>
            <w:tcW w:type="dxa" w:w="270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8.30%</w:t>
            </w:r>
          </w:p>
        </w:tc>
        <w:tc>
          <w:tcPr>
            <w:tcW w:type="dxa" w:w="259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5.30%</w:t>
            </w:r>
          </w:p>
        </w:tc>
        <w:tc>
          <w:tcPr>
            <w:tcW w:type="dxa" w:w="2601"/>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12.10%</w:t>
            </w:r>
          </w:p>
        </w:tc>
      </w:tr>
      <w:tr>
        <w:tc>
          <w:tcPr>
            <w:tcW w:type="dxa" w:w="198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USA</w:t>
            </w:r>
          </w:p>
        </w:tc>
        <w:tc>
          <w:tcPr>
            <w:tcW w:type="dxa" w:w="270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7.30%</w:t>
            </w:r>
          </w:p>
        </w:tc>
        <w:tc>
          <w:tcPr>
            <w:tcW w:type="dxa" w:w="259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5.10%</w:t>
            </w:r>
          </w:p>
        </w:tc>
        <w:tc>
          <w:tcPr>
            <w:tcW w:type="dxa" w:w="2601"/>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10.10%</w:t>
            </w:r>
          </w:p>
        </w:tc>
      </w:tr>
      <w:tr>
        <w:tc>
          <w:tcPr>
            <w:tcW w:type="dxa" w:w="198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ESP</w:t>
            </w:r>
          </w:p>
        </w:tc>
        <w:tc>
          <w:tcPr>
            <w:tcW w:type="dxa" w:w="270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7.10%</w:t>
            </w:r>
          </w:p>
        </w:tc>
        <w:tc>
          <w:tcPr>
            <w:tcW w:type="dxa" w:w="259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4.60%</w:t>
            </w:r>
          </w:p>
        </w:tc>
        <w:tc>
          <w:tcPr>
            <w:tcW w:type="dxa" w:w="2601"/>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10.20%</w:t>
            </w:r>
          </w:p>
        </w:tc>
      </w:tr>
      <w:tr>
        <w:tc>
          <w:tcPr>
            <w:tcW w:type="dxa" w:w="198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JPN</w:t>
            </w:r>
          </w:p>
        </w:tc>
        <w:tc>
          <w:tcPr>
            <w:tcW w:type="dxa" w:w="270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6.70%</w:t>
            </w:r>
          </w:p>
        </w:tc>
        <w:tc>
          <w:tcPr>
            <w:tcW w:type="dxa" w:w="259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4.70%</w:t>
            </w:r>
          </w:p>
        </w:tc>
        <w:tc>
          <w:tcPr>
            <w:tcW w:type="dxa" w:w="2601"/>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9.00%</w:t>
            </w:r>
          </w:p>
        </w:tc>
      </w:tr>
      <w:tr>
        <w:tc>
          <w:tcPr>
            <w:tcW w:type="dxa" w:w="198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FRA</w:t>
            </w:r>
          </w:p>
        </w:tc>
        <w:tc>
          <w:tcPr>
            <w:tcW w:type="dxa" w:w="270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5.90%</w:t>
            </w:r>
          </w:p>
        </w:tc>
        <w:tc>
          <w:tcPr>
            <w:tcW w:type="dxa" w:w="259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3.80%</w:t>
            </w:r>
          </w:p>
        </w:tc>
        <w:tc>
          <w:tcPr>
            <w:tcW w:type="dxa" w:w="2601"/>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8.60%</w:t>
            </w:r>
          </w:p>
        </w:tc>
      </w:tr>
      <w:tr>
        <w:tc>
          <w:tcPr>
            <w:tcW w:type="dxa" w:w="198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GBR</w:t>
            </w:r>
          </w:p>
        </w:tc>
        <w:tc>
          <w:tcPr>
            <w:tcW w:type="dxa" w:w="270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5.80%</w:t>
            </w:r>
          </w:p>
        </w:tc>
        <w:tc>
          <w:tcPr>
            <w:tcW w:type="dxa" w:w="259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4.10%</w:t>
            </w:r>
          </w:p>
        </w:tc>
        <w:tc>
          <w:tcPr>
            <w:tcW w:type="dxa" w:w="2601"/>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7.70%</w:t>
            </w:r>
          </w:p>
        </w:tc>
      </w:tr>
      <w:tr>
        <w:tc>
          <w:tcPr>
            <w:tcW w:type="dxa" w:w="198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ITA</w:t>
            </w:r>
          </w:p>
        </w:tc>
        <w:tc>
          <w:tcPr>
            <w:tcW w:type="dxa" w:w="270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5.80%</w:t>
            </w:r>
          </w:p>
        </w:tc>
        <w:tc>
          <w:tcPr>
            <w:tcW w:type="dxa" w:w="259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3.80%</w:t>
            </w:r>
          </w:p>
        </w:tc>
        <w:tc>
          <w:tcPr>
            <w:tcW w:type="dxa" w:w="2601"/>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8.30%</w:t>
            </w:r>
          </w:p>
        </w:tc>
      </w:tr>
      <w:tr>
        <w:tc>
          <w:tcPr>
            <w:tcW w:type="dxa" w:w="198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DEU</w:t>
            </w:r>
          </w:p>
        </w:tc>
        <w:tc>
          <w:tcPr>
            <w:tcW w:type="dxa" w:w="270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5.00%</w:t>
            </w:r>
          </w:p>
        </w:tc>
        <w:tc>
          <w:tcPr>
            <w:tcW w:type="dxa" w:w="259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3.20%</w:t>
            </w:r>
          </w:p>
        </w:tc>
        <w:tc>
          <w:tcPr>
            <w:tcW w:type="dxa" w:w="2601"/>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7.20%</w:t>
            </w:r>
          </w:p>
        </w:tc>
      </w:tr>
    </w:tbl>
    <w:p>
      <w:pPr>
        <w:spacing w:after="160"/>
      </w:pPr>
    </w:p>
    <w:p>
      <w:pPr>
        <w:spacing w:after="120" w:before="60" w:line="276"/>
        <w:jc w:val="both"/>
      </w:pPr>
      <w:r>
        <w:rPr>
          <w:rFonts w:ascii="Calibri" w:cs="Calibri" w:eastAsia="Calibri" w:hAnsi="Calibri"/>
          <w:b/>
          <w:bCs/>
          <w:color w:val="1A1A1A"/>
          <w:sz w:val="20"/>
          <w:szCs w:val="20"/>
        </w:rPr>
        <w:t xml:space="preserve">Vintage constraint.</w:t>
      </w:r>
      <w:r>
        <w:rPr>
          <w:rFonts w:ascii="Calibri" w:cs="Calibri" w:eastAsia="Calibri" w:hAnsi="Calibri"/>
          <w:b w:val="false"/>
          <w:bCs w:val="false"/>
          <w:color w:val="1A1A1A"/>
          <w:sz w:val="20"/>
          <w:szCs w:val="20"/>
        </w:rPr>
        <w:t xml:space="preserve"> The latest year available from this indicator is </w:t>
      </w:r>
      <w:r>
        <w:rPr>
          <w:rFonts w:ascii="Calibri" w:cs="Calibri" w:eastAsia="Calibri" w:hAnsi="Calibri"/>
          <w:b/>
          <w:bCs/>
          <w:color w:val="1A1A1A"/>
          <w:sz w:val="20"/>
          <w:szCs w:val="20"/>
        </w:rPr>
        <w:t xml:space="preserve">2014</w:t>
      </w:r>
      <w:r>
        <w:rPr>
          <w:rFonts w:ascii="Calibri" w:cs="Calibri" w:eastAsia="Calibri" w:hAnsi="Calibri"/>
          <w:b w:val="false"/>
          <w:bCs w:val="false"/>
          <w:color w:val="1A1A1A"/>
          <w:sz w:val="20"/>
          <w:szCs w:val="20"/>
        </w:rPr>
        <w:t xml:space="preserve">. The series has not been refreshed, and the values above are consequently more than a decade stale in a disease area with documented rising incidence. Two mitigations are mandatory:</w:t>
      </w:r>
    </w:p>
    <w:p>
      <w:pPr>
        <w:pStyle w:val="ListParagraph"/>
        <w:numPr>
          <w:ilvl w:val="0"/>
          <w:numId w:val="2"/>
        </w:numPr>
        <w:spacing w:after="40" w:before="40" w:line="264"/>
      </w:pPr>
      <w:r>
        <w:rPr>
          <w:rFonts w:ascii="Calibri" w:cs="Calibri" w:eastAsia="Calibri" w:hAnsi="Calibri"/>
          <w:b w:val="false"/>
          <w:bCs w:val="false"/>
          <w:color w:val="1A1A1A"/>
          <w:sz w:val="20"/>
          <w:szCs w:val="20"/>
        </w:rPr>
        <w:t xml:space="preserve">Forward projection to the model year at a documented compound annual growth rate per market, with the projection explicitly labelled and the underlying vintage displayed.</w:t>
      </w:r>
    </w:p>
    <w:p>
      <w:pPr>
        <w:pStyle w:val="ListParagraph"/>
        <w:numPr>
          <w:ilvl w:val="0"/>
          <w:numId w:val="2"/>
        </w:numPr>
        <w:spacing w:after="40" w:before="40" w:line="264"/>
      </w:pPr>
      <w:r>
        <w:rPr>
          <w:rFonts w:ascii="Calibri" w:cs="Calibri" w:eastAsia="Calibri" w:hAnsi="Calibri"/>
          <w:b w:val="false"/>
          <w:bCs w:val="false"/>
          <w:color w:val="1A1A1A"/>
          <w:sz w:val="20"/>
          <w:szCs w:val="20"/>
        </w:rPr>
        <w:t xml:space="preserve">Provision for manual override from the International Diabetes Federation Diabetes Atlas, which publishes current national estimates.</w:t>
      </w:r>
    </w:p>
    <w:p>
      <w:pPr>
        <w:spacing w:after="120" w:before="60" w:line="276"/>
        <w:jc w:val="both"/>
      </w:pPr>
      <w:r>
        <w:rPr>
          <w:rFonts w:ascii="Calibri" w:cs="Calibri" w:eastAsia="Calibri" w:hAnsi="Calibri"/>
          <w:b w:val="false"/>
          <w:bCs w:val="false"/>
          <w:color w:val="1A1A1A"/>
          <w:sz w:val="20"/>
          <w:szCs w:val="20"/>
        </w:rPr>
        <w:t xml:space="preserve">Every diabetes prevalence value surfaced in the interface is tagged with its 2014 vintage and confidence tier B. This limitation is recorded in the model's stated assumptions and in all exported deliverables.</w:t>
      </w:r>
    </w:p>
    <w:p>
      <w:pPr>
        <w:pBdr>
          <w:bottom w:val="single" w:color="C6CFDA" w:sz="4" w:space="2"/>
        </w:pBdr>
        <w:spacing w:after="160" w:before="60"/>
      </w:pPr>
    </w:p>
    <w:p>
      <w:pPr>
        <w:pStyle w:val="Heading2"/>
        <w:keepNext/>
        <w:pBdr>
          <w:bottom w:val="single" w:color="C6CFDA" w:sz="6" w:space="6"/>
        </w:pBdr>
        <w:spacing w:after="140" w:before="360"/>
      </w:pPr>
      <w:r>
        <w:rPr>
          <w:rFonts w:ascii="Calibri" w:cs="Calibri" w:eastAsia="Calibri" w:hAnsi="Calibri"/>
          <w:b/>
          <w:bCs/>
          <w:color w:val="1F3864"/>
          <w:sz w:val="28"/>
          <w:szCs w:val="28"/>
        </w:rPr>
        <w:t xml:space="preserve">7. Data Architecture</w:t>
      </w:r>
    </w:p>
    <w:p>
      <w:pPr>
        <w:pStyle w:val="Heading3"/>
        <w:keepNext/>
        <w:spacing w:after="90" w:before="260"/>
      </w:pPr>
      <w:r>
        <w:rPr>
          <w:rFonts w:ascii="Calibri" w:cs="Calibri" w:eastAsia="Calibri" w:hAnsi="Calibri"/>
          <w:b/>
          <w:bCs/>
          <w:color w:val="2E5C8A"/>
          <w:sz w:val="23"/>
          <w:szCs w:val="23"/>
        </w:rPr>
        <w:t xml:space="preserve">7.1 Source Register</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618"/>
        <w:gridCol w:w="1696"/>
        <w:gridCol w:w="2892"/>
        <w:gridCol w:w="1039"/>
        <w:gridCol w:w="1438"/>
        <w:gridCol w:w="2207"/>
      </w:tblGrid>
      <w:tr>
        <w:trPr>
          <w:tblHeader/>
        </w:trPr>
        <w:tc>
          <w:tcPr>
            <w:tcW w:type="dxa" w:w="618"/>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6"/>
                <w:szCs w:val="16"/>
              </w:rPr>
              <w:t xml:space="preserve">#</w:t>
            </w:r>
          </w:p>
        </w:tc>
        <w:tc>
          <w:tcPr>
            <w:tcW w:type="dxa" w:w="1696"/>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6"/>
                <w:szCs w:val="16"/>
              </w:rPr>
              <w:t xml:space="preserve">Source</w:t>
            </w:r>
          </w:p>
        </w:tc>
        <w:tc>
          <w:tcPr>
            <w:tcW w:type="dxa" w:w="2892"/>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6"/>
                <w:szCs w:val="16"/>
              </w:rPr>
              <w:t xml:space="preserve">Content</w:t>
            </w:r>
          </w:p>
        </w:tc>
        <w:tc>
          <w:tcPr>
            <w:tcW w:type="dxa" w:w="1039"/>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6"/>
                <w:szCs w:val="16"/>
              </w:rPr>
              <w:t xml:space="preserve">Refresh</w:t>
            </w:r>
          </w:p>
        </w:tc>
        <w:tc>
          <w:tcPr>
            <w:tcW w:type="dxa" w:w="1438"/>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6"/>
                <w:szCs w:val="16"/>
              </w:rPr>
              <w:t xml:space="preserve">Licence</w:t>
            </w:r>
          </w:p>
        </w:tc>
        <w:tc>
          <w:tcPr>
            <w:tcW w:type="dxa" w:w="2207"/>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6"/>
                <w:szCs w:val="16"/>
              </w:rPr>
              <w:t xml:space="preserve">Role</w:t>
            </w:r>
          </w:p>
        </w:tc>
      </w:tr>
      <w:tr>
        <w:tc>
          <w:tcPr>
            <w:tcW w:type="dxa" w:w="61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1</w:t>
            </w:r>
          </w:p>
        </w:tc>
        <w:tc>
          <w:tcPr>
            <w:tcW w:type="dxa" w:w="169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World Bank Open Data API</w:t>
            </w:r>
          </w:p>
        </w:tc>
        <w:tc>
          <w:tcPr>
            <w:tcW w:type="dxa" w:w="289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Population, GDP per capita PPP, current health expenditure per capita, out-of-pocket share, age structure</w:t>
            </w:r>
          </w:p>
        </w:tc>
        <w:tc>
          <w:tcPr>
            <w:tcW w:type="dxa" w:w="103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Annual</w:t>
            </w:r>
          </w:p>
        </w:tc>
        <w:tc>
          <w:tcPr>
            <w:tcW w:type="dxa" w:w="143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CC BY 4.0</w:t>
            </w:r>
          </w:p>
        </w:tc>
        <w:tc>
          <w:tcPr>
            <w:tcW w:type="dxa" w:w="220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Population denominators, affordability denominators</w:t>
            </w:r>
          </w:p>
        </w:tc>
      </w:tr>
      <w:tr>
        <w:tc>
          <w:tcPr>
            <w:tcW w:type="dxa" w:w="61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2</w:t>
            </w:r>
          </w:p>
        </w:tc>
        <w:tc>
          <w:tcPr>
            <w:tcW w:type="dxa" w:w="1696"/>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WHO Global Health Observatory</w:t>
            </w:r>
          </w:p>
        </w:tc>
        <w:tc>
          <w:tcPr>
            <w:tcW w:type="dxa" w:w="2892"/>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Obesity, overweight and diabetes prevalence with confidence bounds</w:t>
            </w:r>
          </w:p>
        </w:tc>
        <w:tc>
          <w:tcPr>
            <w:tcW w:type="dxa" w:w="103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Irregular</w:t>
            </w:r>
          </w:p>
        </w:tc>
        <w:tc>
          <w:tcPr>
            <w:tcW w:type="dxa" w:w="143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Open</w:t>
            </w:r>
          </w:p>
        </w:tc>
        <w:tc>
          <w:tcPr>
            <w:tcW w:type="dxa" w:w="220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Disease prevalence, PSA distributions</w:t>
            </w:r>
          </w:p>
        </w:tc>
      </w:tr>
      <w:tr>
        <w:tc>
          <w:tcPr>
            <w:tcW w:type="dxa" w:w="61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3</w:t>
            </w:r>
          </w:p>
        </w:tc>
        <w:tc>
          <w:tcPr>
            <w:tcW w:type="dxa" w:w="169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NADAC (CMS Medicaid)</w:t>
            </w:r>
          </w:p>
        </w:tc>
        <w:tc>
          <w:tcPr>
            <w:tcW w:type="dxa" w:w="289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US pharmacy acquisition cost by NDC</w:t>
            </w:r>
          </w:p>
        </w:tc>
        <w:tc>
          <w:tcPr>
            <w:tcW w:type="dxa" w:w="103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Weekly</w:t>
            </w:r>
          </w:p>
        </w:tc>
        <w:tc>
          <w:tcPr>
            <w:tcW w:type="dxa" w:w="143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Public domain</w:t>
            </w:r>
          </w:p>
        </w:tc>
        <w:tc>
          <w:tcPr>
            <w:tcW w:type="dxa" w:w="220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Insulin and generic comparator pricing</w:t>
            </w:r>
          </w:p>
        </w:tc>
      </w:tr>
      <w:tr>
        <w:tc>
          <w:tcPr>
            <w:tcW w:type="dxa" w:w="61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4</w:t>
            </w:r>
          </w:p>
        </w:tc>
        <w:tc>
          <w:tcPr>
            <w:tcW w:type="dxa" w:w="1696"/>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Curated price seed</w:t>
            </w:r>
          </w:p>
        </w:tc>
        <w:tc>
          <w:tcPr>
            <w:tcW w:type="dxa" w:w="2892"/>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Branded therapy list and estimated net prices with citations</w:t>
            </w:r>
          </w:p>
        </w:tc>
        <w:tc>
          <w:tcPr>
            <w:tcW w:type="dxa" w:w="103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Manual</w:t>
            </w:r>
          </w:p>
        </w:tc>
        <w:tc>
          <w:tcPr>
            <w:tcW w:type="dxa" w:w="143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Internal</w:t>
            </w:r>
          </w:p>
        </w:tc>
        <w:tc>
          <w:tcPr>
            <w:tcW w:type="dxa" w:w="220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Branded incretin and comparator pricing</w:t>
            </w:r>
          </w:p>
        </w:tc>
      </w:tr>
      <w:tr>
        <w:tc>
          <w:tcPr>
            <w:tcW w:type="dxa" w:w="61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5</w:t>
            </w:r>
          </w:p>
        </w:tc>
        <w:tc>
          <w:tcPr>
            <w:tcW w:type="dxa" w:w="169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openFDA Drug Approvals</w:t>
            </w:r>
          </w:p>
        </w:tc>
        <w:tc>
          <w:tcPr>
            <w:tcW w:type="dxa" w:w="289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Approval history, labelling, dosage forms</w:t>
            </w:r>
          </w:p>
        </w:tc>
        <w:tc>
          <w:tcPr>
            <w:tcW w:type="dxa" w:w="103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Daily</w:t>
            </w:r>
          </w:p>
        </w:tc>
        <w:tc>
          <w:tcPr>
            <w:tcW w:type="dxa" w:w="143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Public domain</w:t>
            </w:r>
          </w:p>
        </w:tc>
        <w:tc>
          <w:tcPr>
            <w:tcW w:type="dxa" w:w="220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Asset and comparator metadata</w:t>
            </w:r>
          </w:p>
        </w:tc>
      </w:tr>
      <w:tr>
        <w:tc>
          <w:tcPr>
            <w:tcW w:type="dxa" w:w="61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6</w:t>
            </w:r>
          </w:p>
        </w:tc>
        <w:tc>
          <w:tcPr>
            <w:tcW w:type="dxa" w:w="1696"/>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ClinicalTrials.gov API v2</w:t>
            </w:r>
          </w:p>
        </w:tc>
        <w:tc>
          <w:tcPr>
            <w:tcW w:type="dxa" w:w="2892"/>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Active trials in scope</w:t>
            </w:r>
          </w:p>
        </w:tc>
        <w:tc>
          <w:tcPr>
            <w:tcW w:type="dxa" w:w="103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Daily</w:t>
            </w:r>
          </w:p>
        </w:tc>
        <w:tc>
          <w:tcPr>
            <w:tcW w:type="dxa" w:w="143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Public domain</w:t>
            </w:r>
          </w:p>
        </w:tc>
        <w:tc>
          <w:tcPr>
            <w:tcW w:type="dxa" w:w="220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Competitive entry context</w:t>
            </w:r>
          </w:p>
        </w:tc>
      </w:tr>
      <w:tr>
        <w:tc>
          <w:tcPr>
            <w:tcW w:type="dxa" w:w="61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7</w:t>
            </w:r>
          </w:p>
        </w:tc>
        <w:tc>
          <w:tcPr>
            <w:tcW w:type="dxa" w:w="169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Frankfurter API (ECB)</w:t>
            </w:r>
          </w:p>
        </w:tc>
        <w:tc>
          <w:tcPr>
            <w:tcW w:type="dxa" w:w="289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Foreign exchange rates</w:t>
            </w:r>
          </w:p>
        </w:tc>
        <w:tc>
          <w:tcPr>
            <w:tcW w:type="dxa" w:w="103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Daily</w:t>
            </w:r>
          </w:p>
        </w:tc>
        <w:tc>
          <w:tcPr>
            <w:tcW w:type="dxa" w:w="143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Open</w:t>
            </w:r>
          </w:p>
        </w:tc>
        <w:tc>
          <w:tcPr>
            <w:tcW w:type="dxa" w:w="220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Currency conversion</w:t>
            </w:r>
          </w:p>
        </w:tc>
      </w:tr>
      <w:tr>
        <w:tc>
          <w:tcPr>
            <w:tcW w:type="dxa" w:w="61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8</w:t>
            </w:r>
          </w:p>
        </w:tc>
        <w:tc>
          <w:tcPr>
            <w:tcW w:type="dxa" w:w="1696"/>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Guideline corpus</w:t>
            </w:r>
          </w:p>
        </w:tc>
        <w:tc>
          <w:tcPr>
            <w:tcW w:type="dxa" w:w="2892"/>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ISPOR, NICE and WHO budget impact methodology</w:t>
            </w:r>
          </w:p>
        </w:tc>
        <w:tc>
          <w:tcPr>
            <w:tcW w:type="dxa" w:w="103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Static</w:t>
            </w:r>
          </w:p>
        </w:tc>
        <w:tc>
          <w:tcPr>
            <w:tcW w:type="dxa" w:w="143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Publicly distributed</w:t>
            </w:r>
          </w:p>
        </w:tc>
        <w:tc>
          <w:tcPr>
            <w:tcW w:type="dxa" w:w="220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6"/>
                <w:szCs w:val="16"/>
              </w:rPr>
              <w:t xml:space="preserve">Retrieval grounding</w:t>
            </w:r>
          </w:p>
        </w:tc>
      </w:tr>
    </w:tbl>
    <w:p>
      <w:pPr>
        <w:spacing w:after="160"/>
      </w:pPr>
    </w:p>
    <w:p>
      <w:pPr>
        <w:pStyle w:val="Heading3"/>
        <w:keepNext/>
        <w:spacing w:after="90" w:before="260"/>
      </w:pPr>
      <w:r>
        <w:rPr>
          <w:rFonts w:ascii="Calibri" w:cs="Calibri" w:eastAsia="Calibri" w:hAnsi="Calibri"/>
          <w:b/>
          <w:bCs/>
          <w:color w:val="2E5C8A"/>
          <w:sz w:val="23"/>
          <w:szCs w:val="23"/>
        </w:rPr>
        <w:t xml:space="preserve">7.2 Source Data Constraints</w:t>
      </w:r>
    </w:p>
    <w:p>
      <w:pPr>
        <w:spacing w:after="120" w:before="60" w:line="276"/>
        <w:jc w:val="both"/>
      </w:pPr>
      <w:r>
        <w:rPr>
          <w:rFonts w:ascii="Calibri" w:cs="Calibri" w:eastAsia="Calibri" w:hAnsi="Calibri"/>
          <w:b w:val="false"/>
          <w:bCs w:val="false"/>
          <w:color w:val="1A1A1A"/>
          <w:sz w:val="20"/>
          <w:szCs w:val="20"/>
        </w:rPr>
        <w:t xml:space="preserve">These are properties of the source data that the ingestion layer must handle explicitly. Each has been verified against the retrieved datasets.</w:t>
      </w:r>
    </w:p>
    <w:p>
      <w:pPr>
        <w:spacing w:after="120" w:before="60" w:line="276"/>
        <w:jc w:val="both"/>
      </w:pPr>
      <w:r>
        <w:rPr>
          <w:rFonts w:ascii="Calibri" w:cs="Calibri" w:eastAsia="Calibri" w:hAnsi="Calibri"/>
          <w:b/>
          <w:bCs/>
          <w:color w:val="1A1A1A"/>
          <w:sz w:val="20"/>
          <w:szCs w:val="20"/>
        </w:rPr>
        <w:t xml:space="preserve">WHO Global Health Observatory extracts contain aggregate rows.</w:t>
      </w:r>
      <w:r>
        <w:rPr>
          <w:rFonts w:ascii="Calibri" w:cs="Calibri" w:eastAsia="Calibri" w:hAnsi="Calibri"/>
          <w:b w:val="false"/>
          <w:bCs w:val="false"/>
          <w:color w:val="1A1A1A"/>
          <w:sz w:val="20"/>
          <w:szCs w:val="20"/>
        </w:rPr>
        <w:t xml:space="preserve"> The response includes rows where </w:t>
      </w:r>
      <w:r>
        <w:rPr>
          <w:rFonts w:ascii="Consolas" w:cs="Consolas" w:eastAsia="Consolas" w:hAnsi="Consolas"/>
          <w:b w:val="false"/>
          <w:bCs w:val="false"/>
          <w:color w:val="8A2E2E"/>
          <w:sz w:val="17"/>
          <w:szCs w:val="17"/>
          <w:shd w:fill="F1F1F1" w:color="auto" w:val="clear"/>
        </w:rPr>
        <w:t xml:space="preserve">SpatialDimType</w:t>
      </w:r>
      <w:r>
        <w:rPr>
          <w:rFonts w:ascii="Calibri" w:cs="Calibri" w:eastAsia="Calibri" w:hAnsi="Calibri"/>
          <w:b w:val="false"/>
          <w:bCs w:val="false"/>
          <w:color w:val="1A1A1A"/>
          <w:sz w:val="20"/>
          <w:szCs w:val="20"/>
        </w:rPr>
        <w:t xml:space="preserve"> is </w:t>
      </w:r>
      <w:r>
        <w:rPr>
          <w:rFonts w:ascii="Consolas" w:cs="Consolas" w:eastAsia="Consolas" w:hAnsi="Consolas"/>
          <w:b w:val="false"/>
          <w:bCs w:val="false"/>
          <w:color w:val="8A2E2E"/>
          <w:sz w:val="17"/>
          <w:szCs w:val="17"/>
          <w:shd w:fill="F1F1F1" w:color="auto" w:val="clear"/>
        </w:rPr>
        <w:t xml:space="preserve">WORLDBANKINCOMEGROUP</w:t>
      </w:r>
      <w:r>
        <w:rPr>
          <w:rFonts w:ascii="Calibri" w:cs="Calibri" w:eastAsia="Calibri" w:hAnsi="Calibri"/>
          <w:b w:val="false"/>
          <w:bCs w:val="false"/>
          <w:color w:val="1A1A1A"/>
          <w:sz w:val="20"/>
          <w:szCs w:val="20"/>
        </w:rPr>
        <w:t xml:space="preserve"> or </w:t>
      </w:r>
      <w:r>
        <w:rPr>
          <w:rFonts w:ascii="Consolas" w:cs="Consolas" w:eastAsia="Consolas" w:hAnsi="Consolas"/>
          <w:b w:val="false"/>
          <w:bCs w:val="false"/>
          <w:color w:val="8A2E2E"/>
          <w:sz w:val="17"/>
          <w:szCs w:val="17"/>
          <w:shd w:fill="F1F1F1" w:color="auto" w:val="clear"/>
        </w:rPr>
        <w:t xml:space="preserve">REGION</w:t>
      </w:r>
      <w:r>
        <w:rPr>
          <w:rFonts w:ascii="Calibri" w:cs="Calibri" w:eastAsia="Calibri" w:hAnsi="Calibri"/>
          <w:b w:val="false"/>
          <w:bCs w:val="false"/>
          <w:color w:val="1A1A1A"/>
          <w:sz w:val="20"/>
          <w:szCs w:val="20"/>
        </w:rPr>
        <w:t xml:space="preserve"> alongside true country rows. Ingestion must filter to </w:t>
      </w:r>
      <w:r>
        <w:rPr>
          <w:rFonts w:ascii="Consolas" w:cs="Consolas" w:eastAsia="Consolas" w:hAnsi="Consolas"/>
          <w:b w:val="false"/>
          <w:bCs w:val="false"/>
          <w:color w:val="8A2E2E"/>
          <w:sz w:val="17"/>
          <w:szCs w:val="17"/>
          <w:shd w:fill="F1F1F1" w:color="auto" w:val="clear"/>
        </w:rPr>
        <w:t xml:space="preserve">SpatialDimType = 'COUNTRY'</w:t>
      </w:r>
      <w:r>
        <w:rPr>
          <w:rFonts w:ascii="Calibri" w:cs="Calibri" w:eastAsia="Calibri" w:hAnsi="Calibri"/>
          <w:b w:val="false"/>
          <w:bCs w:val="false"/>
          <w:color w:val="1A1A1A"/>
          <w:sz w:val="20"/>
          <w:szCs w:val="20"/>
        </w:rPr>
        <w:t xml:space="preserve">, or aggregate rows will be loaded as if they were markets.</w:t>
      </w:r>
    </w:p>
    <w:p>
      <w:pPr>
        <w:spacing w:after="120" w:before="60" w:line="276"/>
        <w:jc w:val="both"/>
      </w:pPr>
      <w:r>
        <w:rPr>
          <w:rFonts w:ascii="Calibri" w:cs="Calibri" w:eastAsia="Calibri" w:hAnsi="Calibri"/>
          <w:b/>
          <w:bCs/>
          <w:color w:val="1A1A1A"/>
          <w:sz w:val="20"/>
          <w:szCs w:val="20"/>
        </w:rPr>
        <w:t xml:space="preserve">WHO extracts are sex- and age-stratified.</w:t>
      </w:r>
      <w:r>
        <w:rPr>
          <w:rFonts w:ascii="Calibri" w:cs="Calibri" w:eastAsia="Calibri" w:hAnsi="Calibri"/>
          <w:b w:val="false"/>
          <w:bCs w:val="false"/>
          <w:color w:val="1A1A1A"/>
          <w:sz w:val="20"/>
          <w:szCs w:val="20"/>
        </w:rPr>
        <w:t xml:space="preserve"> The </w:t>
      </w:r>
      <w:r>
        <w:rPr>
          <w:rFonts w:ascii="Consolas" w:cs="Consolas" w:eastAsia="Consolas" w:hAnsi="Consolas"/>
          <w:b w:val="false"/>
          <w:bCs w:val="false"/>
          <w:color w:val="8A2E2E"/>
          <w:sz w:val="17"/>
          <w:szCs w:val="17"/>
          <w:shd w:fill="F1F1F1" w:color="auto" w:val="clear"/>
        </w:rPr>
        <w:t xml:space="preserve">Dim1</w:t>
      </w:r>
      <w:r>
        <w:rPr>
          <w:rFonts w:ascii="Calibri" w:cs="Calibri" w:eastAsia="Calibri" w:hAnsi="Calibri"/>
          <w:b w:val="false"/>
          <w:bCs w:val="false"/>
          <w:color w:val="1A1A1A"/>
          <w:sz w:val="20"/>
          <w:szCs w:val="20"/>
        </w:rPr>
        <w:t xml:space="preserve"> dimension takes values </w:t>
      </w:r>
      <w:r>
        <w:rPr>
          <w:rFonts w:ascii="Consolas" w:cs="Consolas" w:eastAsia="Consolas" w:hAnsi="Consolas"/>
          <w:b w:val="false"/>
          <w:bCs w:val="false"/>
          <w:color w:val="8A2E2E"/>
          <w:sz w:val="17"/>
          <w:szCs w:val="17"/>
          <w:shd w:fill="F1F1F1" w:color="auto" w:val="clear"/>
        </w:rPr>
        <w:t xml:space="preserve">SEX_MLE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8A2E2E"/>
          <w:sz w:val="17"/>
          <w:szCs w:val="17"/>
          <w:shd w:fill="F1F1F1" w:color="auto" w:val="clear"/>
        </w:rPr>
        <w:t xml:space="preserve">SEX_FMLE</w:t>
      </w:r>
      <w:r>
        <w:rPr>
          <w:rFonts w:ascii="Calibri" w:cs="Calibri" w:eastAsia="Calibri" w:hAnsi="Calibri"/>
          <w:b w:val="false"/>
          <w:bCs w:val="false"/>
          <w:color w:val="1A1A1A"/>
          <w:sz w:val="20"/>
          <w:szCs w:val="20"/>
        </w:rPr>
        <w:t xml:space="preserve"> and </w:t>
      </w:r>
      <w:r>
        <w:rPr>
          <w:rFonts w:ascii="Consolas" w:cs="Consolas" w:eastAsia="Consolas" w:hAnsi="Consolas"/>
          <w:b w:val="false"/>
          <w:bCs w:val="false"/>
          <w:color w:val="8A2E2E"/>
          <w:sz w:val="17"/>
          <w:szCs w:val="17"/>
          <w:shd w:fill="F1F1F1" w:color="auto" w:val="clear"/>
        </w:rPr>
        <w:t xml:space="preserve">SEX_BTSX</w:t>
      </w:r>
      <w:r>
        <w:rPr>
          <w:rFonts w:ascii="Calibri" w:cs="Calibri" w:eastAsia="Calibri" w:hAnsi="Calibri"/>
          <w:b w:val="false"/>
          <w:bCs w:val="false"/>
          <w:color w:val="1A1A1A"/>
          <w:sz w:val="20"/>
          <w:szCs w:val="20"/>
        </w:rPr>
        <w:t xml:space="preserve">. Ingestion selects </w:t>
      </w:r>
      <w:r>
        <w:rPr>
          <w:rFonts w:ascii="Consolas" w:cs="Consolas" w:eastAsia="Consolas" w:hAnsi="Consolas"/>
          <w:b w:val="false"/>
          <w:bCs w:val="false"/>
          <w:color w:val="8A2E2E"/>
          <w:sz w:val="17"/>
          <w:szCs w:val="17"/>
          <w:shd w:fill="F1F1F1" w:color="auto" w:val="clear"/>
        </w:rPr>
        <w:t xml:space="preserve">SEX_BTSX</w:t>
      </w:r>
      <w:r>
        <w:rPr>
          <w:rFonts w:ascii="Calibri" w:cs="Calibri" w:eastAsia="Calibri" w:hAnsi="Calibri"/>
          <w:b w:val="false"/>
          <w:bCs w:val="false"/>
          <w:color w:val="1A1A1A"/>
          <w:sz w:val="20"/>
          <w:szCs w:val="20"/>
        </w:rPr>
        <w:t xml:space="preserve">. The </w:t>
      </w:r>
      <w:r>
        <w:rPr>
          <w:rFonts w:ascii="Consolas" w:cs="Consolas" w:eastAsia="Consolas" w:hAnsi="Consolas"/>
          <w:b w:val="false"/>
          <w:bCs w:val="false"/>
          <w:color w:val="8A2E2E"/>
          <w:sz w:val="17"/>
          <w:szCs w:val="17"/>
          <w:shd w:fill="F1F1F1" w:color="auto" w:val="clear"/>
        </w:rPr>
        <w:t xml:space="preserve">Dim2</w:t>
      </w:r>
      <w:r>
        <w:rPr>
          <w:rFonts w:ascii="Calibri" w:cs="Calibri" w:eastAsia="Calibri" w:hAnsi="Calibri"/>
          <w:b w:val="false"/>
          <w:bCs w:val="false"/>
          <w:color w:val="1A1A1A"/>
          <w:sz w:val="20"/>
          <w:szCs w:val="20"/>
        </w:rPr>
        <w:t xml:space="preserve"> dimension is </w:t>
      </w:r>
      <w:r>
        <w:rPr>
          <w:rFonts w:ascii="Consolas" w:cs="Consolas" w:eastAsia="Consolas" w:hAnsi="Consolas"/>
          <w:b w:val="false"/>
          <w:bCs w:val="false"/>
          <w:color w:val="8A2E2E"/>
          <w:sz w:val="17"/>
          <w:szCs w:val="17"/>
          <w:shd w:fill="F1F1F1" w:color="auto" w:val="clear"/>
        </w:rPr>
        <w:t xml:space="preserve">AGEGROUP_YEARS18-PLUS</w:t>
      </w:r>
      <w:r>
        <w:rPr>
          <w:rFonts w:ascii="Calibri" w:cs="Calibri" w:eastAsia="Calibri" w:hAnsi="Calibri"/>
          <w:b w:val="false"/>
          <w:bCs w:val="false"/>
          <w:color w:val="1A1A1A"/>
          <w:sz w:val="20"/>
          <w:szCs w:val="20"/>
        </w:rPr>
        <w:t xml:space="preserve"> throughout, which establishes the adult denominator requirement in §5.2.</w:t>
      </w:r>
    </w:p>
    <w:p>
      <w:pPr>
        <w:spacing w:after="120" w:before="60" w:line="276"/>
        <w:jc w:val="both"/>
      </w:pPr>
      <w:r>
        <w:rPr>
          <w:rFonts w:ascii="Calibri" w:cs="Calibri" w:eastAsia="Calibri" w:hAnsi="Calibri"/>
          <w:b/>
          <w:bCs/>
          <w:color w:val="1A1A1A"/>
          <w:sz w:val="20"/>
          <w:szCs w:val="20"/>
        </w:rPr>
        <w:t xml:space="preserve">World Bank indicators have differing latest-available years.</w:t>
      </w:r>
      <w:r>
        <w:rPr>
          <w:rFonts w:ascii="Calibri" w:cs="Calibri" w:eastAsia="Calibri" w:hAnsi="Calibri"/>
          <w:b w:val="false"/>
          <w:bCs w:val="false"/>
          <w:color w:val="1A1A1A"/>
          <w:sz w:val="20"/>
          <w:szCs w:val="20"/>
        </w:rPr>
        <w:t xml:space="preserve"> Population and GDP per capita PPP are populated through 2025; current health expenditure per capita lags to 2023 or 2024 depending on market, and 2025 rows are present but null. Ingestion must resolve each indicator to its latest non-null year per country independently, and must record the resolved vintage alongside the value. A naive join on a single fixed year silently discards health expenditure for every market.</w:t>
      </w:r>
    </w:p>
    <w:p>
      <w:pPr>
        <w:spacing w:after="120" w:before="60" w:line="276"/>
        <w:jc w:val="both"/>
      </w:pPr>
      <w:r>
        <w:rPr>
          <w:rFonts w:ascii="Calibri" w:cs="Calibri" w:eastAsia="Calibri" w:hAnsi="Calibri"/>
          <w:b/>
          <w:bCs/>
          <w:color w:val="1A1A1A"/>
          <w:sz w:val="20"/>
          <w:szCs w:val="20"/>
        </w:rPr>
        <w:t xml:space="preserve">NADAC does not contain branded incretin pricing.</w:t>
      </w:r>
      <w:r>
        <w:rPr>
          <w:rFonts w:ascii="Calibri" w:cs="Calibri" w:eastAsia="Calibri" w:hAnsi="Calibri"/>
          <w:b w:val="false"/>
          <w:bCs w:val="false"/>
          <w:color w:val="1A1A1A"/>
          <w:sz w:val="20"/>
          <w:szCs w:val="20"/>
        </w:rPr>
        <w:t xml:space="preserve"> Filtering the full 1.5-million-row NADAC extract to the therapy classes of interest yields 1,204 rows, of which 1,174 are insulin products and 30 are generic liraglutide. There are no semaglutide or tirzepatide rows: NADAC reports pharmacy acquisition cost, which is available principally for multi-source and generic products. Branded incretin pricing must therefore come from the curated price seed table (source 4), with each entry citing a public list-price reference and a stated gross-to-net assumption. NADAC's role is confined to insulin and generic comparator pricing, where it is authoritative.</w:t>
      </w:r>
    </w:p>
    <w:p>
      <w:pPr>
        <w:spacing w:after="120" w:before="60" w:line="276"/>
        <w:jc w:val="both"/>
      </w:pPr>
      <w:r>
        <w:rPr>
          <w:rFonts w:ascii="Calibri" w:cs="Calibri" w:eastAsia="Calibri" w:hAnsi="Calibri"/>
          <w:b/>
          <w:bCs/>
          <w:color w:val="1A1A1A"/>
          <w:sz w:val="20"/>
          <w:szCs w:val="20"/>
        </w:rPr>
        <w:t xml:space="preserve">NADAC pricing units are heterogeneous.</w:t>
      </w:r>
      <w:r>
        <w:rPr>
          <w:rFonts w:ascii="Calibri" w:cs="Calibri" w:eastAsia="Calibri" w:hAnsi="Calibri"/>
          <w:b w:val="false"/>
          <w:bCs w:val="false"/>
          <w:color w:val="1A1A1A"/>
          <w:sz w:val="20"/>
          <w:szCs w:val="20"/>
        </w:rPr>
        <w:t xml:space="preserve"> The </w:t>
      </w:r>
      <w:r>
        <w:rPr>
          <w:rFonts w:ascii="Consolas" w:cs="Consolas" w:eastAsia="Consolas" w:hAnsi="Consolas"/>
          <w:b w:val="false"/>
          <w:bCs w:val="false"/>
          <w:color w:val="8A2E2E"/>
          <w:sz w:val="17"/>
          <w:szCs w:val="17"/>
          <w:shd w:fill="F1F1F1" w:color="auto" w:val="clear"/>
        </w:rPr>
        <w:t xml:space="preserve">Pricing Unit</w:t>
      </w:r>
      <w:r>
        <w:rPr>
          <w:rFonts w:ascii="Calibri" w:cs="Calibri" w:eastAsia="Calibri" w:hAnsi="Calibri"/>
          <w:b w:val="false"/>
          <w:bCs w:val="false"/>
          <w:color w:val="1A1A1A"/>
          <w:sz w:val="20"/>
          <w:szCs w:val="20"/>
        </w:rPr>
        <w:t xml:space="preserve"> field takes values </w:t>
      </w:r>
      <w:r>
        <w:rPr>
          <w:rFonts w:ascii="Consolas" w:cs="Consolas" w:eastAsia="Consolas" w:hAnsi="Consolas"/>
          <w:b w:val="false"/>
          <w:bCs w:val="false"/>
          <w:color w:val="8A2E2E"/>
          <w:sz w:val="17"/>
          <w:szCs w:val="17"/>
          <w:shd w:fill="F1F1F1" w:color="auto" w:val="clear"/>
        </w:rPr>
        <w:t xml:space="preserve">ML</w:t>
      </w:r>
      <w:r>
        <w:rPr>
          <w:rFonts w:ascii="Calibri" w:cs="Calibri" w:eastAsia="Calibri" w:hAnsi="Calibri"/>
          <w:b w:val="false"/>
          <w:bCs w:val="false"/>
          <w:color w:val="1A1A1A"/>
          <w:sz w:val="20"/>
          <w:szCs w:val="20"/>
        </w:rPr>
        <w:t xml:space="preserve"> and </w:t>
      </w:r>
      <w:r>
        <w:rPr>
          <w:rFonts w:ascii="Consolas" w:cs="Consolas" w:eastAsia="Consolas" w:hAnsi="Consolas"/>
          <w:b w:val="false"/>
          <w:bCs w:val="false"/>
          <w:color w:val="8A2E2E"/>
          <w:sz w:val="17"/>
          <w:szCs w:val="17"/>
          <w:shd w:fill="F1F1F1" w:color="auto" w:val="clear"/>
        </w:rPr>
        <w:t xml:space="preserve">EA</w:t>
      </w:r>
      <w:r>
        <w:rPr>
          <w:rFonts w:ascii="Calibri" w:cs="Calibri" w:eastAsia="Calibri" w:hAnsi="Calibri"/>
          <w:b w:val="false"/>
          <w:bCs w:val="false"/>
          <w:color w:val="1A1A1A"/>
          <w:sz w:val="20"/>
          <w:szCs w:val="20"/>
        </w:rPr>
        <w:t xml:space="preserve">. Converting a per-unit acquisition cost to an annual cost per patient requires an explicit NDC-to-regimen mapping specifying concentration, units per presentation and presentations per year. This mapping is maintained as curated reference data, not inferred.</w:t>
      </w:r>
    </w:p>
    <w:p>
      <w:pPr>
        <w:spacing w:after="120" w:before="60" w:line="276"/>
        <w:jc w:val="both"/>
      </w:pPr>
      <w:r>
        <w:rPr>
          <w:rFonts w:ascii="Calibri" w:cs="Calibri" w:eastAsia="Calibri" w:hAnsi="Calibri"/>
          <w:b/>
          <w:bCs/>
          <w:color w:val="1A1A1A"/>
          <w:sz w:val="20"/>
          <w:szCs w:val="20"/>
        </w:rPr>
        <w:t xml:space="preserve">openFDA and ClinicalTrials.gov payloads are deeply nested.</w:t>
      </w:r>
      <w:r>
        <w:rPr>
          <w:rFonts w:ascii="Calibri" w:cs="Calibri" w:eastAsia="Calibri" w:hAnsi="Calibri"/>
          <w:b w:val="false"/>
          <w:bCs w:val="false"/>
          <w:color w:val="1A1A1A"/>
          <w:sz w:val="20"/>
          <w:szCs w:val="20"/>
        </w:rPr>
        <w:t xml:space="preserve"> The approvals extract embeds serialised JSON in the </w:t>
      </w:r>
      <w:r>
        <w:rPr>
          <w:rFonts w:ascii="Consolas" w:cs="Consolas" w:eastAsia="Consolas" w:hAnsi="Consolas"/>
          <w:b w:val="false"/>
          <w:bCs w:val="false"/>
          <w:color w:val="8A2E2E"/>
          <w:sz w:val="17"/>
          <w:szCs w:val="17"/>
          <w:shd w:fill="F1F1F1" w:color="auto" w:val="clear"/>
        </w:rPr>
        <w:t xml:space="preserve">submissions</w:t>
      </w:r>
      <w:r>
        <w:rPr>
          <w:rFonts w:ascii="Calibri" w:cs="Calibri" w:eastAsia="Calibri" w:hAnsi="Calibri"/>
          <w:b w:val="false"/>
          <w:bCs w:val="false"/>
          <w:color w:val="1A1A1A"/>
          <w:sz w:val="20"/>
          <w:szCs w:val="20"/>
        </w:rPr>
        <w:t xml:space="preserve"> and </w:t>
      </w:r>
      <w:r>
        <w:rPr>
          <w:rFonts w:ascii="Consolas" w:cs="Consolas" w:eastAsia="Consolas" w:hAnsi="Consolas"/>
          <w:b w:val="false"/>
          <w:bCs w:val="false"/>
          <w:color w:val="8A2E2E"/>
          <w:sz w:val="17"/>
          <w:szCs w:val="17"/>
          <w:shd w:fill="F1F1F1" w:color="auto" w:val="clear"/>
        </w:rPr>
        <w:t xml:space="preserve">products</w:t>
      </w:r>
      <w:r>
        <w:rPr>
          <w:rFonts w:ascii="Calibri" w:cs="Calibri" w:eastAsia="Calibri" w:hAnsi="Calibri"/>
          <w:b w:val="false"/>
          <w:bCs w:val="false"/>
          <w:color w:val="1A1A1A"/>
          <w:sz w:val="20"/>
          <w:szCs w:val="20"/>
        </w:rPr>
        <w:t xml:space="preserve"> columns. These sources supply contextual metadata only and are not on the calculation path; they are parsed into flat projections during ingestion and are never read by the engine.</w:t>
      </w:r>
    </w:p>
    <w:p>
      <w:pPr>
        <w:pStyle w:val="Heading3"/>
        <w:keepNext/>
        <w:spacing w:after="90" w:before="260"/>
      </w:pPr>
      <w:r>
        <w:rPr>
          <w:rFonts w:ascii="Calibri" w:cs="Calibri" w:eastAsia="Calibri" w:hAnsi="Calibri"/>
          <w:b/>
          <w:bCs/>
          <w:color w:val="2E5C8A"/>
          <w:sz w:val="23"/>
          <w:szCs w:val="23"/>
        </w:rPr>
        <w:t xml:space="preserve">7.3 Value Resolution Chain</w:t>
      </w:r>
    </w:p>
    <w:p>
      <w:pPr>
        <w:spacing w:after="120" w:before="60" w:line="276"/>
        <w:jc w:val="both"/>
      </w:pPr>
      <w:r>
        <w:rPr>
          <w:rFonts w:ascii="Calibri" w:cs="Calibri" w:eastAsia="Calibri" w:hAnsi="Calibri"/>
          <w:b w:val="false"/>
          <w:bCs w:val="false"/>
          <w:color w:val="1A1A1A"/>
          <w:sz w:val="20"/>
          <w:szCs w:val="20"/>
        </w:rPr>
        <w:t xml:space="preserve">Every model input resolves through three ordered levels. The interface always displays which level supplied the value in force.</w:t>
      </w:r>
    </w:p>
    <w:p>
      <w:pPr>
        <w:pBdr>
          <w:left w:val="single" w:color="2E5C8A" w:sz="12" w:space="8"/>
          <w:right w:val="single" w:color="D3DAE3" w:sz="2" w:space="4"/>
        </w:pBdr>
        <w:shd w:fill="F4F6F8" w:color="auto" w:val="clear"/>
        <w:spacing w:after="0" w:before="100" w:line="220"/>
        <w:ind w:left="120"/>
      </w:pPr>
      <w:r>
        <w:rPr>
          <w:rFonts w:ascii="Consolas" w:cs="Consolas" w:eastAsia="Consolas" w:hAnsi="Consolas"/>
          <w:color w:val="24292E"/>
          <w:sz w:val="15"/>
          <w:szCs w:val="15"/>
        </w:rPr>
        <w:t xml:space="preserve">1. Global default      — seeded reference value, indication-level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2. Country override    — market-specific reference value</w:t>
      </w:r>
    </w:p>
    <w:p>
      <w:pPr>
        <w:pBdr>
          <w:left w:val="single" w:color="2E5C8A" w:sz="12" w:space="8"/>
          <w:right w:val="single" w:color="D3DAE3" w:sz="2" w:space="4"/>
        </w:pBdr>
        <w:shd w:fill="F4F6F8" w:color="auto" w:val="clear"/>
        <w:spacing w:after="140" w:before="0" w:line="220"/>
        <w:ind w:left="120"/>
      </w:pPr>
      <w:r>
        <w:rPr>
          <w:rFonts w:ascii="Consolas" w:cs="Consolas" w:eastAsia="Consolas" w:hAnsi="Consolas"/>
          <w:color w:val="24292E"/>
          <w:sz w:val="15"/>
          <w:szCs w:val="15"/>
        </w:rPr>
        <w:t xml:space="preserve">3. Scenario override   — user-supplied value for this scenario only</w:t>
      </w:r>
    </w:p>
    <w:p>
      <w:pPr>
        <w:spacing w:after="120" w:before="60" w:line="276"/>
        <w:jc w:val="both"/>
      </w:pPr>
      <w:r>
        <w:rPr>
          <w:rFonts w:ascii="Calibri" w:cs="Calibri" w:eastAsia="Calibri" w:hAnsi="Calibri"/>
          <w:b w:val="false"/>
          <w:bCs w:val="false"/>
          <w:color w:val="1A1A1A"/>
          <w:sz w:val="20"/>
          <w:szCs w:val="20"/>
        </w:rPr>
        <w:t xml:space="preserve">Resolution takes the most specific level present. Provenance metadata — source identifier, vintage year, confidence tier, and any note — travels with the value regardless of the level at which it resolves. This is what makes the seeded library reusable across markets rather than requiring per-country duplication.</w:t>
      </w:r>
    </w:p>
    <w:p>
      <w:pPr>
        <w:pStyle w:val="Heading3"/>
        <w:keepNext/>
        <w:spacing w:after="90" w:before="260"/>
      </w:pPr>
      <w:r>
        <w:rPr>
          <w:rFonts w:ascii="Calibri" w:cs="Calibri" w:eastAsia="Calibri" w:hAnsi="Calibri"/>
          <w:b/>
          <w:bCs/>
          <w:color w:val="2E5C8A"/>
          <w:sz w:val="23"/>
          <w:szCs w:val="23"/>
        </w:rPr>
        <w:t xml:space="preserve">7.4 Ingestion Pipeline</w:t>
      </w:r>
    </w:p>
    <w:p>
      <w:pPr>
        <w:pBdr>
          <w:left w:val="single" w:color="2E5C8A" w:sz="12" w:space="8"/>
          <w:right w:val="single" w:color="D3DAE3" w:sz="2" w:space="4"/>
        </w:pBdr>
        <w:shd w:fill="F4F6F8" w:color="auto" w:val="clear"/>
        <w:spacing w:after="140" w:before="100" w:line="220"/>
        <w:ind w:left="120"/>
      </w:pPr>
      <w:r>
        <w:rPr>
          <w:rFonts w:ascii="Consolas" w:cs="Consolas" w:eastAsia="Consolas" w:hAnsi="Consolas"/>
          <w:color w:val="24292E"/>
          <w:sz w:val="15"/>
          <w:szCs w:val="15"/>
        </w:rPr>
        <w:t xml:space="preserve">extract  →  validate  →  normalise  →  stage  →  transform  →  publish</w:t>
      </w:r>
    </w:p>
    <w:p>
      <w:pPr>
        <w:pStyle w:val="ListParagraph"/>
        <w:numPr>
          <w:ilvl w:val="0"/>
          <w:numId w:val="1"/>
        </w:numPr>
        <w:spacing w:after="40" w:before="40" w:line="264"/>
      </w:pPr>
      <w:r>
        <w:rPr>
          <w:rFonts w:ascii="Calibri" w:cs="Calibri" w:eastAsia="Calibri" w:hAnsi="Calibri"/>
          <w:b/>
          <w:bCs/>
          <w:color w:val="1A1A1A"/>
          <w:sz w:val="20"/>
          <w:szCs w:val="20"/>
        </w:rPr>
        <w:t xml:space="preserve">Extract.</w:t>
      </w:r>
      <w:r>
        <w:rPr>
          <w:rFonts w:ascii="Calibri" w:cs="Calibri" w:eastAsia="Calibri" w:hAnsi="Calibri"/>
          <w:b w:val="false"/>
          <w:bCs w:val="false"/>
          <w:color w:val="1A1A1A"/>
          <w:sz w:val="20"/>
          <w:szCs w:val="20"/>
        </w:rPr>
        <w:t xml:space="preserve"> Idempotent source-specific fetchers. Network proxy configuration is read from the environment and is optional. Every fetcher retries with backoff and records a fetch timestamp.</w:t>
      </w:r>
    </w:p>
    <w:p>
      <w:pPr>
        <w:pStyle w:val="ListParagraph"/>
        <w:numPr>
          <w:ilvl w:val="0"/>
          <w:numId w:val="1"/>
        </w:numPr>
        <w:spacing w:after="40" w:before="40" w:line="264"/>
      </w:pPr>
      <w:r>
        <w:rPr>
          <w:rFonts w:ascii="Calibri" w:cs="Calibri" w:eastAsia="Calibri" w:hAnsi="Calibri"/>
          <w:b/>
          <w:bCs/>
          <w:color w:val="1A1A1A"/>
          <w:sz w:val="20"/>
          <w:szCs w:val="20"/>
        </w:rPr>
        <w:t xml:space="preserve">Validate.</w:t>
      </w:r>
      <w:r>
        <w:rPr>
          <w:rFonts w:ascii="Calibri" w:cs="Calibri" w:eastAsia="Calibri" w:hAnsi="Calibri"/>
          <w:b w:val="false"/>
          <w:bCs w:val="false"/>
          <w:color w:val="1A1A1A"/>
          <w:sz w:val="20"/>
          <w:szCs w:val="20"/>
        </w:rPr>
        <w:t xml:space="preserve"> Schema and range assertions per source. A source failing validation does not overwrite the previously published reference data.</w:t>
      </w:r>
    </w:p>
    <w:p>
      <w:pPr>
        <w:pStyle w:val="ListParagraph"/>
        <w:numPr>
          <w:ilvl w:val="0"/>
          <w:numId w:val="1"/>
        </w:numPr>
        <w:spacing w:after="40" w:before="40" w:line="264"/>
      </w:pPr>
      <w:r>
        <w:rPr>
          <w:rFonts w:ascii="Calibri" w:cs="Calibri" w:eastAsia="Calibri" w:hAnsi="Calibri"/>
          <w:b/>
          <w:bCs/>
          <w:color w:val="1A1A1A"/>
          <w:sz w:val="20"/>
          <w:szCs w:val="20"/>
        </w:rPr>
        <w:t xml:space="preserve">Normalise.</w:t>
      </w:r>
      <w:r>
        <w:rPr>
          <w:rFonts w:ascii="Calibri" w:cs="Calibri" w:eastAsia="Calibri" w:hAnsi="Calibri"/>
          <w:b w:val="false"/>
          <w:bCs w:val="false"/>
          <w:color w:val="1A1A1A"/>
          <w:sz w:val="20"/>
          <w:szCs w:val="20"/>
        </w:rPr>
        <w:t xml:space="preserve"> Country identifiers to ISO 3166-1 alpha-3; currencies to ISO 4217; column names to snake case.</w:t>
      </w:r>
    </w:p>
    <w:p>
      <w:pPr>
        <w:pStyle w:val="ListParagraph"/>
        <w:numPr>
          <w:ilvl w:val="0"/>
          <w:numId w:val="1"/>
        </w:numPr>
        <w:spacing w:after="40" w:before="40" w:line="264"/>
      </w:pPr>
      <w:r>
        <w:rPr>
          <w:rFonts w:ascii="Calibri" w:cs="Calibri" w:eastAsia="Calibri" w:hAnsi="Calibri"/>
          <w:b/>
          <w:bCs/>
          <w:color w:val="1A1A1A"/>
          <w:sz w:val="20"/>
          <w:szCs w:val="20"/>
        </w:rPr>
        <w:t xml:space="preserve">Stage.</w:t>
      </w:r>
      <w:r>
        <w:rPr>
          <w:rFonts w:ascii="Calibri" w:cs="Calibri" w:eastAsia="Calibri" w:hAnsi="Calibri"/>
          <w:b w:val="false"/>
          <w:bCs w:val="false"/>
          <w:color w:val="1A1A1A"/>
          <w:sz w:val="20"/>
          <w:szCs w:val="20"/>
        </w:rPr>
        <w:t xml:space="preserve"> Raw extracts land in </w:t>
      </w:r>
      <w:r>
        <w:rPr>
          <w:rFonts w:ascii="Consolas" w:cs="Consolas" w:eastAsia="Consolas" w:hAnsi="Consolas"/>
          <w:b w:val="false"/>
          <w:bCs w:val="false"/>
          <w:color w:val="8A2E2E"/>
          <w:sz w:val="17"/>
          <w:szCs w:val="17"/>
          <w:shd w:fill="F1F1F1" w:color="auto" w:val="clear"/>
        </w:rPr>
        <w:t xml:space="preserve">staging_*</w:t>
      </w:r>
      <w:r>
        <w:rPr>
          <w:rFonts w:ascii="Calibri" w:cs="Calibri" w:eastAsia="Calibri" w:hAnsi="Calibri"/>
          <w:b w:val="false"/>
          <w:bCs w:val="false"/>
          <w:color w:val="1A1A1A"/>
          <w:sz w:val="20"/>
          <w:szCs w:val="20"/>
        </w:rPr>
        <w:t xml:space="preserve"> tables preserving source structure without transformation, providing an audit trail from published value back to source payload.</w:t>
      </w:r>
    </w:p>
    <w:p>
      <w:pPr>
        <w:pStyle w:val="ListParagraph"/>
        <w:numPr>
          <w:ilvl w:val="0"/>
          <w:numId w:val="1"/>
        </w:numPr>
        <w:spacing w:after="40" w:before="40" w:line="264"/>
      </w:pPr>
      <w:r>
        <w:rPr>
          <w:rFonts w:ascii="Calibri" w:cs="Calibri" w:eastAsia="Calibri" w:hAnsi="Calibri"/>
          <w:b/>
          <w:bCs/>
          <w:color w:val="1A1A1A"/>
          <w:sz w:val="20"/>
          <w:szCs w:val="20"/>
        </w:rPr>
        <w:t xml:space="preserve">Transform.</w:t>
      </w:r>
      <w:r>
        <w:rPr>
          <w:rFonts w:ascii="Calibri" w:cs="Calibri" w:eastAsia="Calibri" w:hAnsi="Calibri"/>
          <w:b w:val="false"/>
          <w:bCs w:val="false"/>
          <w:color w:val="1A1A1A"/>
          <w:sz w:val="20"/>
          <w:szCs w:val="20"/>
        </w:rPr>
        <w:t xml:space="preserve"> Apply the filters and resolution rules in §7.2 to produce clean reference rows with provenance.</w:t>
      </w:r>
    </w:p>
    <w:p>
      <w:pPr>
        <w:pStyle w:val="ListParagraph"/>
        <w:numPr>
          <w:ilvl w:val="0"/>
          <w:numId w:val="1"/>
        </w:numPr>
        <w:spacing w:after="40" w:before="40" w:line="264"/>
      </w:pPr>
      <w:r>
        <w:rPr>
          <w:rFonts w:ascii="Calibri" w:cs="Calibri" w:eastAsia="Calibri" w:hAnsi="Calibri"/>
          <w:b/>
          <w:bCs/>
          <w:color w:val="1A1A1A"/>
          <w:sz w:val="20"/>
          <w:szCs w:val="20"/>
        </w:rPr>
        <w:t xml:space="preserve">Publish.</w:t>
      </w:r>
      <w:r>
        <w:rPr>
          <w:rFonts w:ascii="Calibri" w:cs="Calibri" w:eastAsia="Calibri" w:hAnsi="Calibri"/>
          <w:b w:val="false"/>
          <w:bCs w:val="false"/>
          <w:color w:val="1A1A1A"/>
          <w:sz w:val="20"/>
          <w:szCs w:val="20"/>
        </w:rPr>
        <w:t xml:space="preserve"> Transactional upsert into reference tables. Prior values are retained and superseded rather than deleted.</w:t>
      </w:r>
    </w:p>
    <w:p>
      <w:pPr>
        <w:pBdr>
          <w:bottom w:val="single" w:color="C6CFDA" w:sz="4" w:space="2"/>
        </w:pBdr>
        <w:spacing w:after="160" w:before="60"/>
      </w:pPr>
    </w:p>
    <w:p>
      <w:pPr>
        <w:pStyle w:val="Heading2"/>
        <w:keepNext/>
        <w:pBdr>
          <w:bottom w:val="single" w:color="C6CFDA" w:sz="6" w:space="6"/>
        </w:pBdr>
        <w:spacing w:after="140" w:before="360"/>
      </w:pPr>
      <w:r>
        <w:rPr>
          <w:rFonts w:ascii="Calibri" w:cs="Calibri" w:eastAsia="Calibri" w:hAnsi="Calibri"/>
          <w:b/>
          <w:bCs/>
          <w:color w:val="1F3864"/>
          <w:sz w:val="28"/>
          <w:szCs w:val="28"/>
        </w:rPr>
        <w:t xml:space="preserve">8. Database Schema</w:t>
      </w:r>
    </w:p>
    <w:p>
      <w:pPr>
        <w:spacing w:after="120" w:before="60" w:line="276"/>
        <w:jc w:val="both"/>
      </w:pPr>
      <w:r>
        <w:rPr>
          <w:rFonts w:ascii="Calibri" w:cs="Calibri" w:eastAsia="Calibri" w:hAnsi="Calibri"/>
          <w:b w:val="false"/>
          <w:bCs w:val="false"/>
          <w:color w:val="1A1A1A"/>
          <w:sz w:val="20"/>
          <w:szCs w:val="20"/>
        </w:rPr>
        <w:t xml:space="preserve">PostgreSQL 16 with the </w:t>
      </w:r>
      <w:r>
        <w:rPr>
          <w:rFonts w:ascii="Consolas" w:cs="Consolas" w:eastAsia="Consolas" w:hAnsi="Consolas"/>
          <w:b w:val="false"/>
          <w:bCs w:val="false"/>
          <w:color w:val="8A2E2E"/>
          <w:sz w:val="17"/>
          <w:szCs w:val="17"/>
          <w:shd w:fill="F1F1F1" w:color="auto" w:val="clear"/>
        </w:rPr>
        <w:t xml:space="preserve">vector</w:t>
      </w:r>
      <w:r>
        <w:rPr>
          <w:rFonts w:ascii="Calibri" w:cs="Calibri" w:eastAsia="Calibri" w:hAnsi="Calibri"/>
          <w:b w:val="false"/>
          <w:bCs w:val="false"/>
          <w:color w:val="1A1A1A"/>
          <w:sz w:val="20"/>
          <w:szCs w:val="20"/>
        </w:rPr>
        <w:t xml:space="preserve"> extension. Three logical groups: reference, scenario, and knowledge.</w:t>
      </w:r>
    </w:p>
    <w:p>
      <w:pPr>
        <w:pStyle w:val="Heading3"/>
        <w:keepNext/>
        <w:spacing w:after="90" w:before="260"/>
      </w:pPr>
      <w:r>
        <w:rPr>
          <w:rFonts w:ascii="Calibri" w:cs="Calibri" w:eastAsia="Calibri" w:hAnsi="Calibri"/>
          <w:b/>
          <w:bCs/>
          <w:color w:val="2E5C8A"/>
          <w:sz w:val="23"/>
          <w:szCs w:val="23"/>
        </w:rPr>
        <w:t xml:space="preserve">8.1 Reference Data</w:t>
      </w:r>
    </w:p>
    <w:p>
      <w:pPr>
        <w:pBdr>
          <w:left w:val="single" w:color="2E5C8A" w:sz="12" w:space="8"/>
          <w:right w:val="single" w:color="D3DAE3" w:sz="2" w:space="4"/>
        </w:pBdr>
        <w:shd w:fill="F4F6F8" w:color="auto" w:val="clear"/>
        <w:spacing w:after="0" w:before="100" w:line="220"/>
        <w:ind w:left="120"/>
      </w:pPr>
      <w:r>
        <w:rPr>
          <w:rFonts w:ascii="Consolas" w:cs="Consolas" w:eastAsia="Consolas" w:hAnsi="Consolas"/>
          <w:color w:val="24292E"/>
          <w:sz w:val="15"/>
          <w:szCs w:val="15"/>
        </w:rPr>
        <w:t xml:space="preserve">CREATE TABLE countries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country_code        CHAR(3) PRIMARY KEY,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country_name        TEXT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currency_code       CHAR(3)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region              TEXT,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health_system_type  TEXT,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adult_share         NUMERIC(5,4)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is_active           BOOLEAN NOT NULL DEFAULT TRUE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CREATE TABLE country_economics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id                  BIGSERIAL PRIMARY KEY,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country_code        CHAR(3) NOT NULL REFERENCES countries(country_code),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indicator           TEXT NOT NULL,     -- population_total | gdp_pc_ppp</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health_exp_pc_usd | oop_health_pct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year                SMALLINT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value               NUMERIC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source              TEXT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confidence_tier     CHAR(1) NOT NULL DEFAULT 'A',</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ingested_at         TIMESTAMPTZ NOT NULL DEFAULT NOW(),</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UNIQUE (country_code, indicator, year)</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CREATE TABLE indications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indication_id       SERIAL PRIMARY KEY,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indication_name     TEXT NOT NULL UNIQUE,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therapy_area        TEXT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icd10               TEXT,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who_indicator_code  TEXT,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default_horizon     SMALLINT NOT NULL DEFAULT 3</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CREATE TABLE epidemiology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id                  BIGSERIAL PRIMARY KEY,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country_code        CHAR(3) NOT NULL REFERENCES countries(country_code),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indication_id       INT NOT NULL REFERENCES indications(indication_id),</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year                SMALLINT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prevalence_pct      NUMERIC(6,3)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prevalence_low      NUMERIC(6,3),</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prevalence_high     NUMERIC(6,3),</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age_group           TEXT NOT NULL DEFAULT 'AGEGROUP_YEARS18-PLUS',</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sex                 TEXT NOT NULL DEFAULT 'SEX_BTSX',</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source              TEXT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confidence_tier     CHAR(1)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is_projected        BOOLEAN NOT NULL DEFAULT FALSE,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UNIQUE (country_code, indication_id, year, age_group, sex)</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CREATE TABLE funnel_defaults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id                  BIGSERIAL PRIMARY KEY,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indication_id       INT NOT NULL REFERENCES indications(indication_id),</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country_code        CHAR(3) REFERENCES countries(country_code),  -- NULL = global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stage               TEXT NOT NULL,      -- diagnosis_rate | treatment_rate | access_rate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value               NUMERIC(6,4)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value_low           NUMERIC(6,4),</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value_high          NUMERIC(6,4),</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source              TEXT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confidence_tier     CHAR(1)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UNIQUE (indication_id, country_code, stage)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CREATE TABLE eligibility_criteria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criterion_id        SERIAL PRIMARY KEY,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indication_id       INT NOT NULL REFERENCES indications(indication_id),</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criterion_code      TEXT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criterion_label     TEXT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criterion_type      TEXT NOT NULL,      -- bmi | comorbidity | hba1c | age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line_of_therapy | prior_failure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default_factor      NUMERIC(6,4)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factor_low          NUMERIC(6,4),</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factor_high         NUMERIC(6,4),</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source              TEXT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confidence_tier     CHAR(1)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correlated_with     TEXT[],             -- criterion codes that must not co-apply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UNIQUE (indication_id, criterion_code)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CREATE TABLE drugs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drug_id             SERIAL PRIMARY KEY,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drug_name           TEXT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generic_name        TEXT,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company             TEXT,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drug_class          TEXT,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route               TEXT,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indication_id       INT REFERENCES indications(indication_id),</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is_comparator       BOOLEAN NOT NULL DEFAULT TRUE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CREATE TABLE drug_regimens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regimen_id          SERIAL PRIMARY KEY,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drug_id             INT NOT NULL REFERENCES drugs(drug_id),</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dose_amount         NUMERIC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dose_unit           TEXT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units_per_admin     NUMERIC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admins_per_year     NUMERIC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wastage_pct         NUMERIC(5,4) NOT NULL DEFAULT 0,</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persistence_12m     NUMERIC(5,4) NOT NULL DEFAULT 1.0,</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source              TEXT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confidence_tier     CHAR(1)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CREATE TABLE drug_prices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price_id            BIGSERIAL PRIMARY KEY,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drug_id             INT NOT NULL REFERENCES drugs(drug_id),</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country_code        CHAR(3) NOT NULL REFERENCES countries(country_code),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price_local         NUMERIC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currency_code       CHAR(3)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price_basis         TEXT NOT NULL,      -- list | nadac | estimated_net | ppp_derived</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annual_cost_usd     NUMERIC,</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gross_to_net_pct    NUMERIC(5,4),</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effective_date      DATE,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source              TEXT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source_url          TEXT,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confidence_tier     CHAR(1)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CREATE TABLE fx_rates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id                  BIGSERIAL PRIMARY KEY,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currency_code       CHAR(3)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rate_per_usd        NUMERIC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fetched_date        DATE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UNIQUE (currency_code, fetched_date)</w:t>
      </w:r>
    </w:p>
    <w:p>
      <w:pPr>
        <w:pBdr>
          <w:left w:val="single" w:color="2E5C8A" w:sz="12" w:space="8"/>
          <w:right w:val="single" w:color="D3DAE3" w:sz="2" w:space="4"/>
        </w:pBdr>
        <w:shd w:fill="F4F6F8" w:color="auto" w:val="clear"/>
        <w:spacing w:after="140" w:before="0" w:line="220"/>
        <w:ind w:left="120"/>
      </w:pPr>
      <w:r>
        <w:rPr>
          <w:rFonts w:ascii="Consolas" w:cs="Consolas" w:eastAsia="Consolas" w:hAnsi="Consolas"/>
          <w:color w:val="24292E"/>
          <w:sz w:val="15"/>
          <w:szCs w:val="15"/>
        </w:rPr>
        <w:t xml:space="preserve">);</w:t>
      </w:r>
    </w:p>
    <w:p>
      <w:pPr>
        <w:pStyle w:val="Heading3"/>
        <w:keepNext/>
        <w:spacing w:after="90" w:before="260"/>
      </w:pPr>
      <w:r>
        <w:rPr>
          <w:rFonts w:ascii="Calibri" w:cs="Calibri" w:eastAsia="Calibri" w:hAnsi="Calibri"/>
          <w:b/>
          <w:bCs/>
          <w:color w:val="2E5C8A"/>
          <w:sz w:val="23"/>
          <w:szCs w:val="23"/>
        </w:rPr>
        <w:t xml:space="preserve">8.2 Scenario and Run Data</w:t>
      </w:r>
    </w:p>
    <w:p>
      <w:pPr>
        <w:pBdr>
          <w:left w:val="single" w:color="2E5C8A" w:sz="12" w:space="8"/>
          <w:right w:val="single" w:color="D3DAE3" w:sz="2" w:space="4"/>
        </w:pBdr>
        <w:shd w:fill="F4F6F8" w:color="auto" w:val="clear"/>
        <w:spacing w:after="0" w:before="100" w:line="220"/>
        <w:ind w:left="120"/>
      </w:pPr>
      <w:r>
        <w:rPr>
          <w:rFonts w:ascii="Consolas" w:cs="Consolas" w:eastAsia="Consolas" w:hAnsi="Consolas"/>
          <w:color w:val="24292E"/>
          <w:sz w:val="15"/>
          <w:szCs w:val="15"/>
        </w:rPr>
        <w:t xml:space="preserve">CREATE TABLE scenarios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scenario_id         UUID PRIMARY KEY DEFAULT gen_random_uuid(),</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name                TEXT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description         TEXT,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indication_id       INT NOT NULL REFERENCES indications(indication_id),</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asset_name          TEXT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asset_class         TEXT,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development_stage   TEXT,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launch_year         SMALLINT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horizon_years       SMALLINT NOT NULL DEFAULT 3</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CHECK (horizon_years BETWEEN 1 AND 5),</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reporting_currency  CHAR(3) NOT NULL DEFAULT 'USD',</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country_codes       CHAR(3)[]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parent_scenario_id  UUID REFERENCES scenarios(scenario_id),</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is_baseline         BOOLEAN NOT NULL DEFAULT FALSE,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created_at          TIMESTAMPTZ NOT NULL DEFAULT NOW(),</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updated_at          TIMESTAMPTZ NOT NULL DEFAULT NOW()</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CREATE TABLE scenario_overrides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id                  BIGSERIAL PRIMARY KEY,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scenario_id         UUID NOT NULL REFERENCES scenarios(scenario_id)</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ON DELETE CASCADE,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country_code        CHAR(3),            -- NULL = applies to all markets</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parameter_path      TEXT NOT NULL,      -- e.g. funnel.diagnosis_rate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value               JSONB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note                TEXT,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UNIQUE (scenario_id, country_code, parameter_path)</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CREATE TABLE model_runs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run_id              UUID PRIMARY KEY DEFAULT gen_random_uuid(),</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scenario_id         UUID NOT NULL REFERENCES scenarios(scenario_id),</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engine_version      TEXT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run_type            TEXT NOT NULL,      -- forward | reverse | owsa | psa</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input_snapshot      JSONB NOT NULL,     -- fully resolved EngineInput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fx_snapshot         JSONB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results             JSONB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duration_ms         INT,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created_at          TIMESTAMPTZ NOT NULL DEFAULT NOW()</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140" w:before="0" w:line="220"/>
        <w:ind w:left="120"/>
      </w:pPr>
      <w:r>
        <w:rPr>
          <w:rFonts w:ascii="Consolas" w:cs="Consolas" w:eastAsia="Consolas" w:hAnsi="Consolas"/>
          <w:color w:val="24292E"/>
          <w:sz w:val="15"/>
          <w:szCs w:val="15"/>
        </w:rPr>
        <w:t xml:space="preserve">CREATE INDEX idx_model_runs_scenario ON model_runs (scenario_id, created_at DESC);</w:t>
      </w:r>
    </w:p>
    <w:p>
      <w:pPr>
        <w:spacing w:after="120" w:before="60" w:line="276"/>
        <w:jc w:val="both"/>
      </w:pPr>
      <w:r>
        <w:rPr>
          <w:rFonts w:ascii="Calibri" w:cs="Calibri" w:eastAsia="Calibri" w:hAnsi="Calibri"/>
          <w:b w:val="false"/>
          <w:bCs w:val="false"/>
          <w:color w:val="1A1A1A"/>
          <w:sz w:val="20"/>
          <w:szCs w:val="20"/>
        </w:rPr>
        <w:t xml:space="preserve">The </w:t>
      </w:r>
      <w:r>
        <w:rPr>
          <w:rFonts w:ascii="Consolas" w:cs="Consolas" w:eastAsia="Consolas" w:hAnsi="Consolas"/>
          <w:b w:val="false"/>
          <w:bCs w:val="false"/>
          <w:color w:val="8A2E2E"/>
          <w:sz w:val="17"/>
          <w:szCs w:val="17"/>
          <w:shd w:fill="F1F1F1" w:color="auto" w:val="clear"/>
        </w:rPr>
        <w:t xml:space="preserve">model_runs</w:t>
      </w:r>
      <w:r>
        <w:rPr>
          <w:rFonts w:ascii="Calibri" w:cs="Calibri" w:eastAsia="Calibri" w:hAnsi="Calibri"/>
          <w:b w:val="false"/>
          <w:bCs w:val="false"/>
          <w:color w:val="1A1A1A"/>
          <w:sz w:val="20"/>
          <w:szCs w:val="20"/>
        </w:rPr>
        <w:t xml:space="preserve"> table is append-only. Rows are never updated. </w:t>
      </w:r>
      <w:r>
        <w:rPr>
          <w:rFonts w:ascii="Consolas" w:cs="Consolas" w:eastAsia="Consolas" w:hAnsi="Consolas"/>
          <w:b w:val="false"/>
          <w:bCs w:val="false"/>
          <w:color w:val="8A2E2E"/>
          <w:sz w:val="17"/>
          <w:szCs w:val="17"/>
          <w:shd w:fill="F1F1F1" w:color="auto" w:val="clear"/>
        </w:rPr>
        <w:t xml:space="preserve">input_snapshot</w:t>
      </w:r>
      <w:r>
        <w:rPr>
          <w:rFonts w:ascii="Calibri" w:cs="Calibri" w:eastAsia="Calibri" w:hAnsi="Calibri"/>
          <w:b w:val="false"/>
          <w:bCs w:val="false"/>
          <w:color w:val="1A1A1A"/>
          <w:sz w:val="20"/>
          <w:szCs w:val="20"/>
        </w:rPr>
        <w:t xml:space="preserve"> contains every resolved value the engine consumed, so any run is reproducible by replaying it through the recorded </w:t>
      </w:r>
      <w:r>
        <w:rPr>
          <w:rFonts w:ascii="Consolas" w:cs="Consolas" w:eastAsia="Consolas" w:hAnsi="Consolas"/>
          <w:b w:val="false"/>
          <w:bCs w:val="false"/>
          <w:color w:val="8A2E2E"/>
          <w:sz w:val="17"/>
          <w:szCs w:val="17"/>
          <w:shd w:fill="F1F1F1" w:color="auto" w:val="clear"/>
        </w:rPr>
        <w:t xml:space="preserve">engine_version</w:t>
      </w:r>
      <w:r>
        <w:rPr>
          <w:rFonts w:ascii="Calibri" w:cs="Calibri" w:eastAsia="Calibri" w:hAnsi="Calibri"/>
          <w:b w:val="false"/>
          <w:bCs w:val="false"/>
          <w:color w:val="1A1A1A"/>
          <w:sz w:val="20"/>
          <w:szCs w:val="20"/>
        </w:rPr>
        <w:t xml:space="preserve"> — this is the mechanism that makes results auditable.</w:t>
      </w:r>
    </w:p>
    <w:p>
      <w:pPr>
        <w:pStyle w:val="Heading3"/>
        <w:keepNext/>
        <w:spacing w:after="90" w:before="260"/>
      </w:pPr>
      <w:r>
        <w:rPr>
          <w:rFonts w:ascii="Calibri" w:cs="Calibri" w:eastAsia="Calibri" w:hAnsi="Calibri"/>
          <w:b/>
          <w:bCs/>
          <w:color w:val="2E5C8A"/>
          <w:sz w:val="23"/>
          <w:szCs w:val="23"/>
        </w:rPr>
        <w:t xml:space="preserve">8.3 Knowledge Base</w:t>
      </w:r>
    </w:p>
    <w:p>
      <w:pPr>
        <w:pBdr>
          <w:left w:val="single" w:color="2E5C8A" w:sz="12" w:space="8"/>
          <w:right w:val="single" w:color="D3DAE3" w:sz="2" w:space="4"/>
        </w:pBdr>
        <w:shd w:fill="F4F6F8" w:color="auto" w:val="clear"/>
        <w:spacing w:after="0" w:before="100" w:line="220"/>
        <w:ind w:left="120"/>
      </w:pPr>
      <w:r>
        <w:rPr>
          <w:rFonts w:ascii="Consolas" w:cs="Consolas" w:eastAsia="Consolas" w:hAnsi="Consolas"/>
          <w:color w:val="24292E"/>
          <w:sz w:val="15"/>
          <w:szCs w:val="15"/>
        </w:rPr>
        <w:t xml:space="preserve">CREATE EXTENSION IF NOT EXISTS vector;</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CREATE TABLE guideline_documents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document_id         SERIAL PRIMARY KEY,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title               TEXT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issuing_body        TEXT NOT NULL,      -- ISPOR | NICE | WHO | CDA-AMC</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document_type       TEXT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publication_year    SMALLINT,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source_url          TEXT,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file_path           TEXT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CREATE TABLE guideline_chunks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chunk_id            BIGSERIAL PRIMARY KEY,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document_id         INT NOT NULL REFERENCES guideline_documents(document_id),</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section             TEXT,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page_number         INT,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chunk_index         INT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chunk_text          TEXT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embedding           VECTOR(384) NOT NULL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CREATE INDEX idx_guideline_embedding</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ON guideline_chunks USING ivfflat (embedding vector_cosine_ops)</w:t>
      </w:r>
    </w:p>
    <w:p>
      <w:pPr>
        <w:pBdr>
          <w:left w:val="single" w:color="2E5C8A" w:sz="12" w:space="8"/>
          <w:right w:val="single" w:color="D3DAE3" w:sz="2" w:space="4"/>
        </w:pBdr>
        <w:shd w:fill="F4F6F8" w:color="auto" w:val="clear"/>
        <w:spacing w:after="140" w:before="0" w:line="220"/>
        <w:ind w:left="120"/>
      </w:pPr>
      <w:r>
        <w:rPr>
          <w:rFonts w:ascii="Consolas" w:cs="Consolas" w:eastAsia="Consolas" w:hAnsi="Consolas"/>
          <w:color w:val="24292E"/>
          <w:sz w:val="15"/>
          <w:szCs w:val="15"/>
        </w:rPr>
        <w:t xml:space="preserve">    WITH (lists = 100);</w:t>
      </w:r>
    </w:p>
    <w:p>
      <w:pPr>
        <w:pBdr>
          <w:bottom w:val="single" w:color="C6CFDA" w:sz="4" w:space="2"/>
        </w:pBdr>
        <w:spacing w:after="160" w:before="60"/>
      </w:pPr>
    </w:p>
    <w:p>
      <w:pPr>
        <w:pStyle w:val="Heading2"/>
        <w:keepNext/>
        <w:pBdr>
          <w:bottom w:val="single" w:color="C6CFDA" w:sz="6" w:space="6"/>
        </w:pBdr>
        <w:spacing w:after="140" w:before="360"/>
      </w:pPr>
      <w:r>
        <w:rPr>
          <w:rFonts w:ascii="Calibri" w:cs="Calibri" w:eastAsia="Calibri" w:hAnsi="Calibri"/>
          <w:b/>
          <w:bCs/>
          <w:color w:val="1F3864"/>
          <w:sz w:val="28"/>
          <w:szCs w:val="28"/>
        </w:rPr>
        <w:t xml:space="preserve">9. Backend Architecture</w:t>
      </w:r>
    </w:p>
    <w:p>
      <w:pPr>
        <w:pStyle w:val="Heading3"/>
        <w:keepNext/>
        <w:spacing w:after="90" w:before="260"/>
      </w:pPr>
      <w:r>
        <w:rPr>
          <w:rFonts w:ascii="Calibri" w:cs="Calibri" w:eastAsia="Calibri" w:hAnsi="Calibri"/>
          <w:b/>
          <w:bCs/>
          <w:color w:val="2E5C8A"/>
          <w:sz w:val="23"/>
          <w:szCs w:val="23"/>
        </w:rPr>
        <w:t xml:space="preserve">9.1 Layer Model</w:t>
      </w:r>
    </w:p>
    <w:p>
      <w:pPr>
        <w:spacing w:after="120" w:before="60" w:line="276"/>
        <w:jc w:val="both"/>
      </w:pPr>
      <w:r>
        <w:rPr>
          <w:rFonts w:ascii="Calibri" w:cs="Calibri" w:eastAsia="Calibri" w:hAnsi="Calibri"/>
          <w:b w:val="false"/>
          <w:bCs w:val="false"/>
          <w:color w:val="1A1A1A"/>
          <w:sz w:val="20"/>
          <w:szCs w:val="20"/>
        </w:rPr>
        <w:t xml:space="preserve">Strict layering. Each layer depends only on the layer immediately below it, and dependencies point in one direction.</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1510"/>
        <w:gridCol w:w="3444"/>
        <w:gridCol w:w="2205"/>
        <w:gridCol w:w="2731"/>
      </w:tblGrid>
      <w:tr>
        <w:trPr>
          <w:tblHeader/>
        </w:trPr>
        <w:tc>
          <w:tcPr>
            <w:tcW w:type="dxa" w:w="1510"/>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Layer</w:t>
            </w:r>
          </w:p>
        </w:tc>
        <w:tc>
          <w:tcPr>
            <w:tcW w:type="dxa" w:w="3444"/>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Responsibility</w:t>
            </w:r>
          </w:p>
        </w:tc>
        <w:tc>
          <w:tcPr>
            <w:tcW w:type="dxa" w:w="2205"/>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May depend on</w:t>
            </w:r>
          </w:p>
        </w:tc>
        <w:tc>
          <w:tcPr>
            <w:tcW w:type="dxa" w:w="2731"/>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Must not</w:t>
            </w:r>
          </w:p>
        </w:tc>
      </w:tr>
      <w:tr>
        <w:tc>
          <w:tcPr>
            <w:tcW w:type="dxa" w:w="1510"/>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Routes</w:t>
            </w:r>
          </w:p>
        </w:tc>
        <w:tc>
          <w:tcPr>
            <w:tcW w:type="dxa" w:w="344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HTTP surface: path, method, status codes, OpenAPI annotation</w:t>
            </w:r>
          </w:p>
        </w:tc>
        <w:tc>
          <w:tcPr>
            <w:tcW w:type="dxa" w:w="220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Controllers, schemas</w:t>
            </w:r>
          </w:p>
        </w:tc>
        <w:tc>
          <w:tcPr>
            <w:tcW w:type="dxa" w:w="2731"/>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Contain business logic or touch the database</w:t>
            </w:r>
          </w:p>
        </w:tc>
      </w:tr>
      <w:tr>
        <w:tc>
          <w:tcPr>
            <w:tcW w:type="dxa" w:w="151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Controllers</w:t>
            </w:r>
          </w:p>
        </w:tc>
        <w:tc>
          <w:tcPr>
            <w:tcW w:type="dxa" w:w="344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Request/response orchestration, schema translation, HTTP error mapping</w:t>
            </w:r>
          </w:p>
        </w:tc>
        <w:tc>
          <w:tcPr>
            <w:tcW w:type="dxa" w:w="220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Services, schemas</w:t>
            </w:r>
          </w:p>
        </w:tc>
        <w:tc>
          <w:tcPr>
            <w:tcW w:type="dxa" w:w="2731"/>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Contain calculation logic or issue SQL</w:t>
            </w:r>
          </w:p>
        </w:tc>
      </w:tr>
      <w:tr>
        <w:tc>
          <w:tcPr>
            <w:tcW w:type="dxa" w:w="1510"/>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Services</w:t>
            </w:r>
          </w:p>
        </w:tc>
        <w:tc>
          <w:tcPr>
            <w:tcW w:type="dxa" w:w="344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Business logic, value resolution, transaction boundaries, engine invocation</w:t>
            </w:r>
          </w:p>
        </w:tc>
        <w:tc>
          <w:tcPr>
            <w:tcW w:type="dxa" w:w="220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Repositories, engine, schemas</w:t>
            </w:r>
          </w:p>
        </w:tc>
        <w:tc>
          <w:tcPr>
            <w:tcW w:type="dxa" w:w="2731"/>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Handle HTTP concerns or write raw SQL</w:t>
            </w:r>
          </w:p>
        </w:tc>
      </w:tr>
      <w:tr>
        <w:tc>
          <w:tcPr>
            <w:tcW w:type="dxa" w:w="151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Repositories</w:t>
            </w:r>
          </w:p>
        </w:tc>
        <w:tc>
          <w:tcPr>
            <w:tcW w:type="dxa" w:w="344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Query composition and aggregate-level persistence</w:t>
            </w:r>
          </w:p>
        </w:tc>
        <w:tc>
          <w:tcPr>
            <w:tcW w:type="dxa" w:w="220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DAL, models</w:t>
            </w:r>
          </w:p>
        </w:tc>
        <w:tc>
          <w:tcPr>
            <w:tcW w:type="dxa" w:w="2731"/>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Contain business rules</w:t>
            </w:r>
          </w:p>
        </w:tc>
      </w:tr>
      <w:tr>
        <w:tc>
          <w:tcPr>
            <w:tcW w:type="dxa" w:w="1510"/>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DAL</w:t>
            </w:r>
          </w:p>
        </w:tc>
        <w:tc>
          <w:tcPr>
            <w:tcW w:type="dxa" w:w="344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Session management, connection lifecycle, transaction primitives</w:t>
            </w:r>
          </w:p>
        </w:tc>
        <w:tc>
          <w:tcPr>
            <w:tcW w:type="dxa" w:w="220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SQLAlchemy models</w:t>
            </w:r>
          </w:p>
        </w:tc>
        <w:tc>
          <w:tcPr>
            <w:tcW w:type="dxa" w:w="2731"/>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Contain queries specific to a domain aggregate</w:t>
            </w:r>
          </w:p>
        </w:tc>
      </w:tr>
      <w:tr>
        <w:tc>
          <w:tcPr>
            <w:tcW w:type="dxa" w:w="151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Engine</w:t>
            </w:r>
          </w:p>
        </w:tc>
        <w:tc>
          <w:tcPr>
            <w:tcW w:type="dxa" w:w="344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Pure calculation</w:t>
            </w:r>
          </w:p>
        </w:tc>
        <w:tc>
          <w:tcPr>
            <w:tcW w:type="dxa" w:w="220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Nothing outside itself</w:t>
            </w:r>
          </w:p>
        </w:tc>
        <w:tc>
          <w:tcPr>
            <w:tcW w:type="dxa" w:w="2731"/>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Perform any I/O whatsoever</w:t>
            </w:r>
          </w:p>
        </w:tc>
      </w:tr>
    </w:tbl>
    <w:p>
      <w:pPr>
        <w:spacing w:after="160"/>
      </w:pPr>
    </w:p>
    <w:p>
      <w:pPr>
        <w:pStyle w:val="Heading3"/>
        <w:keepNext/>
        <w:spacing w:after="90" w:before="260"/>
      </w:pPr>
      <w:r>
        <w:rPr>
          <w:rFonts w:ascii="Calibri" w:cs="Calibri" w:eastAsia="Calibri" w:hAnsi="Calibri"/>
          <w:b/>
          <w:bCs/>
          <w:color w:val="2E5C8A"/>
          <w:sz w:val="23"/>
          <w:szCs w:val="23"/>
        </w:rPr>
        <w:t xml:space="preserve">9.2 Schema Layers</w:t>
      </w:r>
    </w:p>
    <w:p>
      <w:pPr>
        <w:spacing w:after="120" w:before="60" w:line="276"/>
        <w:jc w:val="both"/>
      </w:pPr>
      <w:r>
        <w:rPr>
          <w:rFonts w:ascii="Calibri" w:cs="Calibri" w:eastAsia="Calibri" w:hAnsi="Calibri"/>
          <w:b w:val="false"/>
          <w:bCs w:val="false"/>
          <w:color w:val="1A1A1A"/>
          <w:sz w:val="20"/>
          <w:szCs w:val="20"/>
        </w:rPr>
        <w:t xml:space="preserve">Three distinct Pydantic model families, deliberately not shared:</w:t>
      </w:r>
    </w:p>
    <w:p>
      <w:pPr>
        <w:pStyle w:val="ListParagraph"/>
        <w:numPr>
          <w:ilvl w:val="0"/>
          <w:numId w:val="1"/>
        </w:numPr>
        <w:spacing w:after="40" w:before="40" w:line="264"/>
      </w:pPr>
      <w:r>
        <w:rPr>
          <w:rFonts w:ascii="Calibri" w:cs="Calibri" w:eastAsia="Calibri" w:hAnsi="Calibri"/>
          <w:b/>
          <w:bCs/>
          <w:color w:val="1A1A1A"/>
          <w:sz w:val="20"/>
          <w:szCs w:val="20"/>
        </w:rPr>
        <w:t xml:space="preserve">API schemas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8A2E2E"/>
          <w:sz w:val="17"/>
          <w:szCs w:val="17"/>
          <w:shd w:fill="F1F1F1" w:color="auto" w:val="clear"/>
        </w:rPr>
        <w:t xml:space="preserve">schemas/</w:t>
      </w:r>
      <w:r>
        <w:rPr>
          <w:rFonts w:ascii="Calibri" w:cs="Calibri" w:eastAsia="Calibri" w:hAnsi="Calibri"/>
          <w:b w:val="false"/>
          <w:bCs w:val="false"/>
          <w:color w:val="1A1A1A"/>
          <w:sz w:val="20"/>
          <w:szCs w:val="20"/>
        </w:rPr>
        <w:t xml:space="preserve">) — request and response contracts. Versioned with the API. Optimised for client ergonomics.</w:t>
      </w:r>
    </w:p>
    <w:p>
      <w:pPr>
        <w:pStyle w:val="ListParagraph"/>
        <w:numPr>
          <w:ilvl w:val="0"/>
          <w:numId w:val="1"/>
        </w:numPr>
        <w:spacing w:after="40" w:before="40" w:line="264"/>
      </w:pPr>
      <w:r>
        <w:rPr>
          <w:rFonts w:ascii="Calibri" w:cs="Calibri" w:eastAsia="Calibri" w:hAnsi="Calibri"/>
          <w:b/>
          <w:bCs/>
          <w:color w:val="1A1A1A"/>
          <w:sz w:val="20"/>
          <w:szCs w:val="20"/>
        </w:rPr>
        <w:t xml:space="preserve">Engine models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8A2E2E"/>
          <w:sz w:val="17"/>
          <w:szCs w:val="17"/>
          <w:shd w:fill="F1F1F1" w:color="auto" w:val="clear"/>
        </w:rPr>
        <w:t xml:space="preserve">engine/models.py</w:t>
      </w:r>
      <w:r>
        <w:rPr>
          <w:rFonts w:ascii="Calibri" w:cs="Calibri" w:eastAsia="Calibri" w:hAnsi="Calibri"/>
          <w:b w:val="false"/>
          <w:bCs w:val="false"/>
          <w:color w:val="1A1A1A"/>
          <w:sz w:val="20"/>
          <w:szCs w:val="20"/>
        </w:rPr>
        <w:t xml:space="preserve">) — fully-resolved calculation inputs and outputs. No optional values, no defaults, no unresolved references. Every field is a concrete number with provenance attached.</w:t>
      </w:r>
    </w:p>
    <w:p>
      <w:pPr>
        <w:pStyle w:val="ListParagraph"/>
        <w:numPr>
          <w:ilvl w:val="0"/>
          <w:numId w:val="1"/>
        </w:numPr>
        <w:spacing w:after="40" w:before="40" w:line="264"/>
      </w:pPr>
      <w:r>
        <w:rPr>
          <w:rFonts w:ascii="Calibri" w:cs="Calibri" w:eastAsia="Calibri" w:hAnsi="Calibri"/>
          <w:b/>
          <w:bCs/>
          <w:color w:val="1A1A1A"/>
          <w:sz w:val="20"/>
          <w:szCs w:val="20"/>
        </w:rPr>
        <w:t xml:space="preserve">ORM models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8A2E2E"/>
          <w:sz w:val="17"/>
          <w:szCs w:val="17"/>
          <w:shd w:fill="F1F1F1" w:color="auto" w:val="clear"/>
        </w:rPr>
        <w:t xml:space="preserve">models/</w:t>
      </w:r>
      <w:r>
        <w:rPr>
          <w:rFonts w:ascii="Calibri" w:cs="Calibri" w:eastAsia="Calibri" w:hAnsi="Calibri"/>
          <w:b w:val="false"/>
          <w:bCs w:val="false"/>
          <w:color w:val="1A1A1A"/>
          <w:sz w:val="20"/>
          <w:szCs w:val="20"/>
        </w:rPr>
        <w:t xml:space="preserve">) — SQLAlchemy declarative mappings. Persistence structure only.</w:t>
      </w:r>
    </w:p>
    <w:p>
      <w:pPr>
        <w:spacing w:after="120" w:before="60" w:line="276"/>
        <w:jc w:val="both"/>
      </w:pPr>
      <w:r>
        <w:rPr>
          <w:rFonts w:ascii="Calibri" w:cs="Calibri" w:eastAsia="Calibri" w:hAnsi="Calibri"/>
          <w:b w:val="false"/>
          <w:bCs w:val="false"/>
          <w:color w:val="1A1A1A"/>
          <w:sz w:val="20"/>
          <w:szCs w:val="20"/>
        </w:rPr>
        <w:t xml:space="preserve">Collapsing these into one family couples the HTTP contract to the database schema and to the calculation contract simultaneously. Keeping them separate means each can evolve independently, and the translation points are explicit and testable.</w:t>
      </w:r>
    </w:p>
    <w:p>
      <w:pPr>
        <w:pStyle w:val="Heading3"/>
        <w:keepNext/>
        <w:spacing w:after="90" w:before="260"/>
      </w:pPr>
      <w:r>
        <w:rPr>
          <w:rFonts w:ascii="Calibri" w:cs="Calibri" w:eastAsia="Calibri" w:hAnsi="Calibri"/>
          <w:b/>
          <w:bCs/>
          <w:color w:val="2E5C8A"/>
          <w:sz w:val="23"/>
          <w:szCs w:val="23"/>
        </w:rPr>
        <w:t xml:space="preserve">9.3 Engine Package Structure</w:t>
      </w:r>
    </w:p>
    <w:p>
      <w:pPr>
        <w:pBdr>
          <w:left w:val="single" w:color="2E5C8A" w:sz="12" w:space="8"/>
          <w:right w:val="single" w:color="D3DAE3" w:sz="2" w:space="4"/>
        </w:pBdr>
        <w:shd w:fill="F4F6F8" w:color="auto" w:val="clear"/>
        <w:spacing w:after="0" w:before="100" w:line="220"/>
        <w:ind w:left="120"/>
      </w:pPr>
      <w:r>
        <w:rPr>
          <w:rFonts w:ascii="Consolas" w:cs="Consolas" w:eastAsia="Consolas" w:hAnsi="Consolas"/>
          <w:color w:val="24292E"/>
          <w:sz w:val="15"/>
          <w:szCs w:val="15"/>
        </w:rPr>
        <w:t xml:space="preserve">biet_engine/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__init__.py           # __version__ — semantic, bumped on any behaviour change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models.py             # EngineInput, EngineResult, CountryResult, FunnelResult…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funnel.py             # M2, M3 — population derivation</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uptake.py             # M4 — trajectories and substitution</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persistence.py        # M6 — survival integral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cost.py               # M5 — cost of therapy, PPP derivation</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impact.py             # M7 — incremental budget impact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affordability.py      # M8 forward — ratios and bands</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solver.py             # M8 reverse — analytic and bisection price solving</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sensitivity.py        # M9 — one-way deterministic</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psa.py                # M9 — probabilistic simulation</w:t>
      </w:r>
    </w:p>
    <w:p>
      <w:pPr>
        <w:pBdr>
          <w:left w:val="single" w:color="2E5C8A" w:sz="12" w:space="8"/>
          <w:right w:val="single" w:color="D3DAE3" w:sz="2" w:space="4"/>
        </w:pBdr>
        <w:shd w:fill="F4F6F8" w:color="auto" w:val="clear"/>
        <w:spacing w:after="140" w:before="0" w:line="220"/>
        <w:ind w:left="120"/>
      </w:pPr>
      <w:r>
        <w:rPr>
          <w:rFonts w:ascii="Consolas" w:cs="Consolas" w:eastAsia="Consolas" w:hAnsi="Consolas"/>
          <w:color w:val="24292E"/>
          <w:sz w:val="15"/>
          <w:szCs w:val="15"/>
        </w:rPr>
        <w:t xml:space="preserve">└── distributions.py      # Beta/Gamma/Triangular parameterisation helpers</w:t>
      </w:r>
    </w:p>
    <w:p>
      <w:pPr>
        <w:spacing w:after="120" w:before="60" w:line="276"/>
        <w:jc w:val="both"/>
      </w:pPr>
      <w:r>
        <w:rPr>
          <w:rFonts w:ascii="Calibri" w:cs="Calibri" w:eastAsia="Calibri" w:hAnsi="Calibri"/>
          <w:b/>
          <w:bCs/>
          <w:color w:val="1A1A1A"/>
          <w:sz w:val="20"/>
          <w:szCs w:val="20"/>
        </w:rPr>
        <w:t xml:space="preserve">Constraints enforced by test.</w:t>
      </w:r>
      <w:r>
        <w:rPr>
          <w:rFonts w:ascii="Calibri" w:cs="Calibri" w:eastAsia="Calibri" w:hAnsi="Calibri"/>
          <w:b w:val="false"/>
          <w:bCs w:val="false"/>
          <w:color w:val="1A1A1A"/>
          <w:sz w:val="20"/>
          <w:szCs w:val="20"/>
        </w:rPr>
        <w:t xml:space="preserve"> The engine package imports nothing from </w:t>
      </w:r>
      <w:r>
        <w:rPr>
          <w:rFonts w:ascii="Consolas" w:cs="Consolas" w:eastAsia="Consolas" w:hAnsi="Consolas"/>
          <w:b w:val="false"/>
          <w:bCs w:val="false"/>
          <w:color w:val="8A2E2E"/>
          <w:sz w:val="17"/>
          <w:szCs w:val="17"/>
          <w:shd w:fill="F1F1F1" w:color="auto" w:val="clear"/>
        </w:rPr>
        <w:t xml:space="preserve">fastapi</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8A2E2E"/>
          <w:sz w:val="17"/>
          <w:szCs w:val="17"/>
          <w:shd w:fill="F1F1F1" w:color="auto" w:val="clear"/>
        </w:rPr>
        <w:t xml:space="preserve">sqlalchemy</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8A2E2E"/>
          <w:sz w:val="17"/>
          <w:szCs w:val="17"/>
          <w:shd w:fill="F1F1F1" w:color="auto" w:val="clear"/>
        </w:rPr>
        <w:t xml:space="preserve">requests</w:t>
      </w:r>
      <w:r>
        <w:rPr>
          <w:rFonts w:ascii="Calibri" w:cs="Calibri" w:eastAsia="Calibri" w:hAnsi="Calibri"/>
          <w:b w:val="false"/>
          <w:bCs w:val="false"/>
          <w:color w:val="1A1A1A"/>
          <w:sz w:val="20"/>
          <w:szCs w:val="20"/>
        </w:rPr>
        <w:t xml:space="preserve"> or the application package. A dedicated test asserts this by inspecting the module dependency graph. Every function is pure: identical inputs produce identical outputs, with the sole exception of </w:t>
      </w:r>
      <w:r>
        <w:rPr>
          <w:rFonts w:ascii="Consolas" w:cs="Consolas" w:eastAsia="Consolas" w:hAnsi="Consolas"/>
          <w:b w:val="false"/>
          <w:bCs w:val="false"/>
          <w:color w:val="8A2E2E"/>
          <w:sz w:val="17"/>
          <w:szCs w:val="17"/>
          <w:shd w:fill="F1F1F1" w:color="auto" w:val="clear"/>
        </w:rPr>
        <w:t xml:space="preserve">psa.py</w:t>
      </w:r>
      <w:r>
        <w:rPr>
          <w:rFonts w:ascii="Calibri" w:cs="Calibri" w:eastAsia="Calibri" w:hAnsi="Calibri"/>
          <w:b w:val="false"/>
          <w:bCs w:val="false"/>
          <w:color w:val="1A1A1A"/>
          <w:sz w:val="20"/>
          <w:szCs w:val="20"/>
        </w:rPr>
        <w:t xml:space="preserve">, which accepts an explicit random seed and is therefore deterministic given that seed.</w:t>
      </w:r>
    </w:p>
    <w:p>
      <w:pPr>
        <w:spacing w:after="120" w:before="60" w:line="276"/>
        <w:jc w:val="both"/>
      </w:pPr>
      <w:r>
        <w:rPr>
          <w:rFonts w:ascii="Calibri" w:cs="Calibri" w:eastAsia="Calibri" w:hAnsi="Calibri"/>
          <w:b/>
          <w:bCs/>
          <w:color w:val="1A1A1A"/>
          <w:sz w:val="20"/>
          <w:szCs w:val="20"/>
        </w:rPr>
        <w:t xml:space="preserve">Versioning.</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8A2E2E"/>
          <w:sz w:val="17"/>
          <w:szCs w:val="17"/>
          <w:shd w:fill="F1F1F1" w:color="auto" w:val="clear"/>
        </w:rPr>
        <w:t xml:space="preserve">biet_engine.__version__</w:t>
      </w:r>
      <w:r>
        <w:rPr>
          <w:rFonts w:ascii="Calibri" w:cs="Calibri" w:eastAsia="Calibri" w:hAnsi="Calibri"/>
          <w:b w:val="false"/>
          <w:bCs w:val="false"/>
          <w:color w:val="1A1A1A"/>
          <w:sz w:val="20"/>
          <w:szCs w:val="20"/>
        </w:rPr>
        <w:t xml:space="preserve"> follows semantic versioning. Any change altering a numerical result is at minimum a minor bump. The version is written into every run snapshot.</w:t>
      </w:r>
    </w:p>
    <w:p>
      <w:pPr>
        <w:pStyle w:val="Heading3"/>
        <w:keepNext/>
        <w:spacing w:after="90" w:before="260"/>
      </w:pPr>
      <w:r>
        <w:rPr>
          <w:rFonts w:ascii="Calibri" w:cs="Calibri" w:eastAsia="Calibri" w:hAnsi="Calibri"/>
          <w:b/>
          <w:bCs/>
          <w:color w:val="2E5C8A"/>
          <w:sz w:val="23"/>
          <w:szCs w:val="23"/>
        </w:rPr>
        <w:t xml:space="preserve">9.4 Engine Validation Strategy</w:t>
      </w:r>
    </w:p>
    <w:p>
      <w:pPr>
        <w:spacing w:after="120" w:before="60" w:line="276"/>
        <w:jc w:val="both"/>
      </w:pPr>
      <w:r>
        <w:rPr>
          <w:rFonts w:ascii="Calibri" w:cs="Calibri" w:eastAsia="Calibri" w:hAnsi="Calibri"/>
          <w:b w:val="false"/>
          <w:bCs w:val="false"/>
          <w:color w:val="1A1A1A"/>
          <w:sz w:val="20"/>
          <w:szCs w:val="20"/>
        </w:rPr>
        <w:t xml:space="preserve">Correctness is established by four independent test classes:</w:t>
      </w:r>
    </w:p>
    <w:p>
      <w:pPr>
        <w:pStyle w:val="ListParagraph"/>
        <w:numPr>
          <w:ilvl w:val="0"/>
          <w:numId w:val="2"/>
        </w:numPr>
        <w:spacing w:after="40" w:before="40" w:line="264"/>
      </w:pPr>
      <w:r>
        <w:rPr>
          <w:rFonts w:ascii="Calibri" w:cs="Calibri" w:eastAsia="Calibri" w:hAnsi="Calibri"/>
          <w:b/>
          <w:bCs/>
          <w:color w:val="1A1A1A"/>
          <w:sz w:val="20"/>
          <w:szCs w:val="20"/>
        </w:rPr>
        <w:t xml:space="preserve">Unit tests</w:t>
      </w:r>
      <w:r>
        <w:rPr>
          <w:rFonts w:ascii="Calibri" w:cs="Calibri" w:eastAsia="Calibri" w:hAnsi="Calibri"/>
          <w:b w:val="false"/>
          <w:bCs w:val="false"/>
          <w:color w:val="1A1A1A"/>
          <w:sz w:val="20"/>
          <w:szCs w:val="20"/>
        </w:rPr>
        <w:t xml:space="preserve"> — each function against hand-computed expected values.</w:t>
      </w:r>
    </w:p>
    <w:p>
      <w:pPr>
        <w:pStyle w:val="ListParagraph"/>
        <w:numPr>
          <w:ilvl w:val="0"/>
          <w:numId w:val="2"/>
        </w:numPr>
        <w:spacing w:after="40" w:before="40" w:line="264"/>
      </w:pPr>
      <w:r>
        <w:rPr>
          <w:rFonts w:ascii="Calibri" w:cs="Calibri" w:eastAsia="Calibri" w:hAnsi="Calibri"/>
          <w:b/>
          <w:bCs/>
          <w:color w:val="1A1A1A"/>
          <w:sz w:val="20"/>
          <w:szCs w:val="20"/>
        </w:rPr>
        <w:t xml:space="preserve">Golden cases</w:t>
      </w:r>
      <w:r>
        <w:rPr>
          <w:rFonts w:ascii="Calibri" w:cs="Calibri" w:eastAsia="Calibri" w:hAnsi="Calibri"/>
          <w:b w:val="false"/>
          <w:bCs w:val="false"/>
          <w:color w:val="1A1A1A"/>
          <w:sz w:val="20"/>
          <w:szCs w:val="20"/>
        </w:rPr>
        <w:t xml:space="preserve"> — complete worked scenarios with results derived independently and stored as fixtures. Any change to a golden result requires explicit review.</w:t>
      </w:r>
    </w:p>
    <w:p>
      <w:pPr>
        <w:pStyle w:val="ListParagraph"/>
        <w:numPr>
          <w:ilvl w:val="0"/>
          <w:numId w:val="2"/>
        </w:numPr>
        <w:spacing w:after="40" w:before="40" w:line="264"/>
      </w:pPr>
      <w:r>
        <w:rPr>
          <w:rFonts w:ascii="Calibri" w:cs="Calibri" w:eastAsia="Calibri" w:hAnsi="Calibri"/>
          <w:b/>
          <w:bCs/>
          <w:color w:val="1A1A1A"/>
          <w:sz w:val="20"/>
          <w:szCs w:val="20"/>
        </w:rPr>
        <w:t xml:space="preserve">Property-based tests</w:t>
      </w:r>
      <w:r>
        <w:rPr>
          <w:rFonts w:ascii="Calibri" w:cs="Calibri" w:eastAsia="Calibri" w:hAnsi="Calibri"/>
          <w:b w:val="false"/>
          <w:bCs w:val="false"/>
          <w:color w:val="1A1A1A"/>
          <w:sz w:val="20"/>
          <w:szCs w:val="20"/>
        </w:rPr>
        <w:t xml:space="preserve"> (hypothesis) — invariants that must hold across the input space. For example: budget impact is zero when uptake is zero; budget impact is monotonically non-decreasing in the new therapy's price; the persistence fraction lies in </w:t>
      </w:r>
      <w:r>
        <w:rPr>
          <w:rFonts w:ascii="Consolas" w:cs="Consolas" w:eastAsia="Consolas" w:hAnsi="Consolas"/>
          <w:b w:val="false"/>
          <w:bCs w:val="false"/>
          <w:color w:val="8A2E2E"/>
          <w:sz w:val="17"/>
          <w:szCs w:val="17"/>
          <w:shd w:fill="F1F1F1" w:color="auto" w:val="clear"/>
        </w:rPr>
        <w:t xml:space="preserve">(0, 1]</w:t>
      </w:r>
      <w:r>
        <w:rPr>
          <w:rFonts w:ascii="Calibri" w:cs="Calibri" w:eastAsia="Calibri" w:hAnsi="Calibri"/>
          <w:b w:val="false"/>
          <w:bCs w:val="false"/>
          <w:color w:val="1A1A1A"/>
          <w:sz w:val="20"/>
          <w:szCs w:val="20"/>
        </w:rPr>
        <w:t xml:space="preserve"> for all valid </w:t>
      </w:r>
      <w:r>
        <w:rPr>
          <w:rFonts w:ascii="Consolas" w:cs="Consolas" w:eastAsia="Consolas" w:hAnsi="Consolas"/>
          <w:b w:val="false"/>
          <w:bCs w:val="false"/>
          <w:color w:val="8A2E2E"/>
          <w:sz w:val="17"/>
          <w:szCs w:val="17"/>
          <w:shd w:fill="F1F1F1" w:color="auto" w:val="clear"/>
        </w:rPr>
        <w:t xml:space="preserve">p₁₂</w:t>
      </w:r>
      <w:r>
        <w:rPr>
          <w:rFonts w:ascii="Calibri" w:cs="Calibri" w:eastAsia="Calibri" w:hAnsi="Calibri"/>
          <w:b w:val="false"/>
          <w:bCs w:val="false"/>
          <w:color w:val="1A1A1A"/>
          <w:sz w:val="20"/>
          <w:szCs w:val="20"/>
        </w:rPr>
        <w:t xml:space="preserve">; the funnel is monotonically non-increasing stage over stage.</w:t>
      </w:r>
    </w:p>
    <w:p>
      <w:pPr>
        <w:pStyle w:val="ListParagraph"/>
        <w:numPr>
          <w:ilvl w:val="0"/>
          <w:numId w:val="2"/>
        </w:numPr>
        <w:spacing w:after="40" w:before="40" w:line="264"/>
      </w:pPr>
      <w:r>
        <w:rPr>
          <w:rFonts w:ascii="Calibri" w:cs="Calibri" w:eastAsia="Calibri" w:hAnsi="Calibri"/>
          <w:b/>
          <w:bCs/>
          <w:color w:val="1A1A1A"/>
          <w:sz w:val="20"/>
          <w:szCs w:val="20"/>
        </w:rPr>
        <w:t xml:space="preserve">Reconciliation tests</w:t>
      </w:r>
      <w:r>
        <w:rPr>
          <w:rFonts w:ascii="Calibri" w:cs="Calibri" w:eastAsia="Calibri" w:hAnsi="Calibri"/>
          <w:b w:val="false"/>
          <w:bCs w:val="false"/>
          <w:color w:val="1A1A1A"/>
          <w:sz w:val="20"/>
          <w:szCs w:val="20"/>
        </w:rPr>
        <w:t xml:space="preserve"> — the reverse solver's output price, fed back through the forward calculation, must reproduce the target affordability ratio to within tolerance. This closes the loop between the two directions and is the strongest single check on the solver.</w:t>
      </w:r>
    </w:p>
    <w:p>
      <w:pPr>
        <w:pBdr>
          <w:bottom w:val="single" w:color="C6CFDA" w:sz="4" w:space="2"/>
        </w:pBdr>
        <w:spacing w:after="160" w:before="60"/>
      </w:pPr>
    </w:p>
    <w:p>
      <w:pPr>
        <w:pStyle w:val="Heading2"/>
        <w:keepNext/>
        <w:pBdr>
          <w:bottom w:val="single" w:color="C6CFDA" w:sz="6" w:space="6"/>
        </w:pBdr>
        <w:spacing w:after="140" w:before="360"/>
      </w:pPr>
      <w:r>
        <w:rPr>
          <w:rFonts w:ascii="Calibri" w:cs="Calibri" w:eastAsia="Calibri" w:hAnsi="Calibri"/>
          <w:b/>
          <w:bCs/>
          <w:color w:val="1F3864"/>
          <w:sz w:val="28"/>
          <w:szCs w:val="28"/>
        </w:rPr>
        <w:t xml:space="preserve">10. API Specification</w:t>
      </w:r>
    </w:p>
    <w:p>
      <w:pPr>
        <w:spacing w:after="120" w:before="60" w:line="276"/>
        <w:jc w:val="both"/>
      </w:pPr>
      <w:r>
        <w:rPr>
          <w:rFonts w:ascii="Calibri" w:cs="Calibri" w:eastAsia="Calibri" w:hAnsi="Calibri"/>
          <w:b w:val="false"/>
          <w:bCs w:val="false"/>
          <w:color w:val="1A1A1A"/>
          <w:sz w:val="20"/>
          <w:szCs w:val="20"/>
        </w:rPr>
        <w:t xml:space="preserve">Base path </w:t>
      </w:r>
      <w:r>
        <w:rPr>
          <w:rFonts w:ascii="Consolas" w:cs="Consolas" w:eastAsia="Consolas" w:hAnsi="Consolas"/>
          <w:b w:val="false"/>
          <w:bCs w:val="false"/>
          <w:color w:val="8A2E2E"/>
          <w:sz w:val="17"/>
          <w:szCs w:val="17"/>
          <w:shd w:fill="F1F1F1" w:color="auto" w:val="clear"/>
        </w:rPr>
        <w:t xml:space="preserve">/api/v1</w:t>
      </w:r>
      <w:r>
        <w:rPr>
          <w:rFonts w:ascii="Calibri" w:cs="Calibri" w:eastAsia="Calibri" w:hAnsi="Calibri"/>
          <w:b w:val="false"/>
          <w:bCs w:val="false"/>
          <w:color w:val="1A1A1A"/>
          <w:sz w:val="20"/>
          <w:szCs w:val="20"/>
        </w:rPr>
        <w:t xml:space="preserve">. All responses are JSON. The OpenAPI 3.1 document is generated at </w:t>
      </w:r>
      <w:r>
        <w:rPr>
          <w:rFonts w:ascii="Consolas" w:cs="Consolas" w:eastAsia="Consolas" w:hAnsi="Consolas"/>
          <w:b w:val="false"/>
          <w:bCs w:val="false"/>
          <w:color w:val="8A2E2E"/>
          <w:sz w:val="17"/>
          <w:szCs w:val="17"/>
          <w:shd w:fill="F1F1F1" w:color="auto" w:val="clear"/>
        </w:rPr>
        <w:t xml:space="preserve">/openapi.json</w:t>
      </w:r>
      <w:r>
        <w:rPr>
          <w:rFonts w:ascii="Calibri" w:cs="Calibri" w:eastAsia="Calibri" w:hAnsi="Calibri"/>
          <w:b w:val="false"/>
          <w:bCs w:val="false"/>
          <w:color w:val="1A1A1A"/>
          <w:sz w:val="20"/>
          <w:szCs w:val="20"/>
        </w:rPr>
        <w:t xml:space="preserve"> and is the source from which frontend types are generated.</w:t>
      </w:r>
    </w:p>
    <w:p>
      <w:pPr>
        <w:pStyle w:val="Heading3"/>
        <w:keepNext/>
        <w:spacing w:after="90" w:before="260"/>
      </w:pPr>
      <w:r>
        <w:rPr>
          <w:rFonts w:ascii="Calibri" w:cs="Calibri" w:eastAsia="Calibri" w:hAnsi="Calibri"/>
          <w:b/>
          <w:bCs/>
          <w:color w:val="2E5C8A"/>
          <w:sz w:val="23"/>
          <w:szCs w:val="23"/>
        </w:rPr>
        <w:t xml:space="preserve">10.1 Reference Endpoints</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1747"/>
        <w:gridCol w:w="3591"/>
        <w:gridCol w:w="4552"/>
      </w:tblGrid>
      <w:tr>
        <w:trPr>
          <w:tblHeader/>
        </w:trPr>
        <w:tc>
          <w:tcPr>
            <w:tcW w:type="dxa" w:w="1747"/>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Method</w:t>
            </w:r>
          </w:p>
        </w:tc>
        <w:tc>
          <w:tcPr>
            <w:tcW w:type="dxa" w:w="3591"/>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Path</w:t>
            </w:r>
          </w:p>
        </w:tc>
        <w:tc>
          <w:tcPr>
            <w:tcW w:type="dxa" w:w="4552"/>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Description</w:t>
            </w:r>
          </w:p>
        </w:tc>
      </w:tr>
      <w:tr>
        <w:tc>
          <w:tcPr>
            <w:tcW w:type="dxa" w:w="174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GET</w:t>
            </w:r>
          </w:p>
        </w:tc>
        <w:tc>
          <w:tcPr>
            <w:tcW w:type="dxa" w:w="3591"/>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/reference/countries</w:t>
            </w:r>
          </w:p>
        </w:tc>
        <w:tc>
          <w:tcPr>
            <w:tcW w:type="dxa" w:w="455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Active markets with currency, archetype and economics</w:t>
            </w:r>
          </w:p>
        </w:tc>
      </w:tr>
      <w:tr>
        <w:tc>
          <w:tcPr>
            <w:tcW w:type="dxa" w:w="174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GET</w:t>
            </w:r>
          </w:p>
        </w:tc>
        <w:tc>
          <w:tcPr>
            <w:tcW w:type="dxa" w:w="3591"/>
            <w:shd w:fill="F2F5F9" w:color="auto" w:val="clear"/>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/reference/indications</w:t>
            </w:r>
          </w:p>
        </w:tc>
        <w:tc>
          <w:tcPr>
            <w:tcW w:type="dxa" w:w="4552"/>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Available indications with default horizons</w:t>
            </w:r>
          </w:p>
        </w:tc>
      </w:tr>
      <w:tr>
        <w:tc>
          <w:tcPr>
            <w:tcW w:type="dxa" w:w="174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GET</w:t>
            </w:r>
          </w:p>
        </w:tc>
        <w:tc>
          <w:tcPr>
            <w:tcW w:type="dxa" w:w="3591"/>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/reference/epidemiology</w:t>
            </w:r>
          </w:p>
        </w:tc>
        <w:tc>
          <w:tcPr>
            <w:tcW w:type="dxa" w:w="455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Prevalence with bounds, filtered by indication and markets</w:t>
            </w:r>
          </w:p>
        </w:tc>
      </w:tr>
      <w:tr>
        <w:tc>
          <w:tcPr>
            <w:tcW w:type="dxa" w:w="174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GET</w:t>
            </w:r>
          </w:p>
        </w:tc>
        <w:tc>
          <w:tcPr>
            <w:tcW w:type="dxa" w:w="3591"/>
            <w:shd w:fill="F2F5F9" w:color="auto" w:val="clear"/>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/reference/drugs</w:t>
            </w:r>
          </w:p>
        </w:tc>
        <w:tc>
          <w:tcPr>
            <w:tcW w:type="dxa" w:w="4552"/>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Comparator therapies with regimens and prices</w:t>
            </w:r>
          </w:p>
        </w:tc>
      </w:tr>
      <w:tr>
        <w:tc>
          <w:tcPr>
            <w:tcW w:type="dxa" w:w="174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GET</w:t>
            </w:r>
          </w:p>
        </w:tc>
        <w:tc>
          <w:tcPr>
            <w:tcW w:type="dxa" w:w="3591"/>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/reference/criteria/{indication_id}</w:t>
            </w:r>
          </w:p>
        </w:tc>
        <w:tc>
          <w:tcPr>
            <w:tcW w:type="dxa" w:w="455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Eligibility criteria library</w:t>
            </w:r>
          </w:p>
        </w:tc>
      </w:tr>
      <w:tr>
        <w:tc>
          <w:tcPr>
            <w:tcW w:type="dxa" w:w="174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GET</w:t>
            </w:r>
          </w:p>
        </w:tc>
        <w:tc>
          <w:tcPr>
            <w:tcW w:type="dxa" w:w="3591"/>
            <w:shd w:fill="F2F5F9" w:color="auto" w:val="clear"/>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/reference/fx</w:t>
            </w:r>
          </w:p>
        </w:tc>
        <w:tc>
          <w:tcPr>
            <w:tcW w:type="dxa" w:w="4552"/>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Current foreign exchange snapshot</w:t>
            </w:r>
          </w:p>
        </w:tc>
      </w:tr>
    </w:tbl>
    <w:p>
      <w:pPr>
        <w:spacing w:after="160"/>
      </w:pPr>
    </w:p>
    <w:p>
      <w:pPr>
        <w:pStyle w:val="Heading3"/>
        <w:keepNext/>
        <w:spacing w:after="90" w:before="260"/>
      </w:pPr>
      <w:r>
        <w:rPr>
          <w:rFonts w:ascii="Calibri" w:cs="Calibri" w:eastAsia="Calibri" w:hAnsi="Calibri"/>
          <w:b/>
          <w:bCs/>
          <w:color w:val="2E5C8A"/>
          <w:sz w:val="23"/>
          <w:szCs w:val="23"/>
        </w:rPr>
        <w:t xml:space="preserve">10.2 Scenario Endpoints</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1998"/>
        <w:gridCol w:w="3524"/>
        <w:gridCol w:w="4368"/>
      </w:tblGrid>
      <w:tr>
        <w:trPr>
          <w:tblHeader/>
        </w:trPr>
        <w:tc>
          <w:tcPr>
            <w:tcW w:type="dxa" w:w="1998"/>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Method</w:t>
            </w:r>
          </w:p>
        </w:tc>
        <w:tc>
          <w:tcPr>
            <w:tcW w:type="dxa" w:w="3524"/>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Path</w:t>
            </w:r>
          </w:p>
        </w:tc>
        <w:tc>
          <w:tcPr>
            <w:tcW w:type="dxa" w:w="4368"/>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Description</w:t>
            </w:r>
          </w:p>
        </w:tc>
      </w:tr>
      <w:tr>
        <w:tc>
          <w:tcPr>
            <w:tcW w:type="dxa" w:w="199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POST</w:t>
            </w:r>
          </w:p>
        </w:tc>
        <w:tc>
          <w:tcPr>
            <w:tcW w:type="dxa" w:w="3524"/>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/scenarios</w:t>
            </w:r>
          </w:p>
        </w:tc>
        <w:tc>
          <w:tcPr>
            <w:tcW w:type="dxa" w:w="436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Create a scenario</w:t>
            </w:r>
          </w:p>
        </w:tc>
      </w:tr>
      <w:tr>
        <w:tc>
          <w:tcPr>
            <w:tcW w:type="dxa" w:w="199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GET</w:t>
            </w:r>
          </w:p>
        </w:tc>
        <w:tc>
          <w:tcPr>
            <w:tcW w:type="dxa" w:w="3524"/>
            <w:shd w:fill="F2F5F9" w:color="auto" w:val="clear"/>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/scenarios</w:t>
            </w:r>
          </w:p>
        </w:tc>
        <w:tc>
          <w:tcPr>
            <w:tcW w:type="dxa" w:w="436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List scenarios</w:t>
            </w:r>
          </w:p>
        </w:tc>
      </w:tr>
      <w:tr>
        <w:tc>
          <w:tcPr>
            <w:tcW w:type="dxa" w:w="199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GET</w:t>
            </w:r>
          </w:p>
        </w:tc>
        <w:tc>
          <w:tcPr>
            <w:tcW w:type="dxa" w:w="3524"/>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/scenarios/{id}</w:t>
            </w:r>
          </w:p>
        </w:tc>
        <w:tc>
          <w:tcPr>
            <w:tcW w:type="dxa" w:w="436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Retrieve a scenario with resolved inputs</w:t>
            </w:r>
          </w:p>
        </w:tc>
      </w:tr>
      <w:tr>
        <w:tc>
          <w:tcPr>
            <w:tcW w:type="dxa" w:w="199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PATCH</w:t>
            </w:r>
          </w:p>
        </w:tc>
        <w:tc>
          <w:tcPr>
            <w:tcW w:type="dxa" w:w="3524"/>
            <w:shd w:fill="F2F5F9" w:color="auto" w:val="clear"/>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/scenarios/{id}</w:t>
            </w:r>
          </w:p>
        </w:tc>
        <w:tc>
          <w:tcPr>
            <w:tcW w:type="dxa" w:w="436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Update scenario definition</w:t>
            </w:r>
          </w:p>
        </w:tc>
      </w:tr>
      <w:tr>
        <w:tc>
          <w:tcPr>
            <w:tcW w:type="dxa" w:w="199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POST</w:t>
            </w:r>
          </w:p>
        </w:tc>
        <w:tc>
          <w:tcPr>
            <w:tcW w:type="dxa" w:w="3524"/>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/scenarios/{id}/clone</w:t>
            </w:r>
          </w:p>
        </w:tc>
        <w:tc>
          <w:tcPr>
            <w:tcW w:type="dxa" w:w="436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Clone with optional override set</w:t>
            </w:r>
          </w:p>
        </w:tc>
      </w:tr>
      <w:tr>
        <w:tc>
          <w:tcPr>
            <w:tcW w:type="dxa" w:w="199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DELETE</w:t>
            </w:r>
          </w:p>
        </w:tc>
        <w:tc>
          <w:tcPr>
            <w:tcW w:type="dxa" w:w="3524"/>
            <w:shd w:fill="F2F5F9" w:color="auto" w:val="clear"/>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/scenarios/{id}</w:t>
            </w:r>
          </w:p>
        </w:tc>
        <w:tc>
          <w:tcPr>
            <w:tcW w:type="dxa" w:w="436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Archive</w:t>
            </w:r>
          </w:p>
        </w:tc>
      </w:tr>
      <w:tr>
        <w:tc>
          <w:tcPr>
            <w:tcW w:type="dxa" w:w="199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PUT</w:t>
            </w:r>
          </w:p>
        </w:tc>
        <w:tc>
          <w:tcPr>
            <w:tcW w:type="dxa" w:w="3524"/>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/scenarios/{id}/overrides</w:t>
            </w:r>
          </w:p>
        </w:tc>
        <w:tc>
          <w:tcPr>
            <w:tcW w:type="dxa" w:w="436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Replace the override set</w:t>
            </w:r>
          </w:p>
        </w:tc>
      </w:tr>
    </w:tbl>
    <w:p>
      <w:pPr>
        <w:spacing w:after="160"/>
      </w:pPr>
    </w:p>
    <w:p>
      <w:pPr>
        <w:pStyle w:val="Heading3"/>
        <w:keepNext/>
        <w:spacing w:after="90" w:before="260"/>
      </w:pPr>
      <w:r>
        <w:rPr>
          <w:rFonts w:ascii="Calibri" w:cs="Calibri" w:eastAsia="Calibri" w:hAnsi="Calibri"/>
          <w:b/>
          <w:bCs/>
          <w:color w:val="2E5C8A"/>
          <w:sz w:val="23"/>
          <w:szCs w:val="23"/>
        </w:rPr>
        <w:t xml:space="preserve">10.3 Calculation Endpoints</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1433"/>
        <w:gridCol w:w="2617"/>
        <w:gridCol w:w="3310"/>
        <w:gridCol w:w="2530"/>
      </w:tblGrid>
      <w:tr>
        <w:trPr>
          <w:tblHeader/>
        </w:trPr>
        <w:tc>
          <w:tcPr>
            <w:tcW w:type="dxa" w:w="1433"/>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Method</w:t>
            </w:r>
          </w:p>
        </w:tc>
        <w:tc>
          <w:tcPr>
            <w:tcW w:type="dxa" w:w="2617"/>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Path</w:t>
            </w:r>
          </w:p>
        </w:tc>
        <w:tc>
          <w:tcPr>
            <w:tcW w:type="dxa" w:w="3310"/>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Description</w:t>
            </w:r>
          </w:p>
        </w:tc>
        <w:tc>
          <w:tcPr>
            <w:tcW w:type="dxa" w:w="2530"/>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Target latency</w:t>
            </w:r>
          </w:p>
        </w:tc>
      </w:tr>
      <w:tr>
        <w:tc>
          <w:tcPr>
            <w:tcW w:type="dxa" w:w="143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POST</w:t>
            </w:r>
          </w:p>
        </w:tc>
        <w:tc>
          <w:tcPr>
            <w:tcW w:type="dxa" w:w="2617"/>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/scenarios/{id}/calculate</w:t>
            </w:r>
          </w:p>
        </w:tc>
        <w:tc>
          <w:tcPr>
            <w:tcW w:type="dxa" w:w="331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Forward budget impact across all markets</w:t>
            </w:r>
          </w:p>
        </w:tc>
        <w:tc>
          <w:tcPr>
            <w:tcW w:type="dxa" w:w="253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&lt; 200 ms</w:t>
            </w:r>
          </w:p>
        </w:tc>
      </w:tr>
      <w:tr>
        <w:tc>
          <w:tcPr>
            <w:tcW w:type="dxa" w:w="143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POST</w:t>
            </w:r>
          </w:p>
        </w:tc>
        <w:tc>
          <w:tcPr>
            <w:tcW w:type="dxa" w:w="2617"/>
            <w:shd w:fill="F2F5F9" w:color="auto" w:val="clear"/>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/scenarios/{id}/solve-price</w:t>
            </w:r>
          </w:p>
        </w:tc>
        <w:tc>
          <w:tcPr>
            <w:tcW w:type="dxa" w:w="331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Reverse solve against an affordability target</w:t>
            </w:r>
          </w:p>
        </w:tc>
        <w:tc>
          <w:tcPr>
            <w:tcW w:type="dxa" w:w="253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&lt; 300 ms</w:t>
            </w:r>
          </w:p>
        </w:tc>
      </w:tr>
      <w:tr>
        <w:tc>
          <w:tcPr>
            <w:tcW w:type="dxa" w:w="143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POST</w:t>
            </w:r>
          </w:p>
        </w:tc>
        <w:tc>
          <w:tcPr>
            <w:tcW w:type="dxa" w:w="2617"/>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/scenarios/{id}/sensitivity</w:t>
            </w:r>
          </w:p>
        </w:tc>
        <w:tc>
          <w:tcPr>
            <w:tcW w:type="dxa" w:w="331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One-way deterministic, tornado-ranked</w:t>
            </w:r>
          </w:p>
        </w:tc>
        <w:tc>
          <w:tcPr>
            <w:tcW w:type="dxa" w:w="253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&lt; 1 s</w:t>
            </w:r>
          </w:p>
        </w:tc>
      </w:tr>
      <w:tr>
        <w:tc>
          <w:tcPr>
            <w:tcW w:type="dxa" w:w="143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POST</w:t>
            </w:r>
          </w:p>
        </w:tc>
        <w:tc>
          <w:tcPr>
            <w:tcW w:type="dxa" w:w="2617"/>
            <w:shd w:fill="F2F5F9" w:color="auto" w:val="clear"/>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/scenarios/{id}/psa</w:t>
            </w:r>
          </w:p>
        </w:tc>
        <w:tc>
          <w:tcPr>
            <w:tcW w:type="dxa" w:w="331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Probabilistic simulation</w:t>
            </w:r>
          </w:p>
        </w:tc>
        <w:tc>
          <w:tcPr>
            <w:tcW w:type="dxa" w:w="253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&lt; 5 s at 5,000 iterations</w:t>
            </w:r>
          </w:p>
        </w:tc>
      </w:tr>
      <w:tr>
        <w:tc>
          <w:tcPr>
            <w:tcW w:type="dxa" w:w="143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GET</w:t>
            </w:r>
          </w:p>
        </w:tc>
        <w:tc>
          <w:tcPr>
            <w:tcW w:type="dxa" w:w="2617"/>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/scenarios/{id}/runs</w:t>
            </w:r>
          </w:p>
        </w:tc>
        <w:tc>
          <w:tcPr>
            <w:tcW w:type="dxa" w:w="331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Run history</w:t>
            </w:r>
          </w:p>
        </w:tc>
        <w:tc>
          <w:tcPr>
            <w:tcW w:type="dxa" w:w="253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
            </w:r>
          </w:p>
        </w:tc>
      </w:tr>
      <w:tr>
        <w:tc>
          <w:tcPr>
            <w:tcW w:type="dxa" w:w="143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GET</w:t>
            </w:r>
          </w:p>
        </w:tc>
        <w:tc>
          <w:tcPr>
            <w:tcW w:type="dxa" w:w="2617"/>
            <w:shd w:fill="F2F5F9" w:color="auto" w:val="clear"/>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/runs/{run_id}</w:t>
            </w:r>
          </w:p>
        </w:tc>
        <w:tc>
          <w:tcPr>
            <w:tcW w:type="dxa" w:w="331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Retrieve a stored run with its full snapshot</w:t>
            </w:r>
          </w:p>
        </w:tc>
        <w:tc>
          <w:tcPr>
            <w:tcW w:type="dxa" w:w="253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
            </w:r>
          </w:p>
        </w:tc>
      </w:tr>
      <w:tr>
        <w:tc>
          <w:tcPr>
            <w:tcW w:type="dxa" w:w="143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POST</w:t>
            </w:r>
          </w:p>
        </w:tc>
        <w:tc>
          <w:tcPr>
            <w:tcW w:type="dxa" w:w="2617"/>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/scenarios/compare</w:t>
            </w:r>
          </w:p>
        </w:tc>
        <w:tc>
          <w:tcPr>
            <w:tcW w:type="dxa" w:w="331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Multi-scenario comparison, 2–4 scenarios</w:t>
            </w:r>
          </w:p>
        </w:tc>
        <w:tc>
          <w:tcPr>
            <w:tcW w:type="dxa" w:w="253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
            </w:r>
          </w:p>
        </w:tc>
      </w:tr>
    </w:tbl>
    <w:p>
      <w:pPr>
        <w:spacing w:after="160"/>
      </w:pPr>
    </w:p>
    <w:p>
      <w:pPr>
        <w:pStyle w:val="Heading3"/>
        <w:keepNext/>
        <w:spacing w:after="90" w:before="260"/>
      </w:pPr>
      <w:r>
        <w:rPr>
          <w:rFonts w:ascii="Calibri" w:cs="Calibri" w:eastAsia="Calibri" w:hAnsi="Calibri"/>
          <w:b/>
          <w:bCs/>
          <w:color w:val="2E5C8A"/>
          <w:sz w:val="23"/>
          <w:szCs w:val="23"/>
        </w:rPr>
        <w:t xml:space="preserve">10.4 Evidence and Export Endpoints</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1935"/>
        <w:gridCol w:w="3532"/>
        <w:gridCol w:w="4423"/>
      </w:tblGrid>
      <w:tr>
        <w:trPr>
          <w:tblHeader/>
        </w:trPr>
        <w:tc>
          <w:tcPr>
            <w:tcW w:type="dxa" w:w="1935"/>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Method</w:t>
            </w:r>
          </w:p>
        </w:tc>
        <w:tc>
          <w:tcPr>
            <w:tcW w:type="dxa" w:w="3532"/>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Path</w:t>
            </w:r>
          </w:p>
        </w:tc>
        <w:tc>
          <w:tcPr>
            <w:tcW w:type="dxa" w:w="4423"/>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Description</w:t>
            </w:r>
          </w:p>
        </w:tc>
      </w:tr>
      <w:tr>
        <w:tc>
          <w:tcPr>
            <w:tcW w:type="dxa" w:w="193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POST</w:t>
            </w:r>
          </w:p>
        </w:tc>
        <w:tc>
          <w:tcPr>
            <w:tcW w:type="dxa" w:w="3532"/>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/evidence/search</w:t>
            </w:r>
          </w:p>
        </w:tc>
        <w:tc>
          <w:tcPr>
            <w:tcW w:type="dxa" w:w="442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Semantic retrieval over the guideline corpus</w:t>
            </w:r>
          </w:p>
        </w:tc>
      </w:tr>
      <w:tr>
        <w:tc>
          <w:tcPr>
            <w:tcW w:type="dxa" w:w="193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POST</w:t>
            </w:r>
          </w:p>
        </w:tc>
        <w:tc>
          <w:tcPr>
            <w:tcW w:type="dxa" w:w="3532"/>
            <w:shd w:fill="F2F5F9" w:color="auto" w:val="clear"/>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/scenarios/{id}/narrative</w:t>
            </w:r>
          </w:p>
        </w:tc>
        <w:tc>
          <w:tcPr>
            <w:tcW w:type="dxa" w:w="442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Generate a cited executive narrative</w:t>
            </w:r>
          </w:p>
        </w:tc>
      </w:tr>
      <w:tr>
        <w:tc>
          <w:tcPr>
            <w:tcW w:type="dxa" w:w="193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POST</w:t>
            </w:r>
          </w:p>
        </w:tc>
        <w:tc>
          <w:tcPr>
            <w:tcW w:type="dxa" w:w="3532"/>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/scenarios/{id}/export/pdf</w:t>
            </w:r>
          </w:p>
        </w:tc>
        <w:tc>
          <w:tcPr>
            <w:tcW w:type="dxa" w:w="442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Full report with assumption register</w:t>
            </w:r>
          </w:p>
        </w:tc>
      </w:tr>
      <w:tr>
        <w:tc>
          <w:tcPr>
            <w:tcW w:type="dxa" w:w="193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POST</w:t>
            </w:r>
          </w:p>
        </w:tc>
        <w:tc>
          <w:tcPr>
            <w:tcW w:type="dxa" w:w="3532"/>
            <w:shd w:fill="F2F5F9" w:color="auto" w:val="clear"/>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/scenarios/{id}/export/pptx</w:t>
            </w:r>
          </w:p>
        </w:tc>
        <w:tc>
          <w:tcPr>
            <w:tcW w:type="dxa" w:w="442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Executive deck</w:t>
            </w:r>
          </w:p>
        </w:tc>
      </w:tr>
    </w:tbl>
    <w:p>
      <w:pPr>
        <w:spacing w:after="160"/>
      </w:pPr>
    </w:p>
    <w:p>
      <w:pPr>
        <w:pStyle w:val="Heading3"/>
        <w:keepNext/>
        <w:spacing w:after="90" w:before="260"/>
      </w:pPr>
      <w:r>
        <w:rPr>
          <w:rFonts w:ascii="Calibri" w:cs="Calibri" w:eastAsia="Calibri" w:hAnsi="Calibri"/>
          <w:b/>
          <w:bCs/>
          <w:color w:val="2E5C8A"/>
          <w:sz w:val="23"/>
          <w:szCs w:val="23"/>
        </w:rPr>
        <w:t xml:space="preserve">10.5 Representative Response — Forward Calculation</w:t>
      </w:r>
    </w:p>
    <w:p>
      <w:pPr>
        <w:pBdr>
          <w:left w:val="single" w:color="2E5C8A" w:sz="12" w:space="8"/>
          <w:right w:val="single" w:color="D3DAE3" w:sz="2" w:space="4"/>
        </w:pBdr>
        <w:shd w:fill="F4F6F8" w:color="auto" w:val="clear"/>
        <w:spacing w:after="0" w:before="100" w:line="220"/>
        <w:ind w:left="120"/>
      </w:pPr>
      <w:r>
        <w:rPr>
          <w:rFonts w:ascii="Consolas" w:cs="Consolas" w:eastAsia="Consolas" w:hAnsi="Consolas"/>
          <w:color w:val="24292E"/>
          <w:sz w:val="15"/>
          <w:szCs w:val="15"/>
        </w:rPr>
        <w:t xml:space="preserv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"run_id":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"engine_version": "1.0.0",</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"reporting_currency": "USD",</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"fx_snapshot_date": "2026-08-18",</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"horizon_years": 3,</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"launch_year": 2028,</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"countries":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"country_code": "DEU",</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"funnel":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"stages":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"stage": "total_population",   "value": 83500000,</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"factor": null,   "source": "World Bank SP.POP.TOTL 2025", "tier": "A"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"stage": "adult_population",   "value": 68470000,</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"factor": 0.820,  "source": "World Bank age structure",    "tier": "A"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"stage": "diseased",           "value": 14132208,</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"factor": 0.2064, "source": "WHO NCD_BMI_30A 2024",        "tier": "A"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"stage": "diagnosed",          "value": 8479325,</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"factor": 0.600,  "source": "Seeded default",              "tier": "C"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"stage": "treated",            "value": 1271899,</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"factor": 0.150,  "source": "Seeded default",              "tier": "C"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"stage": "label_eligible",     "value": 445165,</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"factor": 0.350,  "source": "Criterion stack",             "tier": "B"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"stage": "addressable",        "value": 311615,</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"factor": 0.700,  "source": "Access assumption",           "tier": "C"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"years":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"year": 1, "calendar_year": 2028,</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"uptake": 0.05,</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"patients_on_new": 15581,</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"persistence_fraction": 0.721,</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"cost_without": 84213000,</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"cost_with":   142880000,</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"budget_impact": 58667000,</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"impact_per_patient": 3765,</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"affordability_ratio": 0.000103,</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"affordability_band": "low"</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"cumulative_budget_impact": 331004000,</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"cumulative_affordability_ratio": 0.000579,</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"affordability_band": "low"</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"totals":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"cumulative_budget_impact": 2847000000,</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"peak_year": 3,</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"peak_year_impact": 1420000000</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"warnings":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"code": "STALE_VINTAGE",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"message": "Diabetes prevalence sourced from WHO NCD_GLUC_04 vintage 2014; projected forward to 2028."</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140" w:before="0" w:line="220"/>
        <w:ind w:left="120"/>
      </w:pPr>
      <w:r>
        <w:rPr>
          <w:rFonts w:ascii="Consolas" w:cs="Consolas" w:eastAsia="Consolas" w:hAnsi="Consolas"/>
          <w:color w:val="24292E"/>
          <w:sz w:val="15"/>
          <w:szCs w:val="15"/>
        </w:rPr>
        <w:t xml:space="preserve">}</w:t>
      </w:r>
    </w:p>
    <w:p>
      <w:pPr>
        <w:pStyle w:val="Heading3"/>
        <w:keepNext/>
        <w:spacing w:after="90" w:before="260"/>
      </w:pPr>
      <w:r>
        <w:rPr>
          <w:rFonts w:ascii="Calibri" w:cs="Calibri" w:eastAsia="Calibri" w:hAnsi="Calibri"/>
          <w:b/>
          <w:bCs/>
          <w:color w:val="2E5C8A"/>
          <w:sz w:val="23"/>
          <w:szCs w:val="23"/>
        </w:rPr>
        <w:t xml:space="preserve">10.6 Representative Response — Reverse Solve</w:t>
      </w:r>
    </w:p>
    <w:p>
      <w:pPr>
        <w:pBdr>
          <w:left w:val="single" w:color="2E5C8A" w:sz="12" w:space="8"/>
          <w:right w:val="single" w:color="D3DAE3" w:sz="2" w:space="4"/>
        </w:pBdr>
        <w:shd w:fill="F4F6F8" w:color="auto" w:val="clear"/>
        <w:spacing w:after="0" w:before="100" w:line="220"/>
        <w:ind w:left="120"/>
      </w:pPr>
      <w:r>
        <w:rPr>
          <w:rFonts w:ascii="Consolas" w:cs="Consolas" w:eastAsia="Consolas" w:hAnsi="Consolas"/>
          <w:color w:val="24292E"/>
          <w:sz w:val="15"/>
          <w:szCs w:val="15"/>
        </w:rPr>
        <w:t xml:space="preserv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"run_id":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"target_affordability_ratio": 0.005,</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"method": "analytic",</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"price_corridor":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"country_code": "USA", "max_annual_price_usd": 9840, "feasible": true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"country_code": "DEU", "max_annual_price_usd": 4120, "feasible": true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"country_code": "GBR", "max_annual_price_usd": 3610, "feasible": true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"country_code": "JPN", "max_annual_price_usd": 2980, "feasible": true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"country_code": "BRA", "max_annual_price_usd":  740, "feasible": true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"country_code": "CHN", "max_annual_price_usd":  510, "feasible": true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"country_code": "IND", "max_annual_price_usd":   96, "feasible": true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"binding_market": "IND",</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"single_global_price_ceiling_usd": 96</w:t>
      </w:r>
    </w:p>
    <w:p>
      <w:pPr>
        <w:pBdr>
          <w:left w:val="single" w:color="2E5C8A" w:sz="12" w:space="8"/>
          <w:right w:val="single" w:color="D3DAE3" w:sz="2" w:space="4"/>
        </w:pBdr>
        <w:shd w:fill="F4F6F8" w:color="auto" w:val="clear"/>
        <w:spacing w:after="140" w:before="0" w:line="220"/>
        <w:ind w:left="120"/>
      </w:pPr>
      <w:r>
        <w:rPr>
          <w:rFonts w:ascii="Consolas" w:cs="Consolas" w:eastAsia="Consolas" w:hAnsi="Consolas"/>
          <w:color w:val="24292E"/>
          <w:sz w:val="15"/>
          <w:szCs w:val="15"/>
        </w:rPr>
        <w:t xml:space="preserve">}</w:t>
      </w:r>
    </w:p>
    <w:p>
      <w:pPr>
        <w:spacing w:after="120" w:before="60" w:line="276"/>
        <w:jc w:val="both"/>
      </w:pPr>
      <w:r>
        <w:rPr>
          <w:rFonts w:ascii="Calibri" w:cs="Calibri" w:eastAsia="Calibri" w:hAnsi="Calibri"/>
          <w:b w:val="false"/>
          <w:bCs w:val="false"/>
          <w:color w:val="1A1A1A"/>
          <w:sz w:val="20"/>
          <w:szCs w:val="20"/>
        </w:rPr>
        <w:t xml:space="preserve">The </w:t>
      </w:r>
      <w:r>
        <w:rPr>
          <w:rFonts w:ascii="Consolas" w:cs="Consolas" w:eastAsia="Consolas" w:hAnsi="Consolas"/>
          <w:b w:val="false"/>
          <w:bCs w:val="false"/>
          <w:color w:val="8A2E2E"/>
          <w:sz w:val="17"/>
          <w:szCs w:val="17"/>
          <w:shd w:fill="F1F1F1" w:color="auto" w:val="clear"/>
        </w:rPr>
        <w:t xml:space="preserve">binding_market</w:t>
      </w:r>
      <w:r>
        <w:rPr>
          <w:rFonts w:ascii="Calibri" w:cs="Calibri" w:eastAsia="Calibri" w:hAnsi="Calibri"/>
          <w:b w:val="false"/>
          <w:bCs w:val="false"/>
          <w:color w:val="1A1A1A"/>
          <w:sz w:val="20"/>
          <w:szCs w:val="20"/>
        </w:rPr>
        <w:t xml:space="preserve"> and </w:t>
      </w:r>
      <w:r>
        <w:rPr>
          <w:rFonts w:ascii="Consolas" w:cs="Consolas" w:eastAsia="Consolas" w:hAnsi="Consolas"/>
          <w:b w:val="false"/>
          <w:bCs w:val="false"/>
          <w:color w:val="8A2E2E"/>
          <w:sz w:val="17"/>
          <w:szCs w:val="17"/>
          <w:shd w:fill="F1F1F1" w:color="auto" w:val="clear"/>
        </w:rPr>
        <w:t xml:space="preserve">single_global_price_ceiling_usd</w:t>
      </w:r>
      <w:r>
        <w:rPr>
          <w:rFonts w:ascii="Calibri" w:cs="Calibri" w:eastAsia="Calibri" w:hAnsi="Calibri"/>
          <w:b w:val="false"/>
          <w:bCs w:val="false"/>
          <w:color w:val="1A1A1A"/>
          <w:sz w:val="20"/>
          <w:szCs w:val="20"/>
        </w:rPr>
        <w:t xml:space="preserve"> fields make the central tension of global pricing explicit: a single worldwide price satisfying every market's affordability constraint is set by the poorest market, which is precisely why differential pricing exists.</w:t>
      </w:r>
    </w:p>
    <w:p>
      <w:pPr>
        <w:pBdr>
          <w:bottom w:val="single" w:color="C6CFDA" w:sz="4" w:space="2"/>
        </w:pBdr>
        <w:spacing w:after="160" w:before="60"/>
      </w:pPr>
    </w:p>
    <w:p>
      <w:pPr>
        <w:pStyle w:val="Heading2"/>
        <w:keepNext/>
        <w:pBdr>
          <w:bottom w:val="single" w:color="C6CFDA" w:sz="6" w:space="6"/>
        </w:pBdr>
        <w:spacing w:after="140" w:before="360"/>
      </w:pPr>
      <w:r>
        <w:rPr>
          <w:rFonts w:ascii="Calibri" w:cs="Calibri" w:eastAsia="Calibri" w:hAnsi="Calibri"/>
          <w:b/>
          <w:bCs/>
          <w:color w:val="1F3864"/>
          <w:sz w:val="28"/>
          <w:szCs w:val="28"/>
        </w:rPr>
        <w:t xml:space="preserve">11. Frontend Architecture</w:t>
      </w:r>
    </w:p>
    <w:p>
      <w:pPr>
        <w:pStyle w:val="Heading3"/>
        <w:keepNext/>
        <w:spacing w:after="90" w:before="260"/>
      </w:pPr>
      <w:r>
        <w:rPr>
          <w:rFonts w:ascii="Calibri" w:cs="Calibri" w:eastAsia="Calibri" w:hAnsi="Calibri"/>
          <w:b/>
          <w:bCs/>
          <w:color w:val="2E5C8A"/>
          <w:sz w:val="23"/>
          <w:szCs w:val="23"/>
        </w:rPr>
        <w:t xml:space="preserve">11.1 Slice Structure</w:t>
      </w:r>
    </w:p>
    <w:p>
      <w:pPr>
        <w:pBdr>
          <w:left w:val="single" w:color="2E5C8A" w:sz="12" w:space="8"/>
          <w:right w:val="single" w:color="D3DAE3" w:sz="2" w:space="4"/>
        </w:pBdr>
        <w:shd w:fill="F4F6F8" w:color="auto" w:val="clear"/>
        <w:spacing w:after="0" w:before="100" w:line="220"/>
        <w:ind w:left="120"/>
      </w:pPr>
      <w:r>
        <w:rPr>
          <w:rFonts w:ascii="Consolas" w:cs="Consolas" w:eastAsia="Consolas" w:hAnsi="Consolas"/>
          <w:color w:val="24292E"/>
          <w:sz w:val="15"/>
          <w:szCs w:val="15"/>
        </w:rPr>
        <w:t xml:space="preserve">frontend/src/</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app/</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router.tsx              # Route definitions</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providers.tsx           # Query client, theme, error boundary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layout/                 # Shell, navigation, scenario switcher</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features/</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scenario-builder/       # M1 — asset, markets, horizon, overrides</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population-funnel/      # M2, M3 — funnel visual, criterion stack</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market-uptake/          # M4 — uptake curve editor, substitution matrix</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cost-pricing/           # M5, M6 — regimen, price, persistence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results-dashboard/      # M7 — impact by year and market, choropleth</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affordability/          # M8 forward — gauge, band classification</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price-solver/           # M8 reverse — corridor, binding market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sensitivity/            # M9 — tornado, PSA distribution</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scenario-compare/       # M1 — side-by-side diff</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evidence-copilot/       # M10 — retrieval, narrative, citations</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shared/</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api/                    # Generated client, query hooks</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components/             # Design-system primitives</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charts/                 # Chart wrappers with shared theming</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hooks/</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types/                  # Generated from OpenAPI</w:t>
      </w:r>
    </w:p>
    <w:p>
      <w:pPr>
        <w:pBdr>
          <w:left w:val="single" w:color="2E5C8A" w:sz="12" w:space="8"/>
          <w:right w:val="single" w:color="D3DAE3" w:sz="2" w:space="4"/>
        </w:pBdr>
        <w:shd w:fill="F4F6F8" w:color="auto" w:val="clear"/>
        <w:spacing w:after="140" w:before="0" w:line="220"/>
        <w:ind w:left="120"/>
      </w:pPr>
      <w:r>
        <w:rPr>
          <w:rFonts w:ascii="Consolas" w:cs="Consolas" w:eastAsia="Consolas" w:hAnsi="Consolas"/>
          <w:color w:val="24292E"/>
          <w:sz w:val="15"/>
          <w:szCs w:val="15"/>
        </w:rPr>
        <w:t xml:space="preserve">    └── utils/                  # Currency, number and date formatting</w:t>
      </w:r>
    </w:p>
    <w:p>
      <w:pPr>
        <w:pStyle w:val="Heading3"/>
        <w:keepNext/>
        <w:spacing w:after="90" w:before="260"/>
      </w:pPr>
      <w:r>
        <w:rPr>
          <w:rFonts w:ascii="Calibri" w:cs="Calibri" w:eastAsia="Calibri" w:hAnsi="Calibri"/>
          <w:b/>
          <w:bCs/>
          <w:color w:val="2E5C8A"/>
          <w:sz w:val="23"/>
          <w:szCs w:val="23"/>
        </w:rPr>
        <w:t xml:space="preserve">11.2 Boundary Rules</w:t>
      </w:r>
    </w:p>
    <w:p>
      <w:pPr>
        <w:spacing w:after="120" w:before="60" w:line="276"/>
        <w:jc w:val="both"/>
      </w:pPr>
      <w:r>
        <w:rPr>
          <w:rFonts w:ascii="Calibri" w:cs="Calibri" w:eastAsia="Calibri" w:hAnsi="Calibri"/>
          <w:b w:val="false"/>
          <w:bCs w:val="false"/>
          <w:color w:val="1A1A1A"/>
          <w:sz w:val="20"/>
          <w:szCs w:val="20"/>
        </w:rPr>
        <w:t xml:space="preserve">Enforced by </w:t>
      </w:r>
      <w:r>
        <w:rPr>
          <w:rFonts w:ascii="Consolas" w:cs="Consolas" w:eastAsia="Consolas" w:hAnsi="Consolas"/>
          <w:b w:val="false"/>
          <w:bCs w:val="false"/>
          <w:color w:val="8A2E2E"/>
          <w:sz w:val="17"/>
          <w:szCs w:val="17"/>
          <w:shd w:fill="F1F1F1" w:color="auto" w:val="clear"/>
        </w:rPr>
        <w:t xml:space="preserve">eslint-plugin-boundaries</w:t>
      </w:r>
      <w:r>
        <w:rPr>
          <w:rFonts w:ascii="Calibri" w:cs="Calibri" w:eastAsia="Calibri" w:hAnsi="Calibri"/>
          <w:b w:val="false"/>
          <w:bCs w:val="false"/>
          <w:color w:val="1A1A1A"/>
          <w:sz w:val="20"/>
          <w:szCs w:val="20"/>
        </w:rPr>
        <w:t xml:space="preserve"> at build time:</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A feature slice may import from </w:t>
      </w:r>
      <w:r>
        <w:rPr>
          <w:rFonts w:ascii="Consolas" w:cs="Consolas" w:eastAsia="Consolas" w:hAnsi="Consolas"/>
          <w:b w:val="false"/>
          <w:bCs w:val="false"/>
          <w:color w:val="8A2E2E"/>
          <w:sz w:val="17"/>
          <w:szCs w:val="17"/>
          <w:shd w:fill="F1F1F1" w:color="auto" w:val="clear"/>
        </w:rPr>
        <w:t xml:space="preserve">shared/</w:t>
      </w:r>
      <w:r>
        <w:rPr>
          <w:rFonts w:ascii="Calibri" w:cs="Calibri" w:eastAsia="Calibri" w:hAnsi="Calibri"/>
          <w:b w:val="false"/>
          <w:bCs w:val="false"/>
          <w:color w:val="1A1A1A"/>
          <w:sz w:val="20"/>
          <w:szCs w:val="20"/>
        </w:rPr>
        <w:t xml:space="preserve"> and from its own internals.</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A feature slice may </w:t>
      </w:r>
      <w:r>
        <w:rPr>
          <w:rFonts w:ascii="Calibri" w:cs="Calibri" w:eastAsia="Calibri" w:hAnsi="Calibri"/>
          <w:b/>
          <w:bCs/>
          <w:color w:val="1A1A1A"/>
          <w:sz w:val="20"/>
          <w:szCs w:val="20"/>
        </w:rPr>
        <w:t xml:space="preserve">not</w:t>
      </w:r>
      <w:r>
        <w:rPr>
          <w:rFonts w:ascii="Calibri" w:cs="Calibri" w:eastAsia="Calibri" w:hAnsi="Calibri"/>
          <w:b w:val="false"/>
          <w:bCs w:val="false"/>
          <w:color w:val="1A1A1A"/>
          <w:sz w:val="20"/>
          <w:szCs w:val="20"/>
        </w:rPr>
        <w:t xml:space="preserve"> import from another feature slice's internals. Cross-slice communication occurs through route state, the scenario store, or </w:t>
      </w:r>
      <w:r>
        <w:rPr>
          <w:rFonts w:ascii="Consolas" w:cs="Consolas" w:eastAsia="Consolas" w:hAnsi="Consolas"/>
          <w:b w:val="false"/>
          <w:bCs w:val="false"/>
          <w:color w:val="8A2E2E"/>
          <w:sz w:val="17"/>
          <w:szCs w:val="17"/>
          <w:shd w:fill="F1F1F1" w:color="auto" w:val="clear"/>
        </w:rPr>
        <w:t xml:space="preserve">shared/</w:t>
      </w:r>
      <w:r>
        <w:rPr>
          <w:rFonts w:ascii="Calibri" w:cs="Calibri" w:eastAsia="Calibri" w:hAnsi="Calibri"/>
          <w:b w:val="false"/>
          <w:bCs w:val="false"/>
          <w:color w:val="1A1A1A"/>
          <w:sz w:val="20"/>
          <w:szCs w:val="20"/>
        </w:rPr>
        <w:t xml:space="preserve">.</w:t>
      </w:r>
    </w:p>
    <w:p>
      <w:pPr>
        <w:pStyle w:val="ListParagraph"/>
        <w:numPr>
          <w:ilvl w:val="0"/>
          <w:numId w:val="1"/>
        </w:numPr>
        <w:spacing w:after="40" w:before="40" w:line="264"/>
      </w:pPr>
      <w:r>
        <w:rPr>
          <w:rFonts w:ascii="Consolas" w:cs="Consolas" w:eastAsia="Consolas" w:hAnsi="Consolas"/>
          <w:b w:val="false"/>
          <w:bCs w:val="false"/>
          <w:color w:val="8A2E2E"/>
          <w:sz w:val="17"/>
          <w:szCs w:val="17"/>
          <w:shd w:fill="F1F1F1" w:color="auto" w:val="clear"/>
        </w:rPr>
        <w:t xml:space="preserve">shared/</w:t>
      </w:r>
      <w:r>
        <w:rPr>
          <w:rFonts w:ascii="Calibri" w:cs="Calibri" w:eastAsia="Calibri" w:hAnsi="Calibri"/>
          <w:b w:val="false"/>
          <w:bCs w:val="false"/>
          <w:color w:val="1A1A1A"/>
          <w:sz w:val="20"/>
          <w:szCs w:val="20"/>
        </w:rPr>
        <w:t xml:space="preserve"> may not import from any feature slice.</w:t>
      </w:r>
    </w:p>
    <w:p>
      <w:pPr>
        <w:pStyle w:val="ListParagraph"/>
        <w:numPr>
          <w:ilvl w:val="0"/>
          <w:numId w:val="1"/>
        </w:numPr>
        <w:spacing w:after="40" w:before="40" w:line="264"/>
      </w:pPr>
      <w:r>
        <w:rPr>
          <w:rFonts w:ascii="Consolas" w:cs="Consolas" w:eastAsia="Consolas" w:hAnsi="Consolas"/>
          <w:b w:val="false"/>
          <w:bCs w:val="false"/>
          <w:color w:val="8A2E2E"/>
          <w:sz w:val="17"/>
          <w:szCs w:val="17"/>
          <w:shd w:fill="F1F1F1" w:color="auto" w:val="clear"/>
        </w:rPr>
        <w:t xml:space="preserve">app/</w:t>
      </w:r>
      <w:r>
        <w:rPr>
          <w:rFonts w:ascii="Calibri" w:cs="Calibri" w:eastAsia="Calibri" w:hAnsi="Calibri"/>
          <w:b w:val="false"/>
          <w:bCs w:val="false"/>
          <w:color w:val="1A1A1A"/>
          <w:sz w:val="20"/>
          <w:szCs w:val="20"/>
        </w:rPr>
        <w:t xml:space="preserve"> may import from anywhere; nothing may import from </w:t>
      </w:r>
      <w:r>
        <w:rPr>
          <w:rFonts w:ascii="Consolas" w:cs="Consolas" w:eastAsia="Consolas" w:hAnsi="Consolas"/>
          <w:b w:val="false"/>
          <w:bCs w:val="false"/>
          <w:color w:val="8A2E2E"/>
          <w:sz w:val="17"/>
          <w:szCs w:val="17"/>
          <w:shd w:fill="F1F1F1" w:color="auto" w:val="clear"/>
        </w:rPr>
        <w:t xml:space="preserve">app/</w:t>
      </w:r>
      <w:r>
        <w:rPr>
          <w:rFonts w:ascii="Calibri" w:cs="Calibri" w:eastAsia="Calibri" w:hAnsi="Calibri"/>
          <w:b w:val="false"/>
          <w:bCs w:val="false"/>
          <w:color w:val="1A1A1A"/>
          <w:sz w:val="20"/>
          <w:szCs w:val="20"/>
        </w:rPr>
        <w:t xml:space="preserve">.</w:t>
      </w:r>
    </w:p>
    <w:p>
      <w:pPr>
        <w:spacing w:after="120" w:before="60" w:line="276"/>
        <w:jc w:val="both"/>
      </w:pPr>
      <w:r>
        <w:rPr>
          <w:rFonts w:ascii="Calibri" w:cs="Calibri" w:eastAsia="Calibri" w:hAnsi="Calibri"/>
          <w:b w:val="false"/>
          <w:bCs w:val="false"/>
          <w:color w:val="1A1A1A"/>
          <w:sz w:val="20"/>
          <w:szCs w:val="20"/>
        </w:rPr>
        <w:t xml:space="preserve">These rules give each slice a single public surface and make ownership boundaries explicit and mechanically checked, which is the property micro-frontends are usually adopted to obtain.</w:t>
      </w:r>
    </w:p>
    <w:p>
      <w:pPr>
        <w:pStyle w:val="Heading3"/>
        <w:keepNext/>
        <w:spacing w:after="90" w:before="260"/>
      </w:pPr>
      <w:r>
        <w:rPr>
          <w:rFonts w:ascii="Calibri" w:cs="Calibri" w:eastAsia="Calibri" w:hAnsi="Calibri"/>
          <w:b/>
          <w:bCs/>
          <w:color w:val="2E5C8A"/>
          <w:sz w:val="23"/>
          <w:szCs w:val="23"/>
        </w:rPr>
        <w:t xml:space="preserve">11.3 State Management</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3703"/>
        <w:gridCol w:w="2454"/>
        <w:gridCol w:w="3733"/>
      </w:tblGrid>
      <w:tr>
        <w:trPr>
          <w:tblHeader/>
        </w:trPr>
        <w:tc>
          <w:tcPr>
            <w:tcW w:type="dxa" w:w="3703"/>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State class</w:t>
            </w:r>
          </w:p>
        </w:tc>
        <w:tc>
          <w:tcPr>
            <w:tcW w:type="dxa" w:w="2454"/>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Mechanism</w:t>
            </w:r>
          </w:p>
        </w:tc>
        <w:tc>
          <w:tcPr>
            <w:tcW w:type="dxa" w:w="3733"/>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Rationale</w:t>
            </w:r>
          </w:p>
        </w:tc>
      </w:tr>
      <w:tr>
        <w:tc>
          <w:tcPr>
            <w:tcW w:type="dxa" w:w="370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Server state — reference data, calculation results, run history</w:t>
            </w:r>
          </w:p>
        </w:tc>
        <w:tc>
          <w:tcPr>
            <w:tcW w:type="dxa" w:w="245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TanStack Query</w:t>
            </w:r>
          </w:p>
        </w:tc>
        <w:tc>
          <w:tcPr>
            <w:tcW w:type="dxa" w:w="373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Caching, deduplication, stale-while-revalidate</w:t>
            </w:r>
          </w:p>
        </w:tc>
      </w:tr>
      <w:tr>
        <w:tc>
          <w:tcPr>
            <w:tcW w:type="dxa" w:w="370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Scenario draft — unsaved edits in the builder</w:t>
            </w:r>
          </w:p>
        </w:tc>
        <w:tc>
          <w:tcPr>
            <w:tcW w:type="dxa" w:w="245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Zustand store</w:t>
            </w:r>
          </w:p>
        </w:tc>
        <w:tc>
          <w:tcPr>
            <w:tcW w:type="dxa" w:w="373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Cross-slice access without prop drilling; simple, no boilerplate</w:t>
            </w:r>
          </w:p>
        </w:tc>
      </w:tr>
      <w:tr>
        <w:tc>
          <w:tcPr>
            <w:tcW w:type="dxa" w:w="370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Ephemeral UI — modals, accordions, tab selection</w:t>
            </w:r>
          </w:p>
        </w:tc>
        <w:tc>
          <w:tcPr>
            <w:tcW w:type="dxa" w:w="245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Component local state</w:t>
            </w:r>
          </w:p>
        </w:tc>
        <w:tc>
          <w:tcPr>
            <w:tcW w:type="dxa" w:w="373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No global coordination required</w:t>
            </w:r>
          </w:p>
        </w:tc>
      </w:tr>
      <w:tr>
        <w:tc>
          <w:tcPr>
            <w:tcW w:type="dxa" w:w="370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URL state — active scenario, active tab, selected markets</w:t>
            </w:r>
          </w:p>
        </w:tc>
        <w:tc>
          <w:tcPr>
            <w:tcW w:type="dxa" w:w="245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React Router search params</w:t>
            </w:r>
          </w:p>
        </w:tc>
        <w:tc>
          <w:tcPr>
            <w:tcW w:type="dxa" w:w="373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Deep-linkable and shareable</w:t>
            </w:r>
          </w:p>
        </w:tc>
      </w:tr>
    </w:tbl>
    <w:p>
      <w:pPr>
        <w:spacing w:after="160"/>
      </w:pPr>
    </w:p>
    <w:p>
      <w:pPr>
        <w:pStyle w:val="Heading3"/>
        <w:keepNext/>
        <w:spacing w:after="90" w:before="260"/>
      </w:pPr>
      <w:r>
        <w:rPr>
          <w:rFonts w:ascii="Calibri" w:cs="Calibri" w:eastAsia="Calibri" w:hAnsi="Calibri"/>
          <w:b/>
          <w:bCs/>
          <w:color w:val="2E5C8A"/>
          <w:sz w:val="23"/>
          <w:szCs w:val="23"/>
        </w:rPr>
        <w:t xml:space="preserve">11.4 Interactive Recalculation</w:t>
      </w:r>
    </w:p>
    <w:p>
      <w:pPr>
        <w:spacing w:after="120" w:before="60" w:line="276"/>
        <w:jc w:val="both"/>
      </w:pPr>
      <w:r>
        <w:rPr>
          <w:rFonts w:ascii="Calibri" w:cs="Calibri" w:eastAsia="Calibri" w:hAnsi="Calibri"/>
          <w:b w:val="false"/>
          <w:bCs w:val="false"/>
          <w:color w:val="1A1A1A"/>
          <w:sz w:val="20"/>
          <w:szCs w:val="20"/>
        </w:rPr>
        <w:t xml:space="preserve">Slider and numeric inputs drive recalculation through debounced calls to </w:t>
      </w:r>
      <w:r>
        <w:rPr>
          <w:rFonts w:ascii="Consolas" w:cs="Consolas" w:eastAsia="Consolas" w:hAnsi="Consolas"/>
          <w:b w:val="false"/>
          <w:bCs w:val="false"/>
          <w:color w:val="8A2E2E"/>
          <w:sz w:val="17"/>
          <w:szCs w:val="17"/>
          <w:shd w:fill="F1F1F1" w:color="auto" w:val="clear"/>
        </w:rPr>
        <w:t xml:space="preserve">POST /calculate</w:t>
      </w:r>
      <w:r>
        <w:rPr>
          <w:rFonts w:ascii="Calibri" w:cs="Calibri" w:eastAsia="Calibri" w:hAnsi="Calibri"/>
          <w:b w:val="false"/>
          <w:bCs w:val="false"/>
          <w:color w:val="1A1A1A"/>
          <w:sz w:val="20"/>
          <w:szCs w:val="20"/>
        </w:rPr>
        <w:t xml:space="preserve"> with a 250 ms trailing debounce, request cancellation on supersession, and optimistic retention of the previous result while the request is in flight.</w:t>
      </w:r>
    </w:p>
    <w:p>
      <w:pPr>
        <w:spacing w:after="120" w:before="60" w:line="276"/>
        <w:jc w:val="both"/>
      </w:pPr>
      <w:r>
        <w:rPr>
          <w:rFonts w:ascii="Calibri" w:cs="Calibri" w:eastAsia="Calibri" w:hAnsi="Calibri"/>
          <w:b w:val="false"/>
          <w:bCs w:val="false"/>
          <w:color w:val="1A1A1A"/>
          <w:sz w:val="20"/>
          <w:szCs w:val="20"/>
        </w:rPr>
        <w:t xml:space="preserve">Server-side calculation is retained as the single source of truth. Mirroring the engine in TypeScript would deliver lower latency at the cost of two implementations of the same arithmetic, which will diverge. The 200 ms latency budget on </w:t>
      </w:r>
      <w:r>
        <w:rPr>
          <w:rFonts w:ascii="Consolas" w:cs="Consolas" w:eastAsia="Consolas" w:hAnsi="Consolas"/>
          <w:b w:val="false"/>
          <w:bCs w:val="false"/>
          <w:color w:val="8A2E2E"/>
          <w:sz w:val="17"/>
          <w:szCs w:val="17"/>
          <w:shd w:fill="F1F1F1" w:color="auto" w:val="clear"/>
        </w:rPr>
        <w:t xml:space="preserve">/calculate</w:t>
      </w:r>
      <w:r>
        <w:rPr>
          <w:rFonts w:ascii="Calibri" w:cs="Calibri" w:eastAsia="Calibri" w:hAnsi="Calibri"/>
          <w:b w:val="false"/>
          <w:bCs w:val="false"/>
          <w:color w:val="1A1A1A"/>
          <w:sz w:val="20"/>
          <w:szCs w:val="20"/>
        </w:rPr>
        <w:t xml:space="preserve"> exists specifically to make the server round trip fast enough that a client-side mirror is unnecessary.</w:t>
      </w:r>
    </w:p>
    <w:p>
      <w:pPr>
        <w:pStyle w:val="Heading3"/>
        <w:keepNext/>
        <w:spacing w:after="90" w:before="260"/>
      </w:pPr>
      <w:r>
        <w:rPr>
          <w:rFonts w:ascii="Calibri" w:cs="Calibri" w:eastAsia="Calibri" w:hAnsi="Calibri"/>
          <w:b/>
          <w:bCs/>
          <w:color w:val="2E5C8A"/>
          <w:sz w:val="23"/>
          <w:szCs w:val="23"/>
        </w:rPr>
        <w:t xml:space="preserve">11.5 Principal Visualisations</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2221"/>
        <w:gridCol w:w="1948"/>
        <w:gridCol w:w="2263"/>
        <w:gridCol w:w="3458"/>
      </w:tblGrid>
      <w:tr>
        <w:trPr>
          <w:tblHeader/>
        </w:trPr>
        <w:tc>
          <w:tcPr>
            <w:tcW w:type="dxa" w:w="2221"/>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Visualisation</w:t>
            </w:r>
          </w:p>
        </w:tc>
        <w:tc>
          <w:tcPr>
            <w:tcW w:type="dxa" w:w="1948"/>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Feature</w:t>
            </w:r>
          </w:p>
        </w:tc>
        <w:tc>
          <w:tcPr>
            <w:tcW w:type="dxa" w:w="2263"/>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Library</w:t>
            </w:r>
          </w:p>
        </w:tc>
        <w:tc>
          <w:tcPr>
            <w:tcW w:type="dxa" w:w="3458"/>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Purpose</w:t>
            </w:r>
          </w:p>
        </w:tc>
      </w:tr>
      <w:tr>
        <w:tc>
          <w:tcPr>
            <w:tcW w:type="dxa" w:w="2221"/>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Patient funnel</w:t>
            </w:r>
          </w:p>
        </w:tc>
        <w:tc>
          <w:tcPr>
            <w:tcW w:type="dxa" w:w="194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population-funnel</w:t>
            </w:r>
          </w:p>
        </w:tc>
        <w:tc>
          <w:tcPr>
            <w:tcW w:type="dxa" w:w="226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Recharts (custom funnel)</w:t>
            </w:r>
          </w:p>
        </w:tc>
        <w:tc>
          <w:tcPr>
            <w:tcW w:type="dxa" w:w="345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Stage-by-stage narrowing with factor and provenance on hover</w:t>
            </w:r>
          </w:p>
        </w:tc>
      </w:tr>
      <w:tr>
        <w:tc>
          <w:tcPr>
            <w:tcW w:type="dxa" w:w="2221"/>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Impact by year</w:t>
            </w:r>
          </w:p>
        </w:tc>
        <w:tc>
          <w:tcPr>
            <w:tcW w:type="dxa" w:w="194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results-dashboard</w:t>
            </w:r>
          </w:p>
        </w:tc>
        <w:tc>
          <w:tcPr>
            <w:tcW w:type="dxa" w:w="226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Recharts stacked bar</w:t>
            </w:r>
          </w:p>
        </w:tc>
        <w:tc>
          <w:tcPr>
            <w:tcW w:type="dxa" w:w="345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World-without, incremental, world-with per year</w:t>
            </w:r>
          </w:p>
        </w:tc>
      </w:tr>
      <w:tr>
        <w:tc>
          <w:tcPr>
            <w:tcW w:type="dxa" w:w="2221"/>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Cross-market choropleth</w:t>
            </w:r>
          </w:p>
        </w:tc>
        <w:tc>
          <w:tcPr>
            <w:tcW w:type="dxa" w:w="194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results-dashboard</w:t>
            </w:r>
          </w:p>
        </w:tc>
        <w:tc>
          <w:tcPr>
            <w:tcW w:type="dxa" w:w="226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Plotly</w:t>
            </w:r>
          </w:p>
        </w:tc>
        <w:tc>
          <w:tcPr>
            <w:tcW w:type="dxa" w:w="345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Budget impact or affordability ratio by market</w:t>
            </w:r>
          </w:p>
        </w:tc>
      </w:tr>
      <w:tr>
        <w:tc>
          <w:tcPr>
            <w:tcW w:type="dxa" w:w="2221"/>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Affordability gauge</w:t>
            </w:r>
          </w:p>
        </w:tc>
        <w:tc>
          <w:tcPr>
            <w:tcW w:type="dxa" w:w="194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affordability</w:t>
            </w:r>
          </w:p>
        </w:tc>
        <w:tc>
          <w:tcPr>
            <w:tcW w:type="dxa" w:w="226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Recharts radial</w:t>
            </w:r>
          </w:p>
        </w:tc>
        <w:tc>
          <w:tcPr>
            <w:tcW w:type="dxa" w:w="345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Position against threshold bands</w:t>
            </w:r>
          </w:p>
        </w:tc>
      </w:tr>
      <w:tr>
        <w:tc>
          <w:tcPr>
            <w:tcW w:type="dxa" w:w="2221"/>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Price corridor</w:t>
            </w:r>
          </w:p>
        </w:tc>
        <w:tc>
          <w:tcPr>
            <w:tcW w:type="dxa" w:w="194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price-solver</w:t>
            </w:r>
          </w:p>
        </w:tc>
        <w:tc>
          <w:tcPr>
            <w:tcW w:type="dxa" w:w="226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Recharts horizontal bar</w:t>
            </w:r>
          </w:p>
        </w:tc>
        <w:tc>
          <w:tcPr>
            <w:tcW w:type="dxa" w:w="345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Maximum price by market, binding market highlighted</w:t>
            </w:r>
          </w:p>
        </w:tc>
      </w:tr>
      <w:tr>
        <w:tc>
          <w:tcPr>
            <w:tcW w:type="dxa" w:w="2221"/>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Tornado</w:t>
            </w:r>
          </w:p>
        </w:tc>
        <w:tc>
          <w:tcPr>
            <w:tcW w:type="dxa" w:w="194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sensitivity</w:t>
            </w:r>
          </w:p>
        </w:tc>
        <w:tc>
          <w:tcPr>
            <w:tcW w:type="dxa" w:w="226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Plotly</w:t>
            </w:r>
          </w:p>
        </w:tc>
        <w:tc>
          <w:tcPr>
            <w:tcW w:type="dxa" w:w="345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Inputs ranked by absolute swing</w:t>
            </w:r>
          </w:p>
        </w:tc>
      </w:tr>
      <w:tr>
        <w:tc>
          <w:tcPr>
            <w:tcW w:type="dxa" w:w="2221"/>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PSA distribution</w:t>
            </w:r>
          </w:p>
        </w:tc>
        <w:tc>
          <w:tcPr>
            <w:tcW w:type="dxa" w:w="194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sensitivity</w:t>
            </w:r>
          </w:p>
        </w:tc>
        <w:tc>
          <w:tcPr>
            <w:tcW w:type="dxa" w:w="226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Plotly histogram + CDF</w:t>
            </w:r>
          </w:p>
        </w:tc>
        <w:tc>
          <w:tcPr>
            <w:tcW w:type="dxa" w:w="345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Credible interval and threshold-exceedance probability</w:t>
            </w:r>
          </w:p>
        </w:tc>
      </w:tr>
      <w:tr>
        <w:tc>
          <w:tcPr>
            <w:tcW w:type="dxa" w:w="2221"/>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Scenario diff</w:t>
            </w:r>
          </w:p>
        </w:tc>
        <w:tc>
          <w:tcPr>
            <w:tcW w:type="dxa" w:w="194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scenario-compare</w:t>
            </w:r>
          </w:p>
        </w:tc>
        <w:tc>
          <w:tcPr>
            <w:tcW w:type="dxa" w:w="226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Recharts grouped bar</w:t>
            </w:r>
          </w:p>
        </w:tc>
        <w:tc>
          <w:tcPr>
            <w:tcW w:type="dxa" w:w="345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Side-by-side across all output dimensions</w:t>
            </w:r>
          </w:p>
        </w:tc>
      </w:tr>
    </w:tbl>
    <w:p>
      <w:pPr>
        <w:spacing w:after="160"/>
      </w:pPr>
    </w:p>
    <w:p>
      <w:pPr>
        <w:pBdr>
          <w:bottom w:val="single" w:color="C6CFDA" w:sz="4" w:space="2"/>
        </w:pBdr>
        <w:spacing w:after="160" w:before="60"/>
      </w:pPr>
    </w:p>
    <w:p>
      <w:pPr>
        <w:pStyle w:val="Heading2"/>
        <w:keepNext/>
        <w:pBdr>
          <w:bottom w:val="single" w:color="C6CFDA" w:sz="6" w:space="6"/>
        </w:pBdr>
        <w:spacing w:after="140" w:before="360"/>
      </w:pPr>
      <w:r>
        <w:rPr>
          <w:rFonts w:ascii="Calibri" w:cs="Calibri" w:eastAsia="Calibri" w:hAnsi="Calibri"/>
          <w:b/>
          <w:bCs/>
          <w:color w:val="1F3864"/>
          <w:sz w:val="28"/>
          <w:szCs w:val="28"/>
        </w:rPr>
        <w:t xml:space="preserve">12. AI and Retrieval Subsystem</w:t>
      </w:r>
    </w:p>
    <w:p>
      <w:pPr>
        <w:pStyle w:val="Heading3"/>
        <w:keepNext/>
        <w:spacing w:after="90" w:before="260"/>
      </w:pPr>
      <w:r>
        <w:rPr>
          <w:rFonts w:ascii="Calibri" w:cs="Calibri" w:eastAsia="Calibri" w:hAnsi="Calibri"/>
          <w:b/>
          <w:bCs/>
          <w:color w:val="2E5C8A"/>
          <w:sz w:val="23"/>
          <w:szCs w:val="23"/>
        </w:rPr>
        <w:t xml:space="preserve">12.1 Purpose and Boundary</w:t>
      </w:r>
    </w:p>
    <w:p>
      <w:pPr>
        <w:spacing w:after="120" w:before="60" w:line="276"/>
        <w:jc w:val="both"/>
      </w:pPr>
      <w:r>
        <w:rPr>
          <w:rFonts w:ascii="Calibri" w:cs="Calibri" w:eastAsia="Calibri" w:hAnsi="Calibri"/>
          <w:b w:val="false"/>
          <w:bCs w:val="false"/>
          <w:color w:val="1A1A1A"/>
          <w:sz w:val="20"/>
          <w:szCs w:val="20"/>
        </w:rPr>
        <w:t xml:space="preserve">The language model composes narrative and answers methodological questions. It does </w:t>
      </w:r>
      <w:r>
        <w:rPr>
          <w:rFonts w:ascii="Calibri" w:cs="Calibri" w:eastAsia="Calibri" w:hAnsi="Calibri"/>
          <w:b/>
          <w:bCs/>
          <w:color w:val="1A1A1A"/>
          <w:sz w:val="20"/>
          <w:szCs w:val="20"/>
        </w:rPr>
        <w:t xml:space="preserve">not</w:t>
      </w:r>
      <w:r>
        <w:rPr>
          <w:rFonts w:ascii="Calibri" w:cs="Calibri" w:eastAsia="Calibri" w:hAnsi="Calibri"/>
          <w:b w:val="false"/>
          <w:bCs w:val="false"/>
          <w:color w:val="1A1A1A"/>
          <w:sz w:val="20"/>
          <w:szCs w:val="20"/>
        </w:rPr>
        <w:t xml:space="preserve"> produce numbers. Every quantitative value in generated text originates from the deterministic engine and is injected into the prompt as structured context. The model is instructed to reproduce supplied figures verbatim and is prohibited from computing, inferring or estimating any value.</w:t>
      </w:r>
    </w:p>
    <w:p>
      <w:pPr>
        <w:spacing w:after="120" w:before="60" w:line="276"/>
        <w:jc w:val="both"/>
      </w:pPr>
      <w:r>
        <w:rPr>
          <w:rFonts w:ascii="Calibri" w:cs="Calibri" w:eastAsia="Calibri" w:hAnsi="Calibri"/>
          <w:b w:val="false"/>
          <w:bCs w:val="false"/>
          <w:color w:val="1A1A1A"/>
          <w:sz w:val="20"/>
          <w:szCs w:val="20"/>
        </w:rPr>
        <w:t xml:space="preserve">This boundary is non-negotiable: the credibility of a budget impact estimate depends entirely on its arithmetic being traceable, and a generated number is by definition untraceable.</w:t>
      </w:r>
    </w:p>
    <w:p>
      <w:pPr>
        <w:pStyle w:val="Heading3"/>
        <w:keepNext/>
        <w:spacing w:after="90" w:before="260"/>
      </w:pPr>
      <w:r>
        <w:rPr>
          <w:rFonts w:ascii="Calibri" w:cs="Calibri" w:eastAsia="Calibri" w:hAnsi="Calibri"/>
          <w:b/>
          <w:bCs/>
          <w:color w:val="2E5C8A"/>
          <w:sz w:val="23"/>
          <w:szCs w:val="23"/>
        </w:rPr>
        <w:t xml:space="preserve">12.2 Corpus</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4778"/>
        <w:gridCol w:w="1540"/>
        <w:gridCol w:w="3572"/>
      </w:tblGrid>
      <w:tr>
        <w:trPr>
          <w:tblHeader/>
        </w:trPr>
        <w:tc>
          <w:tcPr>
            <w:tcW w:type="dxa" w:w="4778"/>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Document</w:t>
            </w:r>
          </w:p>
        </w:tc>
        <w:tc>
          <w:tcPr>
            <w:tcW w:type="dxa" w:w="1540"/>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Body</w:t>
            </w:r>
          </w:p>
        </w:tc>
        <w:tc>
          <w:tcPr>
            <w:tcW w:type="dxa" w:w="3572"/>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Role</w:t>
            </w:r>
          </w:p>
        </w:tc>
      </w:tr>
      <w:tr>
        <w:tc>
          <w:tcPr>
            <w:tcW w:type="dxa" w:w="477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Principles of Good Practice for Budget Impact Analysis (Task Force report)</w:t>
            </w:r>
          </w:p>
        </w:tc>
        <w:tc>
          <w:tcPr>
            <w:tcW w:type="dxa" w:w="154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ISPOR</w:t>
            </w:r>
          </w:p>
        </w:tc>
        <w:tc>
          <w:tcPr>
            <w:tcW w:type="dxa" w:w="357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Foundational methodology</w:t>
            </w:r>
          </w:p>
        </w:tc>
      </w:tr>
      <w:tr>
        <w:tc>
          <w:tcPr>
            <w:tcW w:type="dxa" w:w="477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Budget Impact Analysis — Principles of Good Practice II (2012 Task Force)</w:t>
            </w:r>
          </w:p>
        </w:tc>
        <w:tc>
          <w:tcPr>
            <w:tcW w:type="dxa" w:w="154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ISPOR</w:t>
            </w:r>
          </w:p>
        </w:tc>
        <w:tc>
          <w:tcPr>
            <w:tcW w:type="dxa" w:w="3572"/>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Updated methods and reporting guidance</w:t>
            </w:r>
          </w:p>
        </w:tc>
      </w:tr>
      <w:tr>
        <w:tc>
          <w:tcPr>
            <w:tcW w:type="dxa" w:w="477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Budget Impact Analysis editorial (2014)</w:t>
            </w:r>
          </w:p>
        </w:tc>
        <w:tc>
          <w:tcPr>
            <w:tcW w:type="dxa" w:w="154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ISPOR</w:t>
            </w:r>
          </w:p>
        </w:tc>
        <w:tc>
          <w:tcPr>
            <w:tcW w:type="dxa" w:w="357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Interpretation and commentary</w:t>
            </w:r>
          </w:p>
        </w:tc>
      </w:tr>
      <w:tr>
        <w:tc>
          <w:tcPr>
            <w:tcW w:type="dxa" w:w="477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Company budget impact analysis submission template</w:t>
            </w:r>
          </w:p>
        </w:tc>
        <w:tc>
          <w:tcPr>
            <w:tcW w:type="dxa" w:w="154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NICE</w:t>
            </w:r>
          </w:p>
        </w:tc>
        <w:tc>
          <w:tcPr>
            <w:tcW w:type="dxa" w:w="3572"/>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Submission structure and required fields</w:t>
            </w:r>
          </w:p>
        </w:tc>
      </w:tr>
      <w:tr>
        <w:tc>
          <w:tcPr>
            <w:tcW w:type="dxa" w:w="477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Budget impact test procedure</w:t>
            </w:r>
          </w:p>
        </w:tc>
        <w:tc>
          <w:tcPr>
            <w:tcW w:type="dxa" w:w="154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NICE</w:t>
            </w:r>
          </w:p>
        </w:tc>
        <w:tc>
          <w:tcPr>
            <w:tcW w:type="dxa" w:w="357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Affordability threshold mechanics</w:t>
            </w:r>
          </w:p>
        </w:tc>
      </w:tr>
      <w:tr>
        <w:tc>
          <w:tcPr>
            <w:tcW w:type="dxa" w:w="477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Budget impact analysis teaching materials</w:t>
            </w:r>
          </w:p>
        </w:tc>
        <w:tc>
          <w:tcPr>
            <w:tcW w:type="dxa" w:w="154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WHO</w:t>
            </w:r>
          </w:p>
        </w:tc>
        <w:tc>
          <w:tcPr>
            <w:tcW w:type="dxa" w:w="3572"/>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Methodological instruction</w:t>
            </w:r>
          </w:p>
        </w:tc>
      </w:tr>
    </w:tbl>
    <w:p>
      <w:pPr>
        <w:spacing w:after="160"/>
      </w:pPr>
    </w:p>
    <w:p>
      <w:pPr>
        <w:pStyle w:val="Heading3"/>
        <w:keepNext/>
        <w:spacing w:after="90" w:before="260"/>
      </w:pPr>
      <w:r>
        <w:rPr>
          <w:rFonts w:ascii="Calibri" w:cs="Calibri" w:eastAsia="Calibri" w:hAnsi="Calibri"/>
          <w:b/>
          <w:bCs/>
          <w:color w:val="2E5C8A"/>
          <w:sz w:val="23"/>
          <w:szCs w:val="23"/>
        </w:rPr>
        <w:t xml:space="preserve">12.3 Retrieval Pipeline</w:t>
      </w:r>
    </w:p>
    <w:p>
      <w:pPr>
        <w:pBdr>
          <w:left w:val="single" w:color="2E5C8A" w:sz="12" w:space="8"/>
          <w:right w:val="single" w:color="D3DAE3" w:sz="2" w:space="4"/>
        </w:pBdr>
        <w:shd w:fill="F4F6F8" w:color="auto" w:val="clear"/>
        <w:spacing w:after="0" w:before="100" w:line="220"/>
        <w:ind w:left="120"/>
      </w:pPr>
      <w:r>
        <w:rPr>
          <w:rFonts w:ascii="Consolas" w:cs="Consolas" w:eastAsia="Consolas" w:hAnsi="Consolas"/>
          <w:color w:val="24292E"/>
          <w:sz w:val="15"/>
          <w:szCs w:val="15"/>
        </w:rPr>
        <w:t xml:space="preserve">PDF/DOCX  →  text extraction  →  section-aware chunking (800 tokens, 100 overlap)</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embedding (BAAI/bge-small-en-v1.5, 384-dim)</w:t>
      </w:r>
    </w:p>
    <w:p>
      <w:pPr>
        <w:pBdr>
          <w:left w:val="single" w:color="2E5C8A" w:sz="12" w:space="8"/>
          <w:right w:val="single" w:color="D3DAE3" w:sz="2" w:space="4"/>
        </w:pBdr>
        <w:shd w:fill="F4F6F8" w:color="auto" w:val="clear"/>
        <w:spacing w:after="140" w:before="0" w:line="220"/>
        <w:ind w:left="120"/>
      </w:pPr>
      <w:r>
        <w:rPr>
          <w:rFonts w:ascii="Consolas" w:cs="Consolas" w:eastAsia="Consolas" w:hAnsi="Consolas"/>
          <w:color w:val="24292E"/>
          <w:sz w:val="15"/>
          <w:szCs w:val="15"/>
        </w:rPr>
        <w:t xml:space="preserve">          →  pgvector storage with document, section and page metadata</w:t>
      </w:r>
    </w:p>
    <w:p>
      <w:pPr>
        <w:spacing w:after="120" w:before="60" w:line="276"/>
        <w:jc w:val="both"/>
      </w:pPr>
      <w:r>
        <w:rPr>
          <w:rFonts w:ascii="Calibri" w:cs="Calibri" w:eastAsia="Calibri" w:hAnsi="Calibri"/>
          <w:b w:val="false"/>
          <w:bCs w:val="false"/>
          <w:color w:val="1A1A1A"/>
          <w:sz w:val="20"/>
          <w:szCs w:val="20"/>
        </w:rPr>
        <w:t xml:space="preserve">Query time: embed the query, retrieve the top </w:t>
      </w:r>
      <w:r>
        <w:rPr>
          <w:rFonts w:ascii="Consolas" w:cs="Consolas" w:eastAsia="Consolas" w:hAnsi="Consolas"/>
          <w:b w:val="false"/>
          <w:bCs w:val="false"/>
          <w:color w:val="8A2E2E"/>
          <w:sz w:val="17"/>
          <w:szCs w:val="17"/>
          <w:shd w:fill="F1F1F1" w:color="auto" w:val="clear"/>
        </w:rPr>
        <w:t xml:space="preserve">k</w:t>
      </w:r>
      <w:r>
        <w:rPr>
          <w:rFonts w:ascii="Calibri" w:cs="Calibri" w:eastAsia="Calibri" w:hAnsi="Calibri"/>
          <w:b w:val="false"/>
          <w:bCs w:val="false"/>
          <w:color w:val="1A1A1A"/>
          <w:sz w:val="20"/>
          <w:szCs w:val="20"/>
        </w:rPr>
        <w:t xml:space="preserve"> chunks by cosine similarity (default </w:t>
      </w:r>
      <w:r>
        <w:rPr>
          <w:rFonts w:ascii="Consolas" w:cs="Consolas" w:eastAsia="Consolas" w:hAnsi="Consolas"/>
          <w:b w:val="false"/>
          <w:bCs w:val="false"/>
          <w:color w:val="8A2E2E"/>
          <w:sz w:val="17"/>
          <w:szCs w:val="17"/>
          <w:shd w:fill="F1F1F1" w:color="auto" w:val="clear"/>
        </w:rPr>
        <w:t xml:space="preserve">k = 5</w:t>
      </w:r>
      <w:r>
        <w:rPr>
          <w:rFonts w:ascii="Calibri" w:cs="Calibri" w:eastAsia="Calibri" w:hAnsi="Calibri"/>
          <w:b w:val="false"/>
          <w:bCs w:val="false"/>
          <w:color w:val="1A1A1A"/>
          <w:sz w:val="20"/>
          <w:szCs w:val="20"/>
        </w:rPr>
        <w:t xml:space="preserve">), filter below a similarity floor of 0.35, and return chunks with their document title, section and page number.</w:t>
      </w:r>
    </w:p>
    <w:p>
      <w:pPr>
        <w:pStyle w:val="Heading3"/>
        <w:keepNext/>
        <w:spacing w:after="90" w:before="260"/>
      </w:pPr>
      <w:r>
        <w:rPr>
          <w:rFonts w:ascii="Calibri" w:cs="Calibri" w:eastAsia="Calibri" w:hAnsi="Calibri"/>
          <w:b/>
          <w:bCs/>
          <w:color w:val="2E5C8A"/>
          <w:sz w:val="23"/>
          <w:szCs w:val="23"/>
        </w:rPr>
        <w:t xml:space="preserve">12.4 Narrative Generation</w:t>
      </w:r>
    </w:p>
    <w:p>
      <w:pPr>
        <w:spacing w:after="120" w:before="60" w:line="276"/>
        <w:jc w:val="both"/>
      </w:pPr>
      <w:r>
        <w:rPr>
          <w:rFonts w:ascii="Calibri" w:cs="Calibri" w:eastAsia="Calibri" w:hAnsi="Calibri"/>
          <w:b w:val="false"/>
          <w:bCs w:val="false"/>
          <w:color w:val="1A1A1A"/>
          <w:sz w:val="20"/>
          <w:szCs w:val="20"/>
        </w:rPr>
        <w:t xml:space="preserve">The prompt is assembled from three parts: the retrieved guideline passages, the structured engine results, and a system instruction constraining the model to the supplied material. Output is a structured executive narrative covering the population basis, the incremental impact and its drivers, the affordability position, the dominant uncertainties as identified by the tornado, and the stated limitations — with inline citations to the retrieved passages.</w:t>
      </w:r>
    </w:p>
    <w:p>
      <w:pPr>
        <w:spacing w:after="120" w:before="60" w:line="276"/>
        <w:jc w:val="both"/>
      </w:pPr>
      <w:r>
        <w:rPr>
          <w:rFonts w:ascii="Calibri" w:cs="Calibri" w:eastAsia="Calibri" w:hAnsi="Calibri"/>
          <w:b w:val="false"/>
          <w:bCs w:val="false"/>
          <w:color w:val="1A1A1A"/>
          <w:sz w:val="20"/>
          <w:szCs w:val="20"/>
        </w:rPr>
        <w:t xml:space="preserve">Every generated narrative is stored against its run identifier, so the text and the numbers it describes remain bound together.</w:t>
      </w:r>
    </w:p>
    <w:p>
      <w:pPr>
        <w:pStyle w:val="Heading3"/>
        <w:keepNext/>
        <w:spacing w:after="90" w:before="260"/>
      </w:pPr>
      <w:r>
        <w:rPr>
          <w:rFonts w:ascii="Calibri" w:cs="Calibri" w:eastAsia="Calibri" w:hAnsi="Calibri"/>
          <w:b/>
          <w:bCs/>
          <w:color w:val="2E5C8A"/>
          <w:sz w:val="23"/>
          <w:szCs w:val="23"/>
        </w:rPr>
        <w:t xml:space="preserve">12.5 Copilot</w:t>
      </w:r>
    </w:p>
    <w:p>
      <w:pPr>
        <w:spacing w:after="120" w:before="60" w:line="276"/>
        <w:jc w:val="both"/>
      </w:pPr>
      <w:r>
        <w:rPr>
          <w:rFonts w:ascii="Calibri" w:cs="Calibri" w:eastAsia="Calibri" w:hAnsi="Calibri"/>
          <w:b w:val="false"/>
          <w:bCs w:val="false"/>
          <w:color w:val="1A1A1A"/>
          <w:sz w:val="20"/>
          <w:szCs w:val="20"/>
        </w:rPr>
        <w:t xml:space="preserve">A conversational surface over the same retrieval index, scoped to methodological questions ("how should source of business be handled under ISPOR guidance?") and to interpretation of the current scenario's results. It has read access to the active run's structured results and to the guideline index, and no ability to modify a scenario.</w:t>
      </w:r>
    </w:p>
    <w:p>
      <w:pPr>
        <w:pBdr>
          <w:bottom w:val="single" w:color="C6CFDA" w:sz="4" w:space="2"/>
        </w:pBdr>
        <w:spacing w:after="160" w:before="60"/>
      </w:pPr>
    </w:p>
    <w:p>
      <w:pPr>
        <w:pStyle w:val="Heading2"/>
        <w:keepNext/>
        <w:pBdr>
          <w:bottom w:val="single" w:color="C6CFDA" w:sz="6" w:space="6"/>
        </w:pBdr>
        <w:spacing w:after="140" w:before="360"/>
      </w:pPr>
      <w:r>
        <w:rPr>
          <w:rFonts w:ascii="Calibri" w:cs="Calibri" w:eastAsia="Calibri" w:hAnsi="Calibri"/>
          <w:b/>
          <w:bCs/>
          <w:color w:val="1F3864"/>
          <w:sz w:val="28"/>
          <w:szCs w:val="28"/>
        </w:rPr>
        <w:t xml:space="preserve">13. Non-Functional Requirements</w:t>
      </w:r>
    </w:p>
    <w:p>
      <w:pPr>
        <w:pStyle w:val="Heading3"/>
        <w:keepNext/>
        <w:spacing w:after="90" w:before="260"/>
      </w:pPr>
      <w:r>
        <w:rPr>
          <w:rFonts w:ascii="Calibri" w:cs="Calibri" w:eastAsia="Calibri" w:hAnsi="Calibri"/>
          <w:b/>
          <w:bCs/>
          <w:color w:val="2E5C8A"/>
          <w:sz w:val="23"/>
          <w:szCs w:val="23"/>
        </w:rPr>
        <w:t xml:space="preserve">13.1 Performance</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3811"/>
        <w:gridCol w:w="1927"/>
        <w:gridCol w:w="4152"/>
      </w:tblGrid>
      <w:tr>
        <w:trPr>
          <w:tblHeader/>
        </w:trPr>
        <w:tc>
          <w:tcPr>
            <w:tcW w:type="dxa" w:w="3811"/>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Operation</w:t>
            </w:r>
          </w:p>
        </w:tc>
        <w:tc>
          <w:tcPr>
            <w:tcW w:type="dxa" w:w="1927"/>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Target</w:t>
            </w:r>
          </w:p>
        </w:tc>
        <w:tc>
          <w:tcPr>
            <w:tcW w:type="dxa" w:w="4152"/>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Method</w:t>
            </w:r>
          </w:p>
        </w:tc>
      </w:tr>
      <w:tr>
        <w:tc>
          <w:tcPr>
            <w:tcW w:type="dxa" w:w="3811"/>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Forward calculation, 10 markets, 5 years</w:t>
            </w:r>
          </w:p>
        </w:tc>
        <w:tc>
          <w:tcPr>
            <w:tcW w:type="dxa" w:w="192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&lt; 200 ms</w:t>
            </w:r>
          </w:p>
        </w:tc>
        <w:tc>
          <w:tcPr>
            <w:tcW w:type="dxa" w:w="415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Vectorised NumPy; no I/O inside the engine</w:t>
            </w:r>
          </w:p>
        </w:tc>
      </w:tr>
      <w:tr>
        <w:tc>
          <w:tcPr>
            <w:tcW w:type="dxa" w:w="3811"/>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Reverse price solve, 10 markets</w:t>
            </w:r>
          </w:p>
        </w:tc>
        <w:tc>
          <w:tcPr>
            <w:tcW w:type="dxa" w:w="192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&lt; 300 ms</w:t>
            </w:r>
          </w:p>
        </w:tc>
        <w:tc>
          <w:tcPr>
            <w:tcW w:type="dxa" w:w="4152"/>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Closed-form analytic path</w:t>
            </w:r>
          </w:p>
        </w:tc>
      </w:tr>
      <w:tr>
        <w:tc>
          <w:tcPr>
            <w:tcW w:type="dxa" w:w="3811"/>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One-way sensitivity, 20 parameters</w:t>
            </w:r>
          </w:p>
        </w:tc>
        <w:tc>
          <w:tcPr>
            <w:tcW w:type="dxa" w:w="192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&lt; 1 s</w:t>
            </w:r>
          </w:p>
        </w:tc>
        <w:tc>
          <w:tcPr>
            <w:tcW w:type="dxa" w:w="415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Reuses the resolved input; 40 engine invocations</w:t>
            </w:r>
          </w:p>
        </w:tc>
      </w:tr>
      <w:tr>
        <w:tc>
          <w:tcPr>
            <w:tcW w:type="dxa" w:w="3811"/>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PSA, 5,000 iterations, 10 markets</w:t>
            </w:r>
          </w:p>
        </w:tc>
        <w:tc>
          <w:tcPr>
            <w:tcW w:type="dxa" w:w="192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&lt; 5 s</w:t>
            </w:r>
          </w:p>
        </w:tc>
        <w:tc>
          <w:tcPr>
            <w:tcW w:type="dxa" w:w="4152"/>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Fully vectorised across iterations</w:t>
            </w:r>
          </w:p>
        </w:tc>
      </w:tr>
      <w:tr>
        <w:tc>
          <w:tcPr>
            <w:tcW w:type="dxa" w:w="3811"/>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Reference data query</w:t>
            </w:r>
          </w:p>
        </w:tc>
        <w:tc>
          <w:tcPr>
            <w:tcW w:type="dxa" w:w="192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&lt; 50 ms</w:t>
            </w:r>
          </w:p>
        </w:tc>
        <w:tc>
          <w:tcPr>
            <w:tcW w:type="dxa" w:w="415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Indexed; cached in the service layer</w:t>
            </w:r>
          </w:p>
        </w:tc>
      </w:tr>
      <w:tr>
        <w:tc>
          <w:tcPr>
            <w:tcW w:type="dxa" w:w="3811"/>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Vector retrieval, top 5</w:t>
            </w:r>
          </w:p>
        </w:tc>
        <w:tc>
          <w:tcPr>
            <w:tcW w:type="dxa" w:w="192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&lt; 150 ms</w:t>
            </w:r>
          </w:p>
        </w:tc>
        <w:tc>
          <w:tcPr>
            <w:tcW w:type="dxa" w:w="4152"/>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ivfflat index, 100 lists</w:t>
            </w:r>
          </w:p>
        </w:tc>
      </w:tr>
    </w:tbl>
    <w:p>
      <w:pPr>
        <w:spacing w:after="160"/>
      </w:pPr>
    </w:p>
    <w:p>
      <w:pPr>
        <w:pStyle w:val="Heading3"/>
        <w:keepNext/>
        <w:spacing w:after="90" w:before="260"/>
      </w:pPr>
      <w:r>
        <w:rPr>
          <w:rFonts w:ascii="Calibri" w:cs="Calibri" w:eastAsia="Calibri" w:hAnsi="Calibri"/>
          <w:b/>
          <w:bCs/>
          <w:color w:val="2E5C8A"/>
          <w:sz w:val="23"/>
          <w:szCs w:val="23"/>
        </w:rPr>
        <w:t xml:space="preserve">13.2 Correctness and Auditability</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Every published value carries source, vintage year and confidence tier through to the interface and to exported deliverables.</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Every run is persisted with its complete resolved input, engine version and FX snapshot, and is exactly reproducible.</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The </w:t>
      </w:r>
      <w:r>
        <w:rPr>
          <w:rFonts w:ascii="Consolas" w:cs="Consolas" w:eastAsia="Consolas" w:hAnsi="Consolas"/>
          <w:b w:val="false"/>
          <w:bCs w:val="false"/>
          <w:color w:val="8A2E2E"/>
          <w:sz w:val="17"/>
          <w:szCs w:val="17"/>
          <w:shd w:fill="F1F1F1" w:color="auto" w:val="clear"/>
        </w:rPr>
        <w:t xml:space="preserve">model_runs</w:t>
      </w:r>
      <w:r>
        <w:rPr>
          <w:rFonts w:ascii="Calibri" w:cs="Calibri" w:eastAsia="Calibri" w:hAnsi="Calibri"/>
          <w:b w:val="false"/>
          <w:bCs w:val="false"/>
          <w:color w:val="1A1A1A"/>
          <w:sz w:val="20"/>
          <w:szCs w:val="20"/>
        </w:rPr>
        <w:t xml:space="preserve"> table is append-only.</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Any change to engine behaviour requires a version bump and updated golden fixtures.</w:t>
      </w:r>
    </w:p>
    <w:p>
      <w:pPr>
        <w:pStyle w:val="Heading3"/>
        <w:keepNext/>
        <w:spacing w:after="90" w:before="260"/>
      </w:pPr>
      <w:r>
        <w:rPr>
          <w:rFonts w:ascii="Calibri" w:cs="Calibri" w:eastAsia="Calibri" w:hAnsi="Calibri"/>
          <w:b/>
          <w:bCs/>
          <w:color w:val="2E5C8A"/>
          <w:sz w:val="23"/>
          <w:szCs w:val="23"/>
        </w:rPr>
        <w:t xml:space="preserve">13.3 Data Quality Controls</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Every ingested value is range-validated before publication; out-of-range values are quarantined in staging and do not supersede existing reference data.</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Values whose vintage exceeds a configured staleness threshold surface a </w:t>
      </w:r>
      <w:r>
        <w:rPr>
          <w:rFonts w:ascii="Consolas" w:cs="Consolas" w:eastAsia="Consolas" w:hAnsi="Consolas"/>
          <w:b w:val="false"/>
          <w:bCs w:val="false"/>
          <w:color w:val="8A2E2E"/>
          <w:sz w:val="17"/>
          <w:szCs w:val="17"/>
          <w:shd w:fill="F1F1F1" w:color="auto" w:val="clear"/>
        </w:rPr>
        <w:t xml:space="preserve">STALE_VINTAGE</w:t>
      </w:r>
      <w:r>
        <w:rPr>
          <w:rFonts w:ascii="Calibri" w:cs="Calibri" w:eastAsia="Calibri" w:hAnsi="Calibri"/>
          <w:b w:val="false"/>
          <w:bCs w:val="false"/>
          <w:color w:val="1A1A1A"/>
          <w:sz w:val="20"/>
          <w:szCs w:val="20"/>
        </w:rPr>
        <w:t xml:space="preserve"> warning on every run that consumes them.</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Projected values are flagged </w:t>
      </w:r>
      <w:r>
        <w:rPr>
          <w:rFonts w:ascii="Consolas" w:cs="Consolas" w:eastAsia="Consolas" w:hAnsi="Consolas"/>
          <w:b w:val="false"/>
          <w:bCs w:val="false"/>
          <w:color w:val="8A2E2E"/>
          <w:sz w:val="17"/>
          <w:szCs w:val="17"/>
          <w:shd w:fill="F1F1F1" w:color="auto" w:val="clear"/>
        </w:rPr>
        <w:t xml:space="preserve">is_projected</w:t>
      </w:r>
      <w:r>
        <w:rPr>
          <w:rFonts w:ascii="Calibri" w:cs="Calibri" w:eastAsia="Calibri" w:hAnsi="Calibri"/>
          <w:b w:val="false"/>
          <w:bCs w:val="false"/>
          <w:color w:val="1A1A1A"/>
          <w:sz w:val="20"/>
          <w:szCs w:val="20"/>
        </w:rPr>
        <w:t xml:space="preserve"> and are visually distinguished from observed values.</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Funnel monotonicity — each stage no larger than its predecessor — is asserted by the engine and raises a validation error rather than producing a silently wrong result.</w:t>
      </w:r>
    </w:p>
    <w:p>
      <w:pPr>
        <w:pStyle w:val="Heading3"/>
        <w:keepNext/>
        <w:spacing w:after="90" w:before="260"/>
      </w:pPr>
      <w:r>
        <w:rPr>
          <w:rFonts w:ascii="Calibri" w:cs="Calibri" w:eastAsia="Calibri" w:hAnsi="Calibri"/>
          <w:b/>
          <w:bCs/>
          <w:color w:val="2E5C8A"/>
          <w:sz w:val="23"/>
          <w:szCs w:val="23"/>
        </w:rPr>
        <w:t xml:space="preserve">13.4 Security</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No secret is present in source control. Configuration is environment-driven and validated at startup.</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Network proxy settings are optional environment variables; all ingestion operates identically with and without a proxy.</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The application database role holds no DDL privilege; migrations run under a separate role.</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API keys for the language model are read from the environment and are never logged or returned in responses.</w:t>
      </w:r>
    </w:p>
    <w:p>
      <w:pPr>
        <w:pStyle w:val="Heading3"/>
        <w:keepNext/>
        <w:spacing w:after="90" w:before="260"/>
      </w:pPr>
      <w:r>
        <w:rPr>
          <w:rFonts w:ascii="Calibri" w:cs="Calibri" w:eastAsia="Calibri" w:hAnsi="Calibri"/>
          <w:b/>
          <w:bCs/>
          <w:color w:val="2E5C8A"/>
          <w:sz w:val="23"/>
          <w:szCs w:val="23"/>
        </w:rPr>
        <w:t xml:space="preserve">13.5 Maintainability</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Backend type-checked with mypy in strict mode on the engine package.</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Frontend type-checked with TypeScript strict mode; API types are generated, never hand-written.</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Engine test coverage target: 95 percent statement coverage, 100 percent on </w:t>
      </w:r>
      <w:r>
        <w:rPr>
          <w:rFonts w:ascii="Consolas" w:cs="Consolas" w:eastAsia="Consolas" w:hAnsi="Consolas"/>
          <w:b w:val="false"/>
          <w:bCs w:val="false"/>
          <w:color w:val="8A2E2E"/>
          <w:sz w:val="17"/>
          <w:szCs w:val="17"/>
          <w:shd w:fill="F1F1F1" w:color="auto" w:val="clear"/>
        </w:rPr>
        <w:t xml:space="preserve">impact.py</w:t>
      </w:r>
      <w:r>
        <w:rPr>
          <w:rFonts w:ascii="Calibri" w:cs="Calibri" w:eastAsia="Calibri" w:hAnsi="Calibri"/>
          <w:b w:val="false"/>
          <w:bCs w:val="false"/>
          <w:color w:val="1A1A1A"/>
          <w:sz w:val="20"/>
          <w:szCs w:val="20"/>
        </w:rPr>
        <w:t xml:space="preserve"> and </w:t>
      </w:r>
      <w:r>
        <w:rPr>
          <w:rFonts w:ascii="Consolas" w:cs="Consolas" w:eastAsia="Consolas" w:hAnsi="Consolas"/>
          <w:b w:val="false"/>
          <w:bCs w:val="false"/>
          <w:color w:val="8A2E2E"/>
          <w:sz w:val="17"/>
          <w:szCs w:val="17"/>
          <w:shd w:fill="F1F1F1" w:color="auto" w:val="clear"/>
        </w:rPr>
        <w:t xml:space="preserve">solver.py</w:t>
      </w:r>
      <w:r>
        <w:rPr>
          <w:rFonts w:ascii="Calibri" w:cs="Calibri" w:eastAsia="Calibri" w:hAnsi="Calibri"/>
          <w:b w:val="false"/>
          <w:bCs w:val="false"/>
          <w:color w:val="1A1A1A"/>
          <w:sz w:val="20"/>
          <w:szCs w:val="20"/>
        </w:rPr>
        <w:t xml:space="preserve">.</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Slice boundary rules enforced in CI.</w:t>
      </w:r>
    </w:p>
    <w:p>
      <w:pPr>
        <w:pBdr>
          <w:bottom w:val="single" w:color="C6CFDA" w:sz="4" w:space="2"/>
        </w:pBdr>
        <w:spacing w:after="160" w:before="60"/>
      </w:pPr>
    </w:p>
    <w:p>
      <w:pPr>
        <w:pStyle w:val="Heading2"/>
        <w:keepNext/>
        <w:pBdr>
          <w:bottom w:val="single" w:color="C6CFDA" w:sz="6" w:space="6"/>
        </w:pBdr>
        <w:spacing w:after="140" w:before="360"/>
      </w:pPr>
      <w:r>
        <w:rPr>
          <w:rFonts w:ascii="Calibri" w:cs="Calibri" w:eastAsia="Calibri" w:hAnsi="Calibri"/>
          <w:b/>
          <w:bCs/>
          <w:color w:val="1F3864"/>
          <w:sz w:val="28"/>
          <w:szCs w:val="28"/>
        </w:rPr>
        <w:t xml:space="preserve">14. Repository Layout</w:t>
      </w:r>
    </w:p>
    <w:p>
      <w:pPr>
        <w:pBdr>
          <w:left w:val="single" w:color="2E5C8A" w:sz="12" w:space="8"/>
          <w:right w:val="single" w:color="D3DAE3" w:sz="2" w:space="4"/>
        </w:pBdr>
        <w:shd w:fill="F4F6F8" w:color="auto" w:val="clear"/>
        <w:spacing w:after="0" w:before="100" w:line="220"/>
        <w:ind w:left="120"/>
      </w:pPr>
      <w:r>
        <w:rPr>
          <w:rFonts w:ascii="Consolas" w:cs="Consolas" w:eastAsia="Consolas" w:hAnsi="Consolas"/>
          <w:color w:val="24292E"/>
          <w:sz w:val="15"/>
          <w:szCs w:val="15"/>
        </w:rPr>
        <w:t xml:space="preserve">BIET/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docs/</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ARCHITECTURE.md</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backend/</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pyproject.toml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alembic/</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versions/</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src/</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biet_engine/            # Pure calculation package (§9.3)</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biet_api/</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main.py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config.py           # pydantic-settings</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routes/</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 reference.py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 scenarios.py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 calculations.py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 evidence.py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 exports.py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controllers/</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services/</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 scenario_service.py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 resolution_service.py   # three-level value resolution</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 calculation_service.py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 evidence_service.py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 export_service.py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repositories/</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dal/</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 session.py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 base.py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models/             # SQLAlchemy ORM</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schemas/            # API Pydantic contracts</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tests/</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engine/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unit/</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golden/</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property/</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api/</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frontend/</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package.json</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vite.config.ts</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.eslintrc.cjs               # boundary rules</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src/                        # Slice structure (§11.1)</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data/</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ingestion/</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sources/                # One module per source</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transform/</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 publish/</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seed/                       # Curated CSV reference seeds</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 corpus/                     # Guideline documents</w:t>
      </w:r>
    </w:p>
    <w:p>
      <w:pPr>
        <w:pBdr>
          <w:left w:val="single" w:color="2E5C8A" w:sz="12" w:space="8"/>
          <w:right w:val="single" w:color="D3DAE3" w:sz="2" w:space="4"/>
        </w:pBdr>
        <w:shd w:fill="F4F6F8" w:color="auto" w:val="clear"/>
        <w:spacing w:after="0" w:before="0" w:line="220"/>
        <w:ind w:left="120"/>
      </w:pPr>
      <w:r>
        <w:rPr>
          <w:rFonts w:ascii="Consolas" w:cs="Consolas" w:eastAsia="Consolas" w:hAnsi="Consolas"/>
          <w:color w:val="24292E"/>
          <w:sz w:val="15"/>
          <w:szCs w:val="15"/>
        </w:rPr>
        <w:t xml:space="preserve">├── docker-compose.yml</w:t>
      </w:r>
    </w:p>
    <w:p>
      <w:pPr>
        <w:pBdr>
          <w:left w:val="single" w:color="2E5C8A" w:sz="12" w:space="8"/>
          <w:right w:val="single" w:color="D3DAE3" w:sz="2" w:space="4"/>
        </w:pBdr>
        <w:shd w:fill="F4F6F8" w:color="auto" w:val="clear"/>
        <w:spacing w:after="140" w:before="0" w:line="220"/>
        <w:ind w:left="120"/>
      </w:pPr>
      <w:r>
        <w:rPr>
          <w:rFonts w:ascii="Consolas" w:cs="Consolas" w:eastAsia="Consolas" w:hAnsi="Consolas"/>
          <w:color w:val="24292E"/>
          <w:sz w:val="15"/>
          <w:szCs w:val="15"/>
        </w:rPr>
        <w:t xml:space="preserve">└── .env.example</w:t>
      </w:r>
    </w:p>
    <w:p>
      <w:pPr>
        <w:pBdr>
          <w:bottom w:val="single" w:color="C6CFDA" w:sz="4" w:space="2"/>
        </w:pBdr>
        <w:spacing w:after="160" w:before="60"/>
      </w:pPr>
    </w:p>
    <w:p>
      <w:pPr>
        <w:pStyle w:val="Heading2"/>
        <w:keepNext/>
        <w:pBdr>
          <w:bottom w:val="single" w:color="C6CFDA" w:sz="6" w:space="6"/>
        </w:pBdr>
        <w:spacing w:after="140" w:before="360"/>
      </w:pPr>
      <w:r>
        <w:rPr>
          <w:rFonts w:ascii="Calibri" w:cs="Calibri" w:eastAsia="Calibri" w:hAnsi="Calibri"/>
          <w:b/>
          <w:bCs/>
          <w:color w:val="1F3864"/>
          <w:sz w:val="28"/>
          <w:szCs w:val="28"/>
        </w:rPr>
        <w:t xml:space="preserve">15. Delivery Plan</w:t>
      </w:r>
    </w:p>
    <w:p>
      <w:pPr>
        <w:spacing w:after="120" w:before="60" w:line="276"/>
        <w:jc w:val="both"/>
      </w:pPr>
      <w:r>
        <w:rPr>
          <w:rFonts w:ascii="Calibri" w:cs="Calibri" w:eastAsia="Calibri" w:hAnsi="Calibri"/>
          <w:b w:val="false"/>
          <w:bCs w:val="false"/>
          <w:color w:val="1A1A1A"/>
          <w:sz w:val="20"/>
          <w:szCs w:val="20"/>
        </w:rPr>
        <w:t xml:space="preserve">Five phases. Phase boundaries are defined by demonstrable capability, not by elapsed time.</w:t>
      </w:r>
    </w:p>
    <w:p>
      <w:pPr>
        <w:pStyle w:val="Heading3"/>
        <w:keepNext/>
        <w:spacing w:after="90" w:before="260"/>
      </w:pPr>
      <w:r>
        <w:rPr>
          <w:rFonts w:ascii="Calibri" w:cs="Calibri" w:eastAsia="Calibri" w:hAnsi="Calibri"/>
          <w:b/>
          <w:bCs/>
          <w:color w:val="2E5C8A"/>
          <w:sz w:val="23"/>
          <w:szCs w:val="23"/>
        </w:rPr>
        <w:t xml:space="preserve">Phase 1 — Data Foundation</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Ingestion scripts refactored: secrets removed, proxy made optional, retry and validation added.</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Source constraints of §7.2 implemented: WHO country and sex filtering, per-indicator latest-non-null-year resolution, adult-share derivation from World Bank age structure.</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Curated price seed table populated for branded incretins and comparators, each entry citing a public source with a stated gross-to-net assumption.</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NDC-to-regimen mapping established for insulin and generic comparators.</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Full schema created via Alembic; reference data published.</w:t>
      </w:r>
    </w:p>
    <w:p>
      <w:pPr>
        <w:spacing w:after="120" w:before="60" w:line="276"/>
        <w:jc w:val="both"/>
      </w:pPr>
      <w:r>
        <w:rPr>
          <w:rFonts w:ascii="Calibri" w:cs="Calibri" w:eastAsia="Calibri" w:hAnsi="Calibri"/>
          <w:b/>
          <w:bCs/>
          <w:color w:val="1A1A1A"/>
          <w:sz w:val="20"/>
          <w:szCs w:val="20"/>
        </w:rPr>
        <w:t xml:space="preserve">Exit criterion.</w:t>
      </w:r>
      <w:r>
        <w:rPr>
          <w:rFonts w:ascii="Calibri" w:cs="Calibri" w:eastAsia="Calibri" w:hAnsi="Calibri"/>
          <w:b w:val="false"/>
          <w:bCs w:val="false"/>
          <w:color w:val="1A1A1A"/>
          <w:sz w:val="20"/>
          <w:szCs w:val="20"/>
        </w:rPr>
        <w:t xml:space="preserve"> Every reference table populated for all ten markets and both indications, with provenance and confidence tier on every row.</w:t>
      </w:r>
    </w:p>
    <w:p>
      <w:pPr>
        <w:pStyle w:val="Heading3"/>
        <w:keepNext/>
        <w:spacing w:after="90" w:before="260"/>
      </w:pPr>
      <w:r>
        <w:rPr>
          <w:rFonts w:ascii="Calibri" w:cs="Calibri" w:eastAsia="Calibri" w:hAnsi="Calibri"/>
          <w:b/>
          <w:bCs/>
          <w:color w:val="2E5C8A"/>
          <w:sz w:val="23"/>
          <w:szCs w:val="23"/>
        </w:rPr>
        <w:t xml:space="preserve">Phase 2 — Calculation Engine</w:t>
      </w:r>
    </w:p>
    <w:p>
      <w:pPr>
        <w:pStyle w:val="ListParagraph"/>
        <w:numPr>
          <w:ilvl w:val="0"/>
          <w:numId w:val="1"/>
        </w:numPr>
        <w:spacing w:after="40" w:before="40" w:line="264"/>
      </w:pPr>
      <w:r>
        <w:rPr>
          <w:rFonts w:ascii="Consolas" w:cs="Consolas" w:eastAsia="Consolas" w:hAnsi="Consolas"/>
          <w:b w:val="false"/>
          <w:bCs w:val="false"/>
          <w:color w:val="8A2E2E"/>
          <w:sz w:val="17"/>
          <w:szCs w:val="17"/>
          <w:shd w:fill="F1F1F1" w:color="auto" w:val="clear"/>
        </w:rPr>
        <w:t xml:space="preserve">biet_engine</w:t>
      </w:r>
      <w:r>
        <w:rPr>
          <w:rFonts w:ascii="Calibri" w:cs="Calibri" w:eastAsia="Calibri" w:hAnsi="Calibri"/>
          <w:b w:val="false"/>
          <w:bCs w:val="false"/>
          <w:color w:val="1A1A1A"/>
          <w:sz w:val="20"/>
          <w:szCs w:val="20"/>
        </w:rPr>
        <w:t xml:space="preserve"> implemented in full: funnel, uptake, persistence, cost, incremental impact, affordability, solver, sensitivity, PSA.</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Golden fixtures established for both indications across a representative market set.</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Property-based invariants implemented.</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Reverse-solver reconciliation test passing.</w:t>
      </w:r>
    </w:p>
    <w:p>
      <w:pPr>
        <w:spacing w:after="120" w:before="60" w:line="276"/>
        <w:jc w:val="both"/>
      </w:pPr>
      <w:r>
        <w:rPr>
          <w:rFonts w:ascii="Calibri" w:cs="Calibri" w:eastAsia="Calibri" w:hAnsi="Calibri"/>
          <w:b/>
          <w:bCs/>
          <w:color w:val="1A1A1A"/>
          <w:sz w:val="20"/>
          <w:szCs w:val="20"/>
        </w:rPr>
        <w:t xml:space="preserve">Exit criterion.</w:t>
      </w:r>
      <w:r>
        <w:rPr>
          <w:rFonts w:ascii="Calibri" w:cs="Calibri" w:eastAsia="Calibri" w:hAnsi="Calibri"/>
          <w:b w:val="false"/>
          <w:bCs w:val="false"/>
          <w:color w:val="1A1A1A"/>
          <w:sz w:val="20"/>
          <w:szCs w:val="20"/>
        </w:rPr>
        <w:t xml:space="preserve"> The engine executes standalone from a JSON input file and produces correct, reproducible results with no application layer present.</w:t>
      </w:r>
    </w:p>
    <w:p>
      <w:pPr>
        <w:pStyle w:val="Heading3"/>
        <w:keepNext/>
        <w:spacing w:after="90" w:before="260"/>
      </w:pPr>
      <w:r>
        <w:rPr>
          <w:rFonts w:ascii="Calibri" w:cs="Calibri" w:eastAsia="Calibri" w:hAnsi="Calibri"/>
          <w:b/>
          <w:bCs/>
          <w:color w:val="2E5C8A"/>
          <w:sz w:val="23"/>
          <w:szCs w:val="23"/>
        </w:rPr>
        <w:t xml:space="preserve">Phase 3 — API and Core Interface</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Backend layers implemented; OpenAPI document stable.</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Frontend scaffolded with generated types and boundary rules enforced.</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Scenario builder, population funnel and results dashboard functional end to end.</w:t>
      </w:r>
    </w:p>
    <w:p>
      <w:pPr>
        <w:spacing w:after="120" w:before="60" w:line="276"/>
        <w:jc w:val="both"/>
      </w:pPr>
      <w:r>
        <w:rPr>
          <w:rFonts w:ascii="Calibri" w:cs="Calibri" w:eastAsia="Calibri" w:hAnsi="Calibri"/>
          <w:b/>
          <w:bCs/>
          <w:color w:val="1A1A1A"/>
          <w:sz w:val="20"/>
          <w:szCs w:val="20"/>
        </w:rPr>
        <w:t xml:space="preserve">Exit criterion.</w:t>
      </w:r>
      <w:r>
        <w:rPr>
          <w:rFonts w:ascii="Calibri" w:cs="Calibri" w:eastAsia="Calibri" w:hAnsi="Calibri"/>
          <w:b w:val="false"/>
          <w:bCs w:val="false"/>
          <w:color w:val="1A1A1A"/>
          <w:sz w:val="20"/>
          <w:szCs w:val="20"/>
        </w:rPr>
        <w:t xml:space="preserve"> A user can define a scenario in the browser and obtain a correct multi-market budget impact result.</w:t>
      </w:r>
    </w:p>
    <w:p>
      <w:pPr>
        <w:pStyle w:val="Heading3"/>
        <w:keepNext/>
        <w:spacing w:after="90" w:before="260"/>
      </w:pPr>
      <w:r>
        <w:rPr>
          <w:rFonts w:ascii="Calibri" w:cs="Calibri" w:eastAsia="Calibri" w:hAnsi="Calibri"/>
          <w:b/>
          <w:bCs/>
          <w:color w:val="2E5C8A"/>
          <w:sz w:val="23"/>
          <w:szCs w:val="23"/>
        </w:rPr>
        <w:t xml:space="preserve">Phase 4 — Analysis Capabilities</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Price solver with corridor visualisation.</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Affordability gauge and band classification.</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Tornado and PSA.</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Scenario comparison.</w:t>
      </w:r>
    </w:p>
    <w:p>
      <w:pPr>
        <w:spacing w:after="120" w:before="60" w:line="276"/>
        <w:jc w:val="both"/>
      </w:pPr>
      <w:r>
        <w:rPr>
          <w:rFonts w:ascii="Calibri" w:cs="Calibri" w:eastAsia="Calibri" w:hAnsi="Calibri"/>
          <w:b/>
          <w:bCs/>
          <w:color w:val="1A1A1A"/>
          <w:sz w:val="20"/>
          <w:szCs w:val="20"/>
        </w:rPr>
        <w:t xml:space="preserve">Exit criterion.</w:t>
      </w:r>
      <w:r>
        <w:rPr>
          <w:rFonts w:ascii="Calibri" w:cs="Calibri" w:eastAsia="Calibri" w:hAnsi="Calibri"/>
          <w:b w:val="false"/>
          <w:bCs w:val="false"/>
          <w:color w:val="1A1A1A"/>
          <w:sz w:val="20"/>
          <w:szCs w:val="20"/>
        </w:rPr>
        <w:t xml:space="preserve"> All ten modules are functionally complete and reachable from the interface.</w:t>
      </w:r>
    </w:p>
    <w:p>
      <w:pPr>
        <w:pStyle w:val="Heading3"/>
        <w:keepNext/>
        <w:spacing w:after="90" w:before="260"/>
      </w:pPr>
      <w:r>
        <w:rPr>
          <w:rFonts w:ascii="Calibri" w:cs="Calibri" w:eastAsia="Calibri" w:hAnsi="Calibri"/>
          <w:b/>
          <w:bCs/>
          <w:color w:val="2E5C8A"/>
          <w:sz w:val="23"/>
          <w:szCs w:val="23"/>
        </w:rPr>
        <w:t xml:space="preserve">Phase 5 — Evidence, Export and Hardening</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Guideline corpus ingested and indexed; retrieval operational.</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Narrative generation and copilot.</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PDF and PowerPoint export including the full assumption register.</w:t>
      </w:r>
    </w:p>
    <w:p>
      <w:pPr>
        <w:pStyle w:val="ListParagraph"/>
        <w:numPr>
          <w:ilvl w:val="0"/>
          <w:numId w:val="1"/>
        </w:numPr>
        <w:spacing w:after="40" w:before="40" w:line="264"/>
      </w:pPr>
      <w:r>
        <w:rPr>
          <w:rFonts w:ascii="Calibri" w:cs="Calibri" w:eastAsia="Calibri" w:hAnsi="Calibri"/>
          <w:b w:val="false"/>
          <w:bCs w:val="false"/>
          <w:color w:val="1A1A1A"/>
          <w:sz w:val="20"/>
          <w:szCs w:val="20"/>
        </w:rPr>
        <w:t xml:space="preserve">Performance targets verified; documentation completed.</w:t>
      </w:r>
    </w:p>
    <w:p>
      <w:pPr>
        <w:spacing w:after="120" w:before="60" w:line="276"/>
        <w:jc w:val="both"/>
      </w:pPr>
      <w:r>
        <w:rPr>
          <w:rFonts w:ascii="Calibri" w:cs="Calibri" w:eastAsia="Calibri" w:hAnsi="Calibri"/>
          <w:b/>
          <w:bCs/>
          <w:color w:val="1A1A1A"/>
          <w:sz w:val="20"/>
          <w:szCs w:val="20"/>
        </w:rPr>
        <w:t xml:space="preserve">Exit criterion.</w:t>
      </w:r>
      <w:r>
        <w:rPr>
          <w:rFonts w:ascii="Calibri" w:cs="Calibri" w:eastAsia="Calibri" w:hAnsi="Calibri"/>
          <w:b w:val="false"/>
          <w:bCs w:val="false"/>
          <w:color w:val="1A1A1A"/>
          <w:sz w:val="20"/>
          <w:szCs w:val="20"/>
        </w:rPr>
        <w:t xml:space="preserve"> A complete scenario produces a distributable, fully cited deliverable.</w:t>
      </w:r>
    </w:p>
    <w:p>
      <w:pPr>
        <w:pBdr>
          <w:bottom w:val="single" w:color="C6CFDA" w:sz="4" w:space="2"/>
        </w:pBdr>
        <w:spacing w:after="160" w:before="60"/>
      </w:pPr>
    </w:p>
    <w:p>
      <w:pPr>
        <w:pStyle w:val="Heading2"/>
        <w:keepNext/>
        <w:pBdr>
          <w:bottom w:val="single" w:color="C6CFDA" w:sz="6" w:space="6"/>
        </w:pBdr>
        <w:spacing w:after="140" w:before="360"/>
      </w:pPr>
      <w:r>
        <w:rPr>
          <w:rFonts w:ascii="Calibri" w:cs="Calibri" w:eastAsia="Calibri" w:hAnsi="Calibri"/>
          <w:b/>
          <w:bCs/>
          <w:color w:val="1F3864"/>
          <w:sz w:val="28"/>
          <w:szCs w:val="28"/>
        </w:rPr>
        <w:t xml:space="preserve">Appendix A — Glossary</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4003"/>
        <w:gridCol w:w="5887"/>
      </w:tblGrid>
      <w:tr>
        <w:trPr>
          <w:tblHeader/>
        </w:trPr>
        <w:tc>
          <w:tcPr>
            <w:tcW w:type="dxa" w:w="4003"/>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Term</w:t>
            </w:r>
          </w:p>
        </w:tc>
        <w:tc>
          <w:tcPr>
            <w:tcW w:type="dxa" w:w="5887"/>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Definition</w:t>
            </w:r>
          </w:p>
        </w:tc>
      </w:tr>
      <w:tr>
        <w:tc>
          <w:tcPr>
            <w:tcW w:type="dxa" w:w="4003"/>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Addressable population</w:t>
            </w:r>
          </w:p>
        </w:tc>
        <w:tc>
          <w:tcPr>
            <w:tcW w:type="dxa" w:w="588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Label-eligible patients with reimbursed access under the assumed formulary position</w:t>
            </w:r>
          </w:p>
        </w:tc>
      </w:tr>
      <w:tr>
        <w:tc>
          <w:tcPr>
            <w:tcW w:type="dxa" w:w="400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Affordability ratio</w:t>
            </w:r>
          </w:p>
        </w:tc>
        <w:tc>
          <w:tcPr>
            <w:tcW w:type="dxa" w:w="588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Budget impact expressed as a proportion of national current health expenditure</w:t>
            </w:r>
          </w:p>
        </w:tc>
      </w:tr>
      <w:tr>
        <w:tc>
          <w:tcPr>
            <w:tcW w:type="dxa" w:w="4003"/>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Budget impact</w:t>
            </w:r>
          </w:p>
        </w:tc>
        <w:tc>
          <w:tcPr>
            <w:tcW w:type="dxa" w:w="588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The difference in total cost between the world with and the world without the new therapy</w:t>
            </w:r>
          </w:p>
        </w:tc>
      </w:tr>
      <w:tr>
        <w:tc>
          <w:tcPr>
            <w:tcW w:type="dxa" w:w="400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Confidence tier</w:t>
            </w:r>
          </w:p>
        </w:tc>
        <w:tc>
          <w:tcPr>
            <w:tcW w:type="dxa" w:w="588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A–D grading of the evidential strength of a parameter value</w:t>
            </w:r>
          </w:p>
        </w:tc>
      </w:tr>
      <w:tr>
        <w:tc>
          <w:tcPr>
            <w:tcW w:type="dxa" w:w="4003"/>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Diagnosis rate</w:t>
            </w:r>
          </w:p>
        </w:tc>
        <w:tc>
          <w:tcPr>
            <w:tcW w:type="dxa" w:w="588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Proportion of the diseased population that has been clinically diagnosed</w:t>
            </w:r>
          </w:p>
        </w:tc>
      </w:tr>
      <w:tr>
        <w:tc>
          <w:tcPr>
            <w:tcW w:type="dxa" w:w="400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Displacement</w:t>
            </w:r>
          </w:p>
        </w:tc>
        <w:tc>
          <w:tcPr>
            <w:tcW w:type="dxa" w:w="588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Reduction in an incumbent therapy's share attributable to the new therapy</w:t>
            </w:r>
          </w:p>
        </w:tc>
      </w:tr>
      <w:tr>
        <w:tc>
          <w:tcPr>
            <w:tcW w:type="dxa" w:w="4003"/>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Golden case</w:t>
            </w:r>
          </w:p>
        </w:tc>
        <w:tc>
          <w:tcPr>
            <w:tcW w:type="dxa" w:w="588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 complete worked scenario with independently derived results, held as a regression fixture</w:t>
            </w:r>
          </w:p>
        </w:tc>
      </w:tr>
      <w:tr>
        <w:tc>
          <w:tcPr>
            <w:tcW w:type="dxa" w:w="400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Gross-to-net</w:t>
            </w:r>
          </w:p>
        </w:tc>
        <w:tc>
          <w:tcPr>
            <w:tcW w:type="dxa" w:w="588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The proportional reduction from list price to realised net price after rebates and discounts</w:t>
            </w:r>
          </w:p>
        </w:tc>
      </w:tr>
      <w:tr>
        <w:tc>
          <w:tcPr>
            <w:tcW w:type="dxa" w:w="4003"/>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Launch-relative year</w:t>
            </w:r>
          </w:p>
        </w:tc>
        <w:tc>
          <w:tcPr>
            <w:tcW w:type="dxa" w:w="588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Year index where Y1 is the launch year, independent of calendar year</w:t>
            </w:r>
          </w:p>
        </w:tc>
      </w:tr>
      <w:tr>
        <w:tc>
          <w:tcPr>
            <w:tcW w:type="dxa" w:w="400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Line of therapy</w:t>
            </w:r>
          </w:p>
        </w:tc>
        <w:tc>
          <w:tcPr>
            <w:tcW w:type="dxa" w:w="588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Position in the treatment sequence at which a therapy is used</w:t>
            </w:r>
          </w:p>
        </w:tc>
      </w:tr>
      <w:tr>
        <w:tc>
          <w:tcPr>
            <w:tcW w:type="dxa" w:w="4003"/>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One-way sensitivity analysis (OWSA)</w:t>
            </w:r>
          </w:p>
        </w:tc>
        <w:tc>
          <w:tcPr>
            <w:tcW w:type="dxa" w:w="588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Variation of one parameter at a time across its range, holding others at base case</w:t>
            </w:r>
          </w:p>
        </w:tc>
      </w:tr>
      <w:tr>
        <w:tc>
          <w:tcPr>
            <w:tcW w:type="dxa" w:w="400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Persistence (12-month)</w:t>
            </w:r>
          </w:p>
        </w:tc>
        <w:tc>
          <w:tcPr>
            <w:tcW w:type="dxa" w:w="588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Proportion of patients still receiving therapy twelve months after initiation</w:t>
            </w:r>
          </w:p>
        </w:tc>
      </w:tr>
      <w:tr>
        <w:tc>
          <w:tcPr>
            <w:tcW w:type="dxa" w:w="4003"/>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Price corridor</w:t>
            </w:r>
          </w:p>
        </w:tc>
        <w:tc>
          <w:tcPr>
            <w:tcW w:type="dxa" w:w="588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The set of market-specific maximum prices satisfying a common affordability target</w:t>
            </w:r>
          </w:p>
        </w:tc>
      </w:tr>
      <w:tr>
        <w:tc>
          <w:tcPr>
            <w:tcW w:type="dxa" w:w="400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Probabilistic sensitivity analysis (PSA)</w:t>
            </w:r>
          </w:p>
        </w:tc>
        <w:tc>
          <w:tcPr>
            <w:tcW w:type="dxa" w:w="588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Simultaneous Monte Carlo sampling of all uncertain parameters</w:t>
            </w:r>
          </w:p>
        </w:tc>
      </w:tr>
      <w:tr>
        <w:tc>
          <w:tcPr>
            <w:tcW w:type="dxa" w:w="4003"/>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Provenance</w:t>
            </w:r>
          </w:p>
        </w:tc>
        <w:tc>
          <w:tcPr>
            <w:tcW w:type="dxa" w:w="588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The source, vintage and confidence tier accompanying a parameter value</w:t>
            </w:r>
          </w:p>
        </w:tc>
      </w:tr>
      <w:tr>
        <w:tc>
          <w:tcPr>
            <w:tcW w:type="dxa" w:w="400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Run snapshot</w:t>
            </w:r>
          </w:p>
        </w:tc>
        <w:tc>
          <w:tcPr>
            <w:tcW w:type="dxa" w:w="588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Immutable record of a calculation's resolved inputs, engine version, FX rates and results</w:t>
            </w:r>
          </w:p>
        </w:tc>
      </w:tr>
      <w:tr>
        <w:tc>
          <w:tcPr>
            <w:tcW w:type="dxa" w:w="4003"/>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Source of business</w:t>
            </w:r>
          </w:p>
        </w:tc>
        <w:tc>
          <w:tcPr>
            <w:tcW w:type="dxa" w:w="588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The distribution of a new therapy's patients across their prior treatment states</w:t>
            </w:r>
          </w:p>
        </w:tc>
      </w:tr>
      <w:tr>
        <w:tc>
          <w:tcPr>
            <w:tcW w:type="dxa" w:w="400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Treatment rate</w:t>
            </w:r>
          </w:p>
        </w:tc>
        <w:tc>
          <w:tcPr>
            <w:tcW w:type="dxa" w:w="588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Proportion of diagnosed patients receiving pharmacological therapy</w:t>
            </w:r>
          </w:p>
        </w:tc>
      </w:tr>
      <w:tr>
        <w:tc>
          <w:tcPr>
            <w:tcW w:type="dxa" w:w="4003"/>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Uptake</w:t>
            </w:r>
          </w:p>
        </w:tc>
        <w:tc>
          <w:tcPr>
            <w:tcW w:type="dxa" w:w="588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Proportion of the addressable population receiving the new therapy in a given year</w:t>
            </w:r>
          </w:p>
        </w:tc>
      </w:tr>
      <w:tr>
        <w:tc>
          <w:tcPr>
            <w:tcW w:type="dxa" w:w="400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Wastage</w:t>
            </w:r>
          </w:p>
        </w:tc>
        <w:tc>
          <w:tcPr>
            <w:tcW w:type="dxa" w:w="588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Product dispensed but not administered, expressed as a proportional uplift on acquisition cost</w:t>
            </w:r>
          </w:p>
        </w:tc>
      </w:tr>
      <w:tr>
        <w:tc>
          <w:tcPr>
            <w:tcW w:type="dxa" w:w="4003"/>
            <w:tcMar>
              <w:top w:type="dxa" w:w="60"/>
              <w:left w:type="dxa" w:w="100"/>
              <w:bottom w:type="dxa" w:w="60"/>
              <w:right w:type="dxa" w:w="100"/>
            </w:tcMar>
          </w:tcPr>
          <w:p>
            <w:pPr>
              <w:spacing w:after="0" w:before="0" w:line="240"/>
              <w:jc w:val="left"/>
            </w:pPr>
            <w:r>
              <w:rPr>
                <w:rFonts w:ascii="Calibri" w:cs="Calibri" w:eastAsia="Calibri" w:hAnsi="Calibri"/>
                <w:b/>
                <w:bCs/>
                <w:color w:val="1A1A1A"/>
                <w:sz w:val="18"/>
                <w:szCs w:val="18"/>
              </w:rPr>
              <w:t xml:space="preserve">World with / world without</w:t>
            </w:r>
          </w:p>
        </w:tc>
        <w:tc>
          <w:tcPr>
            <w:tcW w:type="dxa" w:w="588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The two comparison states whose cost difference defines budget impact</w:t>
            </w:r>
          </w:p>
        </w:tc>
      </w:tr>
    </w:tbl>
    <w:p>
      <w:pPr>
        <w:spacing w:after="160"/>
      </w:pPr>
    </w:p>
    <w:p>
      <w:pPr>
        <w:pBdr>
          <w:bottom w:val="single" w:color="C6CFDA" w:sz="4" w:space="2"/>
        </w:pBdr>
        <w:spacing w:after="160" w:before="60"/>
      </w:pPr>
    </w:p>
    <w:p>
      <w:pPr>
        <w:pStyle w:val="Heading2"/>
        <w:keepNext/>
        <w:pBdr>
          <w:bottom w:val="single" w:color="C6CFDA" w:sz="6" w:space="6"/>
        </w:pBdr>
        <w:spacing w:after="140" w:before="360"/>
      </w:pPr>
      <w:r>
        <w:rPr>
          <w:rFonts w:ascii="Calibri" w:cs="Calibri" w:eastAsia="Calibri" w:hAnsi="Calibri"/>
          <w:b/>
          <w:bCs/>
          <w:color w:val="1F3864"/>
          <w:sz w:val="28"/>
          <w:szCs w:val="28"/>
        </w:rPr>
        <w:t xml:space="preserve">Appendix B — Default Parameter Values</w:t>
      </w:r>
    </w:p>
    <w:p>
      <w:pPr>
        <w:spacing w:after="120" w:before="60" w:line="276"/>
        <w:jc w:val="both"/>
      </w:pPr>
      <w:r>
        <w:rPr>
          <w:rFonts w:ascii="Calibri" w:cs="Calibri" w:eastAsia="Calibri" w:hAnsi="Calibri"/>
          <w:b w:val="false"/>
          <w:bCs w:val="false"/>
          <w:color w:val="1A1A1A"/>
          <w:sz w:val="20"/>
          <w:szCs w:val="20"/>
        </w:rPr>
        <w:t xml:space="preserve">All values below are seeded defaults, fully overridable at country and scenario level. Tier indicates evidential strength per §5.9.</w:t>
      </w:r>
    </w:p>
    <w:p>
      <w:pPr>
        <w:pStyle w:val="Heading3"/>
        <w:keepNext/>
        <w:spacing w:after="90" w:before="260"/>
      </w:pPr>
      <w:r>
        <w:rPr>
          <w:rFonts w:ascii="Calibri" w:cs="Calibri" w:eastAsia="Calibri" w:hAnsi="Calibri"/>
          <w:b/>
          <w:bCs/>
          <w:color w:val="2E5C8A"/>
          <w:sz w:val="23"/>
          <w:szCs w:val="23"/>
        </w:rPr>
        <w:t xml:space="preserve">B.1 Demographic</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3442"/>
        <w:gridCol w:w="2028"/>
        <w:gridCol w:w="1073"/>
        <w:gridCol w:w="3347"/>
      </w:tblGrid>
      <w:tr>
        <w:trPr>
          <w:tblHeader/>
        </w:trPr>
        <w:tc>
          <w:tcPr>
            <w:tcW w:type="dxa" w:w="3442"/>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Parameter</w:t>
            </w:r>
          </w:p>
        </w:tc>
        <w:tc>
          <w:tcPr>
            <w:tcW w:type="dxa" w:w="2028"/>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Value</w:t>
            </w:r>
          </w:p>
        </w:tc>
        <w:tc>
          <w:tcPr>
            <w:tcW w:type="dxa" w:w="1073"/>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Tier</w:t>
            </w:r>
          </w:p>
        </w:tc>
        <w:tc>
          <w:tcPr>
            <w:tcW w:type="dxa" w:w="3347"/>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Note</w:t>
            </w:r>
          </w:p>
        </w:tc>
      </w:tr>
      <w:tr>
        <w:tc>
          <w:tcPr>
            <w:tcW w:type="dxa" w:w="344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Adult share — high-income markets (USA, GBR, DEU, FRA, ITA, ESP, JPN)</w:t>
            </w:r>
          </w:p>
        </w:tc>
        <w:tc>
          <w:tcPr>
            <w:tcW w:type="dxa" w:w="202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0.78 – 0.86</w:t>
            </w:r>
          </w:p>
        </w:tc>
        <w:tc>
          <w:tcPr>
            <w:tcW w:type="dxa" w:w="107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w:t>
            </w:r>
          </w:p>
        </w:tc>
        <w:tc>
          <w:tcPr>
            <w:tcW w:type="dxa" w:w="334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Derived as </w:t>
            </w:r>
            <w:r>
              <w:rPr>
                <w:rFonts w:ascii="Consolas" w:cs="Consolas" w:eastAsia="Consolas" w:hAnsi="Consolas"/>
                <w:b w:val="false"/>
                <w:bCs w:val="false"/>
                <w:color w:val="8A2E2E"/>
                <w:sz w:val="15"/>
                <w:szCs w:val="15"/>
                <w:shd w:fill="F1F1F1" w:color="auto" w:val="clear"/>
              </w:rPr>
              <w:t xml:space="preserve">1 - SP.POP.0014.TO.ZS / 100</w:t>
            </w:r>
            <w:r>
              <w:rPr>
                <w:rFonts w:ascii="Calibri" w:cs="Calibri" w:eastAsia="Calibri" w:hAnsi="Calibri"/>
                <w:b w:val="false"/>
                <w:bCs w:val="false"/>
                <w:color w:val="1A1A1A"/>
                <w:sz w:val="18"/>
                <w:szCs w:val="18"/>
              </w:rPr>
              <w:t xml:space="preserve">; per-market values in §6.3</w:t>
            </w:r>
          </w:p>
        </w:tc>
      </w:tr>
      <w:tr>
        <w:tc>
          <w:tcPr>
            <w:tcW w:type="dxa" w:w="3442"/>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Adult share — CHN, BRA</w:t>
            </w:r>
          </w:p>
        </w:tc>
        <w:tc>
          <w:tcPr>
            <w:tcW w:type="dxa" w:w="202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0.78 – 0.82</w:t>
            </w:r>
          </w:p>
        </w:tc>
        <w:tc>
          <w:tcPr>
            <w:tcW w:type="dxa" w:w="107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w:t>
            </w:r>
          </w:p>
        </w:tc>
        <w:tc>
          <w:tcPr>
            <w:tcW w:type="dxa" w:w="334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As above</w:t>
            </w:r>
          </w:p>
        </w:tc>
      </w:tr>
      <w:tr>
        <w:tc>
          <w:tcPr>
            <w:tcW w:type="dxa" w:w="344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Adult share — IND</w:t>
            </w:r>
          </w:p>
        </w:tc>
        <w:tc>
          <w:tcPr>
            <w:tcW w:type="dxa" w:w="202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0.65</w:t>
            </w:r>
          </w:p>
        </w:tc>
        <w:tc>
          <w:tcPr>
            <w:tcW w:type="dxa" w:w="1073"/>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w:t>
            </w:r>
          </w:p>
        </w:tc>
        <w:tc>
          <w:tcPr>
            <w:tcW w:type="dxa" w:w="334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As above</w:t>
            </w:r>
          </w:p>
        </w:tc>
      </w:tr>
      <w:tr>
        <w:tc>
          <w:tcPr>
            <w:tcW w:type="dxa" w:w="3442"/>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Population growth per annum</w:t>
            </w:r>
          </w:p>
        </w:tc>
        <w:tc>
          <w:tcPr>
            <w:tcW w:type="dxa" w:w="202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Per market, World Bank</w:t>
            </w:r>
          </w:p>
        </w:tc>
        <w:tc>
          <w:tcPr>
            <w:tcW w:type="dxa" w:w="1073"/>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w:t>
            </w:r>
          </w:p>
        </w:tc>
        <w:tc>
          <w:tcPr>
            <w:tcW w:type="dxa" w:w="334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Applied over the horizon</w:t>
            </w:r>
          </w:p>
        </w:tc>
      </w:tr>
    </w:tbl>
    <w:p>
      <w:pPr>
        <w:spacing w:after="160"/>
      </w:pPr>
    </w:p>
    <w:p>
      <w:pPr>
        <w:pStyle w:val="Heading3"/>
        <w:keepNext/>
        <w:spacing w:after="90" w:before="260"/>
      </w:pPr>
      <w:r>
        <w:rPr>
          <w:rFonts w:ascii="Calibri" w:cs="Calibri" w:eastAsia="Calibri" w:hAnsi="Calibri"/>
          <w:b/>
          <w:bCs/>
          <w:color w:val="2E5C8A"/>
          <w:sz w:val="23"/>
          <w:szCs w:val="23"/>
        </w:rPr>
        <w:t xml:space="preserve">B.2 Funnel — Obesity</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4991"/>
        <w:gridCol w:w="2667"/>
        <w:gridCol w:w="2232"/>
      </w:tblGrid>
      <w:tr>
        <w:trPr>
          <w:tblHeader/>
        </w:trPr>
        <w:tc>
          <w:tcPr>
            <w:tcW w:type="dxa" w:w="4991"/>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Parameter</w:t>
            </w:r>
          </w:p>
        </w:tc>
        <w:tc>
          <w:tcPr>
            <w:tcW w:type="dxa" w:w="2667"/>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Default</w:t>
            </w:r>
          </w:p>
        </w:tc>
        <w:tc>
          <w:tcPr>
            <w:tcW w:type="dxa" w:w="2232"/>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Tier</w:t>
            </w:r>
          </w:p>
        </w:tc>
      </w:tr>
      <w:tr>
        <w:tc>
          <w:tcPr>
            <w:tcW w:type="dxa" w:w="4991"/>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Diagnosis rate</w:t>
            </w:r>
          </w:p>
        </w:tc>
        <w:tc>
          <w:tcPr>
            <w:tcW w:type="dxa" w:w="266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0.60</w:t>
            </w:r>
          </w:p>
        </w:tc>
        <w:tc>
          <w:tcPr>
            <w:tcW w:type="dxa" w:w="223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w:t>
            </w:r>
          </w:p>
        </w:tc>
      </w:tr>
      <w:tr>
        <w:tc>
          <w:tcPr>
            <w:tcW w:type="dxa" w:w="4991"/>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Treatment rate (pharmacological)</w:t>
            </w:r>
          </w:p>
        </w:tc>
        <w:tc>
          <w:tcPr>
            <w:tcW w:type="dxa" w:w="266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0.15</w:t>
            </w:r>
          </w:p>
        </w:tc>
        <w:tc>
          <w:tcPr>
            <w:tcW w:type="dxa" w:w="2232"/>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w:t>
            </w:r>
          </w:p>
        </w:tc>
      </w:tr>
      <w:tr>
        <w:tc>
          <w:tcPr>
            <w:tcW w:type="dxa" w:w="4991"/>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Access rate</w:t>
            </w:r>
          </w:p>
        </w:tc>
        <w:tc>
          <w:tcPr>
            <w:tcW w:type="dxa" w:w="266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0.70</w:t>
            </w:r>
          </w:p>
        </w:tc>
        <w:tc>
          <w:tcPr>
            <w:tcW w:type="dxa" w:w="223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w:t>
            </w:r>
          </w:p>
        </w:tc>
      </w:tr>
    </w:tbl>
    <w:p>
      <w:pPr>
        <w:spacing w:after="160"/>
      </w:pPr>
    </w:p>
    <w:p>
      <w:pPr>
        <w:pStyle w:val="Heading3"/>
        <w:keepNext/>
        <w:spacing w:after="90" w:before="260"/>
      </w:pPr>
      <w:r>
        <w:rPr>
          <w:rFonts w:ascii="Calibri" w:cs="Calibri" w:eastAsia="Calibri" w:hAnsi="Calibri"/>
          <w:b/>
          <w:bCs/>
          <w:color w:val="2E5C8A"/>
          <w:sz w:val="23"/>
          <w:szCs w:val="23"/>
        </w:rPr>
        <w:t xml:space="preserve">B.3 Funnel — Type 2 Diabetes</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4991"/>
        <w:gridCol w:w="2667"/>
        <w:gridCol w:w="2232"/>
      </w:tblGrid>
      <w:tr>
        <w:trPr>
          <w:tblHeader/>
        </w:trPr>
        <w:tc>
          <w:tcPr>
            <w:tcW w:type="dxa" w:w="4991"/>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Parameter</w:t>
            </w:r>
          </w:p>
        </w:tc>
        <w:tc>
          <w:tcPr>
            <w:tcW w:type="dxa" w:w="2667"/>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Default</w:t>
            </w:r>
          </w:p>
        </w:tc>
        <w:tc>
          <w:tcPr>
            <w:tcW w:type="dxa" w:w="2232"/>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Tier</w:t>
            </w:r>
          </w:p>
        </w:tc>
      </w:tr>
      <w:tr>
        <w:tc>
          <w:tcPr>
            <w:tcW w:type="dxa" w:w="4991"/>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Diagnosis rate</w:t>
            </w:r>
          </w:p>
        </w:tc>
        <w:tc>
          <w:tcPr>
            <w:tcW w:type="dxa" w:w="266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0.75</w:t>
            </w:r>
          </w:p>
        </w:tc>
        <w:tc>
          <w:tcPr>
            <w:tcW w:type="dxa" w:w="223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w:t>
            </w:r>
          </w:p>
        </w:tc>
      </w:tr>
      <w:tr>
        <w:tc>
          <w:tcPr>
            <w:tcW w:type="dxa" w:w="4991"/>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Treatment rate (pharmacological)</w:t>
            </w:r>
          </w:p>
        </w:tc>
        <w:tc>
          <w:tcPr>
            <w:tcW w:type="dxa" w:w="266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0.85</w:t>
            </w:r>
          </w:p>
        </w:tc>
        <w:tc>
          <w:tcPr>
            <w:tcW w:type="dxa" w:w="2232"/>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w:t>
            </w:r>
          </w:p>
        </w:tc>
      </w:tr>
      <w:tr>
        <w:tc>
          <w:tcPr>
            <w:tcW w:type="dxa" w:w="4991"/>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Access rate</w:t>
            </w:r>
          </w:p>
        </w:tc>
        <w:tc>
          <w:tcPr>
            <w:tcW w:type="dxa" w:w="266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0.80</w:t>
            </w:r>
          </w:p>
        </w:tc>
        <w:tc>
          <w:tcPr>
            <w:tcW w:type="dxa" w:w="2232"/>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w:t>
            </w:r>
          </w:p>
        </w:tc>
      </w:tr>
    </w:tbl>
    <w:p>
      <w:pPr>
        <w:spacing w:after="160"/>
      </w:pPr>
    </w:p>
    <w:p>
      <w:pPr>
        <w:pStyle w:val="Heading3"/>
        <w:keepNext/>
        <w:spacing w:after="90" w:before="260"/>
      </w:pPr>
      <w:r>
        <w:rPr>
          <w:rFonts w:ascii="Calibri" w:cs="Calibri" w:eastAsia="Calibri" w:hAnsi="Calibri"/>
          <w:b/>
          <w:bCs/>
          <w:color w:val="2E5C8A"/>
          <w:sz w:val="23"/>
          <w:szCs w:val="23"/>
        </w:rPr>
        <w:t xml:space="preserve">B.4 Uptake</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4460"/>
        <w:gridCol w:w="3020"/>
        <w:gridCol w:w="2410"/>
      </w:tblGrid>
      <w:tr>
        <w:trPr>
          <w:tblHeader/>
        </w:trPr>
        <w:tc>
          <w:tcPr>
            <w:tcW w:type="dxa" w:w="4460"/>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Parameter</w:t>
            </w:r>
          </w:p>
        </w:tc>
        <w:tc>
          <w:tcPr>
            <w:tcW w:type="dxa" w:w="3020"/>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Default</w:t>
            </w:r>
          </w:p>
        </w:tc>
        <w:tc>
          <w:tcPr>
            <w:tcW w:type="dxa" w:w="2410"/>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Tier</w:t>
            </w:r>
          </w:p>
        </w:tc>
      </w:tr>
      <w:tr>
        <w:tc>
          <w:tcPr>
            <w:tcW w:type="dxa" w:w="446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Curve family</w:t>
            </w:r>
          </w:p>
        </w:tc>
        <w:tc>
          <w:tcPr>
            <w:tcW w:type="dxa" w:w="302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Logistic</w:t>
            </w:r>
          </w:p>
        </w:tc>
        <w:tc>
          <w:tcPr>
            <w:tcW w:type="dxa" w:w="241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w:t>
            </w:r>
          </w:p>
        </w:tc>
      </w:tr>
      <w:tr>
        <w:tc>
          <w:tcPr>
            <w:tcW w:type="dxa" w:w="446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Year 1 uptake</w:t>
            </w:r>
          </w:p>
        </w:tc>
        <w:tc>
          <w:tcPr>
            <w:tcW w:type="dxa" w:w="302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0.05</w:t>
            </w:r>
          </w:p>
        </w:tc>
        <w:tc>
          <w:tcPr>
            <w:tcW w:type="dxa" w:w="241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w:t>
            </w:r>
          </w:p>
        </w:tc>
      </w:tr>
      <w:tr>
        <w:tc>
          <w:tcPr>
            <w:tcW w:type="dxa" w:w="446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Terminal uptake</w:t>
            </w:r>
          </w:p>
        </w:tc>
        <w:tc>
          <w:tcPr>
            <w:tcW w:type="dxa" w:w="302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0.15</w:t>
            </w:r>
          </w:p>
        </w:tc>
        <w:tc>
          <w:tcPr>
            <w:tcW w:type="dxa" w:w="241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w:t>
            </w:r>
          </w:p>
        </w:tc>
      </w:tr>
      <w:tr>
        <w:tc>
          <w:tcPr>
            <w:tcW w:type="dxa" w:w="446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Logistic steepness </w:t>
            </w:r>
            <w:r>
              <w:rPr>
                <w:rFonts w:ascii="Consolas" w:cs="Consolas" w:eastAsia="Consolas" w:hAnsi="Consolas"/>
                <w:b w:val="false"/>
                <w:bCs w:val="false"/>
                <w:color w:val="8A2E2E"/>
                <w:sz w:val="15"/>
                <w:szCs w:val="15"/>
                <w:shd w:fill="F1F1F1" w:color="auto" w:val="clear"/>
              </w:rPr>
              <w:t xml:space="preserve">k</w:t>
            </w:r>
          </w:p>
        </w:tc>
        <w:tc>
          <w:tcPr>
            <w:tcW w:type="dxa" w:w="302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1.2</w:t>
            </w:r>
          </w:p>
        </w:tc>
        <w:tc>
          <w:tcPr>
            <w:tcW w:type="dxa" w:w="2410"/>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w:t>
            </w:r>
          </w:p>
        </w:tc>
      </w:tr>
      <w:tr>
        <w:tc>
          <w:tcPr>
            <w:tcW w:type="dxa" w:w="446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Inflection year </w:t>
            </w:r>
            <w:r>
              <w:rPr>
                <w:rFonts w:ascii="Consolas" w:cs="Consolas" w:eastAsia="Consolas" w:hAnsi="Consolas"/>
                <w:b w:val="false"/>
                <w:bCs w:val="false"/>
                <w:color w:val="8A2E2E"/>
                <w:sz w:val="15"/>
                <w:szCs w:val="15"/>
                <w:shd w:fill="F1F1F1" w:color="auto" w:val="clear"/>
              </w:rPr>
              <w:t xml:space="preserve">y_mid</w:t>
            </w:r>
          </w:p>
        </w:tc>
        <w:tc>
          <w:tcPr>
            <w:tcW w:type="dxa" w:w="3020"/>
            <w:tcMar>
              <w:top w:type="dxa" w:w="60"/>
              <w:left w:type="dxa" w:w="100"/>
              <w:bottom w:type="dxa" w:w="60"/>
              <w:right w:type="dxa" w:w="100"/>
            </w:tcMar>
          </w:tcPr>
          <w:p>
            <w:pPr>
              <w:spacing w:after="0" w:before="0" w:line="240"/>
              <w:jc w:val="left"/>
            </w:pPr>
            <w:r>
              <w:rPr>
                <w:rFonts w:ascii="Consolas" w:cs="Consolas" w:eastAsia="Consolas" w:hAnsi="Consolas"/>
                <w:b w:val="false"/>
                <w:bCs w:val="false"/>
                <w:color w:val="8A2E2E"/>
                <w:sz w:val="15"/>
                <w:szCs w:val="15"/>
                <w:shd w:fill="F1F1F1" w:color="auto" w:val="clear"/>
              </w:rPr>
              <w:t xml:space="preserve">N / 2</w:t>
            </w:r>
          </w:p>
        </w:tc>
        <w:tc>
          <w:tcPr>
            <w:tcW w:type="dxa" w:w="2410"/>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w:t>
            </w:r>
          </w:p>
        </w:tc>
      </w:tr>
    </w:tbl>
    <w:p>
      <w:pPr>
        <w:spacing w:after="160"/>
      </w:pPr>
    </w:p>
    <w:p>
      <w:pPr>
        <w:pStyle w:val="Heading3"/>
        <w:keepNext/>
        <w:spacing w:after="90" w:before="260"/>
      </w:pPr>
      <w:r>
        <w:rPr>
          <w:rFonts w:ascii="Calibri" w:cs="Calibri" w:eastAsia="Calibri" w:hAnsi="Calibri"/>
          <w:b/>
          <w:bCs/>
          <w:color w:val="2E5C8A"/>
          <w:sz w:val="23"/>
          <w:szCs w:val="23"/>
        </w:rPr>
        <w:t xml:space="preserve">B.5 Cost and Persistence</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5354"/>
        <w:gridCol w:w="2469"/>
        <w:gridCol w:w="2067"/>
      </w:tblGrid>
      <w:tr>
        <w:trPr>
          <w:tblHeader/>
        </w:trPr>
        <w:tc>
          <w:tcPr>
            <w:tcW w:type="dxa" w:w="5354"/>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Parameter</w:t>
            </w:r>
          </w:p>
        </w:tc>
        <w:tc>
          <w:tcPr>
            <w:tcW w:type="dxa" w:w="2469"/>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Default</w:t>
            </w:r>
          </w:p>
        </w:tc>
        <w:tc>
          <w:tcPr>
            <w:tcW w:type="dxa" w:w="2067"/>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Tier</w:t>
            </w:r>
          </w:p>
        </w:tc>
      </w:tr>
      <w:tr>
        <w:tc>
          <w:tcPr>
            <w:tcW w:type="dxa" w:w="535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Twelve-month persistence — incretin class</w:t>
            </w:r>
          </w:p>
        </w:tc>
        <w:tc>
          <w:tcPr>
            <w:tcW w:type="dxa" w:w="246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0.50</w:t>
            </w:r>
          </w:p>
        </w:tc>
        <w:tc>
          <w:tcPr>
            <w:tcW w:type="dxa" w:w="206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w:t>
            </w:r>
          </w:p>
        </w:tc>
      </w:tr>
      <w:tr>
        <w:tc>
          <w:tcPr>
            <w:tcW w:type="dxa" w:w="535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Twelve-month persistence — oral antidiabetic</w:t>
            </w:r>
          </w:p>
        </w:tc>
        <w:tc>
          <w:tcPr>
            <w:tcW w:type="dxa" w:w="246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0.70</w:t>
            </w:r>
          </w:p>
        </w:tc>
        <w:tc>
          <w:tcPr>
            <w:tcW w:type="dxa" w:w="206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w:t>
            </w:r>
          </w:p>
        </w:tc>
      </w:tr>
      <w:tr>
        <w:tc>
          <w:tcPr>
            <w:tcW w:type="dxa" w:w="535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Twelve-month persistence — insulin</w:t>
            </w:r>
          </w:p>
        </w:tc>
        <w:tc>
          <w:tcPr>
            <w:tcW w:type="dxa" w:w="246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0.85</w:t>
            </w:r>
          </w:p>
        </w:tc>
        <w:tc>
          <w:tcPr>
            <w:tcW w:type="dxa" w:w="206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w:t>
            </w:r>
          </w:p>
        </w:tc>
      </w:tr>
      <w:tr>
        <w:tc>
          <w:tcPr>
            <w:tcW w:type="dxa" w:w="535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Wastage — injectable pen</w:t>
            </w:r>
          </w:p>
        </w:tc>
        <w:tc>
          <w:tcPr>
            <w:tcW w:type="dxa" w:w="246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0.05</w:t>
            </w:r>
          </w:p>
        </w:tc>
        <w:tc>
          <w:tcPr>
            <w:tcW w:type="dxa" w:w="206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w:t>
            </w:r>
          </w:p>
        </w:tc>
      </w:tr>
      <w:tr>
        <w:tc>
          <w:tcPr>
            <w:tcW w:type="dxa" w:w="535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Wastage — oral</w:t>
            </w:r>
          </w:p>
        </w:tc>
        <w:tc>
          <w:tcPr>
            <w:tcW w:type="dxa" w:w="246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0.02</w:t>
            </w:r>
          </w:p>
        </w:tc>
        <w:tc>
          <w:tcPr>
            <w:tcW w:type="dxa" w:w="206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w:t>
            </w:r>
          </w:p>
        </w:tc>
      </w:tr>
      <w:tr>
        <w:tc>
          <w:tcPr>
            <w:tcW w:type="dxa" w:w="535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Gross-to-net — USA</w:t>
            </w:r>
          </w:p>
        </w:tc>
        <w:tc>
          <w:tcPr>
            <w:tcW w:type="dxa" w:w="246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0.50</w:t>
            </w:r>
          </w:p>
        </w:tc>
        <w:tc>
          <w:tcPr>
            <w:tcW w:type="dxa" w:w="206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w:t>
            </w:r>
          </w:p>
        </w:tc>
      </w:tr>
      <w:tr>
        <w:tc>
          <w:tcPr>
            <w:tcW w:type="dxa" w:w="535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Gross-to-net — EU markets</w:t>
            </w:r>
          </w:p>
        </w:tc>
        <w:tc>
          <w:tcPr>
            <w:tcW w:type="dxa" w:w="246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0.20</w:t>
            </w:r>
          </w:p>
        </w:tc>
        <w:tc>
          <w:tcPr>
            <w:tcW w:type="dxa" w:w="206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w:t>
            </w:r>
          </w:p>
        </w:tc>
      </w:tr>
      <w:tr>
        <w:tc>
          <w:tcPr>
            <w:tcW w:type="dxa" w:w="535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PPP income elasticity </w:t>
            </w:r>
            <w:r>
              <w:rPr>
                <w:rFonts w:ascii="Consolas" w:cs="Consolas" w:eastAsia="Consolas" w:hAnsi="Consolas"/>
                <w:b w:val="false"/>
                <w:bCs w:val="false"/>
                <w:color w:val="8A2E2E"/>
                <w:sz w:val="15"/>
                <w:szCs w:val="15"/>
                <w:shd w:fill="F1F1F1" w:color="auto" w:val="clear"/>
              </w:rPr>
              <w:t xml:space="preserve">ε</w:t>
            </w:r>
          </w:p>
        </w:tc>
        <w:tc>
          <w:tcPr>
            <w:tcW w:type="dxa" w:w="2469"/>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1.00</w:t>
            </w:r>
          </w:p>
        </w:tc>
        <w:tc>
          <w:tcPr>
            <w:tcW w:type="dxa" w:w="206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w:t>
            </w:r>
          </w:p>
        </w:tc>
      </w:tr>
      <w:tr>
        <w:tc>
          <w:tcPr>
            <w:tcW w:type="dxa" w:w="535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PPP price floor</w:t>
            </w:r>
          </w:p>
        </w:tc>
        <w:tc>
          <w:tcPr>
            <w:tcW w:type="dxa" w:w="2469"/>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0.05</w:t>
            </w:r>
          </w:p>
        </w:tc>
        <w:tc>
          <w:tcPr>
            <w:tcW w:type="dxa" w:w="206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w:t>
            </w:r>
          </w:p>
        </w:tc>
      </w:tr>
    </w:tbl>
    <w:p>
      <w:pPr>
        <w:spacing w:after="160"/>
      </w:pPr>
    </w:p>
    <w:p>
      <w:pPr>
        <w:pStyle w:val="Heading3"/>
        <w:keepNext/>
        <w:spacing w:after="90" w:before="260"/>
      </w:pPr>
      <w:r>
        <w:rPr>
          <w:rFonts w:ascii="Calibri" w:cs="Calibri" w:eastAsia="Calibri" w:hAnsi="Calibri"/>
          <w:b/>
          <w:bCs/>
          <w:color w:val="2E5C8A"/>
          <w:sz w:val="23"/>
          <w:szCs w:val="23"/>
        </w:rPr>
        <w:t xml:space="preserve">B.6 Analysis</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5934"/>
        <w:gridCol w:w="3956"/>
      </w:tblGrid>
      <w:tr>
        <w:trPr>
          <w:tblHeader/>
        </w:trPr>
        <w:tc>
          <w:tcPr>
            <w:tcW w:type="dxa" w:w="5934"/>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Parameter</w:t>
            </w:r>
          </w:p>
        </w:tc>
        <w:tc>
          <w:tcPr>
            <w:tcW w:type="dxa" w:w="3956"/>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Default</w:t>
            </w:r>
          </w:p>
        </w:tc>
      </w:tr>
      <w:tr>
        <w:tc>
          <w:tcPr>
            <w:tcW w:type="dxa" w:w="593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Time horizon</w:t>
            </w:r>
          </w:p>
        </w:tc>
        <w:tc>
          <w:tcPr>
            <w:tcW w:type="dxa" w:w="395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3 years</w:t>
            </w:r>
          </w:p>
        </w:tc>
      </w:tr>
      <w:tr>
        <w:tc>
          <w:tcPr>
            <w:tcW w:type="dxa" w:w="593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Reporting currency</w:t>
            </w:r>
          </w:p>
        </w:tc>
        <w:tc>
          <w:tcPr>
            <w:tcW w:type="dxa" w:w="3956"/>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USD</w:t>
            </w:r>
          </w:p>
        </w:tc>
      </w:tr>
      <w:tr>
        <w:tc>
          <w:tcPr>
            <w:tcW w:type="dxa" w:w="593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PSA iterations</w:t>
            </w:r>
          </w:p>
        </w:tc>
        <w:tc>
          <w:tcPr>
            <w:tcW w:type="dxa" w:w="395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5,000</w:t>
            </w:r>
          </w:p>
        </w:tc>
      </w:tr>
      <w:tr>
        <w:tc>
          <w:tcPr>
            <w:tcW w:type="dxa" w:w="593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PSA random seed</w:t>
            </w:r>
          </w:p>
        </w:tc>
        <w:tc>
          <w:tcPr>
            <w:tcW w:type="dxa" w:w="3956"/>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20260906</w:t>
            </w:r>
          </w:p>
        </w:tc>
      </w:tr>
      <w:tr>
        <w:tc>
          <w:tcPr>
            <w:tcW w:type="dxa" w:w="593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OWSA variation where no range is published</w:t>
            </w:r>
          </w:p>
        </w:tc>
        <w:tc>
          <w:tcPr>
            <w:tcW w:type="dxa" w:w="395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±20%</w:t>
            </w:r>
          </w:p>
        </w:tc>
      </w:tr>
      <w:tr>
        <w:tc>
          <w:tcPr>
            <w:tcW w:type="dxa" w:w="5934"/>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Solver tolerance</w:t>
            </w:r>
          </w:p>
        </w:tc>
        <w:tc>
          <w:tcPr>
            <w:tcW w:type="dxa" w:w="3956"/>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1 × 10⁻⁶ relative</w:t>
            </w:r>
          </w:p>
        </w:tc>
      </w:tr>
      <w:tr>
        <w:tc>
          <w:tcPr>
            <w:tcW w:type="dxa" w:w="5934"/>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Solver maximum iterations</w:t>
            </w:r>
          </w:p>
        </w:tc>
        <w:tc>
          <w:tcPr>
            <w:tcW w:type="dxa" w:w="3956"/>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100</w:t>
            </w:r>
          </w:p>
        </w:tc>
      </w:tr>
    </w:tbl>
    <w:p>
      <w:pPr>
        <w:spacing w:after="160"/>
      </w:pPr>
    </w:p>
    <w:p>
      <w:pPr>
        <w:pBdr>
          <w:bottom w:val="single" w:color="C6CFDA" w:sz="4" w:space="2"/>
        </w:pBdr>
        <w:spacing w:after="160" w:before="60"/>
      </w:pPr>
    </w:p>
    <w:p>
      <w:pPr>
        <w:pStyle w:val="Heading2"/>
        <w:keepNext/>
        <w:pBdr>
          <w:bottom w:val="single" w:color="C6CFDA" w:sz="6" w:space="6"/>
        </w:pBdr>
        <w:spacing w:after="140" w:before="360"/>
      </w:pPr>
      <w:r>
        <w:rPr>
          <w:rFonts w:ascii="Calibri" w:cs="Calibri" w:eastAsia="Calibri" w:hAnsi="Calibri"/>
          <w:b/>
          <w:bCs/>
          <w:color w:val="1F3864"/>
          <w:sz w:val="28"/>
          <w:szCs w:val="28"/>
        </w:rPr>
        <w:t xml:space="preserve">Appendix C — Reference Standards</w:t>
      </w:r>
    </w:p>
    <w:tbl>
      <w:tblPr>
        <w:tblW w:type="dxa" w:w="9890"/>
        <w:tblBorders>
          <w:top w:val="single" w:color="C6CFDA" w:sz="2"/>
          <w:left w:val="single" w:color="C6CFDA" w:sz="2"/>
          <w:bottom w:val="single" w:color="C6CFDA" w:sz="2"/>
          <w:right w:val="single" w:color="C6CFDA" w:sz="2"/>
          <w:insideH w:val="single" w:color="C6CFDA" w:sz="2"/>
          <w:insideV w:val="single" w:color="C6CFDA" w:sz="2"/>
        </w:tblBorders>
      </w:tblPr>
      <w:tblGrid>
        <w:gridCol w:w="3368"/>
        <w:gridCol w:w="2255"/>
        <w:gridCol w:w="4267"/>
      </w:tblGrid>
      <w:tr>
        <w:trPr>
          <w:tblHeader/>
        </w:trPr>
        <w:tc>
          <w:tcPr>
            <w:tcW w:type="dxa" w:w="3368"/>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Standard</w:t>
            </w:r>
          </w:p>
        </w:tc>
        <w:tc>
          <w:tcPr>
            <w:tcW w:type="dxa" w:w="2255"/>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Body</w:t>
            </w:r>
          </w:p>
        </w:tc>
        <w:tc>
          <w:tcPr>
            <w:tcW w:type="dxa" w:w="4267"/>
            <w:shd w:fill="1F3864" w:color="auto" w:val="clear"/>
            <w:tcMar>
              <w:top w:type="dxa" w:w="60"/>
              <w:left w:type="dxa" w:w="100"/>
              <w:bottom w:type="dxa" w:w="60"/>
              <w:right w:type="dxa" w:w="100"/>
            </w:tcMar>
          </w:tcPr>
          <w:p>
            <w:pPr>
              <w:spacing w:after="0" w:before="0" w:line="240"/>
              <w:jc w:val="left"/>
            </w:pPr>
            <w:r>
              <w:rPr>
                <w:rFonts w:ascii="Calibri" w:cs="Calibri" w:eastAsia="Calibri" w:hAnsi="Calibri"/>
                <w:b/>
                <w:bCs/>
                <w:color w:val="FFFFFF"/>
                <w:sz w:val="18"/>
                <w:szCs w:val="18"/>
              </w:rPr>
              <w:t xml:space="preserve">Application in BIET</w:t>
            </w:r>
          </w:p>
        </w:tc>
      </w:tr>
      <w:tr>
        <w:tc>
          <w:tcPr>
            <w:tcW w:type="dxa" w:w="336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Principles of Good Practice for Budget Impact Analysis</w:t>
            </w:r>
          </w:p>
        </w:tc>
        <w:tc>
          <w:tcPr>
            <w:tcW w:type="dxa" w:w="225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ISPOR Task Force</w:t>
            </w:r>
          </w:p>
        </w:tc>
        <w:tc>
          <w:tcPr>
            <w:tcW w:type="dxa" w:w="426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Incremental world-with/world-without construction; decision-maker perspective; scenario-based presentation of uncertainty</w:t>
            </w:r>
          </w:p>
        </w:tc>
      </w:tr>
      <w:tr>
        <w:tc>
          <w:tcPr>
            <w:tcW w:type="dxa" w:w="336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Budget Impact Analysis — Principles of Good Practice II</w:t>
            </w:r>
          </w:p>
        </w:tc>
        <w:tc>
          <w:tcPr>
            <w:tcW w:type="dxa" w:w="225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ISPOR Task Force (2012)</w:t>
            </w:r>
          </w:p>
        </w:tc>
        <w:tc>
          <w:tcPr>
            <w:tcW w:type="dxa" w:w="426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Reporting structure; treatment-mix modelling; time-horizon convention</w:t>
            </w:r>
          </w:p>
        </w:tc>
      </w:tr>
      <w:tr>
        <w:tc>
          <w:tcPr>
            <w:tcW w:type="dxa" w:w="336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Company budget impact analysis submission</w:t>
            </w:r>
          </w:p>
        </w:tc>
        <w:tc>
          <w:tcPr>
            <w:tcW w:type="dxa" w:w="225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NICE</w:t>
            </w:r>
          </w:p>
        </w:tc>
        <w:tc>
          <w:tcPr>
            <w:tcW w:type="dxa" w:w="426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Assumption register content; required disclosure of data vintage and source</w:t>
            </w:r>
          </w:p>
        </w:tc>
      </w:tr>
      <w:tr>
        <w:tc>
          <w:tcPr>
            <w:tcW w:type="dxa" w:w="336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Budget impact test procedure</w:t>
            </w:r>
          </w:p>
        </w:tc>
        <w:tc>
          <w:tcPr>
            <w:tcW w:type="dxa" w:w="225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NICE</w:t>
            </w:r>
          </w:p>
        </w:tc>
        <w:tc>
          <w:tcPr>
            <w:tcW w:type="dxa" w:w="426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Affordability threshold mechanics informing the band classification in §5.7</w:t>
            </w:r>
          </w:p>
        </w:tc>
      </w:tr>
      <w:tr>
        <w:tc>
          <w:tcPr>
            <w:tcW w:type="dxa" w:w="336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Budget impact analysis teaching materials</w:t>
            </w:r>
          </w:p>
        </w:tc>
        <w:tc>
          <w:tcPr>
            <w:tcW w:type="dxa" w:w="225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WHO</w:t>
            </w:r>
          </w:p>
        </w:tc>
        <w:tc>
          <w:tcPr>
            <w:tcW w:type="dxa" w:w="426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Epidemiological population derivation methodology</w:t>
            </w:r>
          </w:p>
        </w:tc>
      </w:tr>
      <w:tr>
        <w:tc>
          <w:tcPr>
            <w:tcW w:type="dxa" w:w="336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ISO 3166-1 alpha-3</w:t>
            </w:r>
          </w:p>
        </w:tc>
        <w:tc>
          <w:tcPr>
            <w:tcW w:type="dxa" w:w="225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ISO</w:t>
            </w:r>
          </w:p>
        </w:tc>
        <w:tc>
          <w:tcPr>
            <w:tcW w:type="dxa" w:w="426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Country identification</w:t>
            </w:r>
          </w:p>
        </w:tc>
      </w:tr>
      <w:tr>
        <w:tc>
          <w:tcPr>
            <w:tcW w:type="dxa" w:w="3368"/>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ISO 4217</w:t>
            </w:r>
          </w:p>
        </w:tc>
        <w:tc>
          <w:tcPr>
            <w:tcW w:type="dxa" w:w="2255"/>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ISO</w:t>
            </w:r>
          </w:p>
        </w:tc>
        <w:tc>
          <w:tcPr>
            <w:tcW w:type="dxa" w:w="4267"/>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Currency identification</w:t>
            </w:r>
          </w:p>
        </w:tc>
      </w:tr>
      <w:tr>
        <w:tc>
          <w:tcPr>
            <w:tcW w:type="dxa" w:w="3368"/>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Semantic Versioning 2.0.0</w:t>
            </w:r>
          </w:p>
        </w:tc>
        <w:tc>
          <w:tcPr>
            <w:tcW w:type="dxa" w:w="2255"/>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w:t>
            </w:r>
          </w:p>
        </w:tc>
        <w:tc>
          <w:tcPr>
            <w:tcW w:type="dxa" w:w="4267"/>
            <w:shd w:fill="F2F5F9" w:color="auto" w:val="clear"/>
            <w:tcMar>
              <w:top w:type="dxa" w:w="60"/>
              <w:left w:type="dxa" w:w="100"/>
              <w:bottom w:type="dxa" w:w="60"/>
              <w:right w:type="dxa" w:w="100"/>
            </w:tcMar>
          </w:tcPr>
          <w:p>
            <w:pPr>
              <w:spacing w:after="0" w:before="0" w:line="240"/>
              <w:jc w:val="left"/>
            </w:pPr>
            <w:r>
              <w:rPr>
                <w:rFonts w:ascii="Calibri" w:cs="Calibri" w:eastAsia="Calibri" w:hAnsi="Calibri"/>
                <w:b w:val="false"/>
                <w:bCs w:val="false"/>
                <w:color w:val="1A1A1A"/>
                <w:sz w:val="18"/>
                <w:szCs w:val="18"/>
              </w:rPr>
              <w:t xml:space="preserve">Engine version discipline</w:t>
            </w:r>
          </w:p>
        </w:tc>
      </w:tr>
    </w:tbl>
    <w:p>
      <w:pPr>
        <w:spacing w:after="160"/>
      </w:pPr>
    </w:p>
    <w:p>
      <w:pPr>
        <w:pBdr>
          <w:bottom w:val="single" w:color="C6CFDA" w:sz="4" w:space="2"/>
        </w:pBdr>
        <w:spacing w:after="160" w:before="60"/>
      </w:pPr>
    </w:p>
    <w:p>
      <w:pPr>
        <w:spacing w:before="240"/>
        <w:jc w:val="center"/>
      </w:pPr>
      <w:r>
        <w:rPr>
          <w:rFonts w:ascii="Calibri" w:cs="Calibri" w:eastAsia="Calibri" w:hAnsi="Calibri"/>
          <w:i/>
          <w:iCs/>
          <w:color w:val="5A6673"/>
          <w:sz w:val="18"/>
          <w:szCs w:val="18"/>
        </w:rPr>
        <w:t xml:space="preserve">End of document.</w:t>
      </w:r>
    </w:p>
    <w:sectPr>
      <w:headerReference w:type="default" r:id="rId7"/>
      <w:footerReference w:type="default" r:id="rId8"/>
      <w:pgSz w:w="11906" w:h="16838" w:orient="portrait"/>
      <w:pgMar w:top="1152" w:right="1008" w:bottom="115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Calibri" w:cs="Calibri" w:eastAsia="Calibri" w:hAnsi="Calibri"/>
        <w:color w:val="5A6673"/>
        <w:sz w:val="16"/>
        <w:szCs w:val="16"/>
      </w:rPr>
      <w:t xml:space="preserve">Page </w:t>
    </w:r>
    <w:r>
      <w:rPr>
        <w:rFonts w:ascii="Calibri" w:cs="Calibri" w:eastAsia="Calibri" w:hAnsi="Calibri"/>
        <w:color w:val="5A6673"/>
        <w:sz w:val="16"/>
        <w:szCs w:val="16"/>
      </w:rPr>
      <w:fldChar w:fldCharType="begin"/>
      <w:instrText xml:space="preserve">PAGE</w:instrText>
      <w:fldChar w:fldCharType="separate"/>
      <w:fldChar w:fldCharType="end"/>
    </w:r>
    <w:r>
      <w:rPr>
        <w:rFonts w:ascii="Calibri" w:cs="Calibri" w:eastAsia="Calibri" w:hAnsi="Calibri"/>
        <w:color w:val="5A6673"/>
        <w:sz w:val="16"/>
        <w:szCs w:val="16"/>
      </w:rPr>
      <w:t xml:space="preserve"> of </w:t>
    </w:r>
    <w:r>
      <w:rPr>
        <w:rFonts w:ascii="Calibri" w:cs="Calibri" w:eastAsia="Calibri" w:hAnsi="Calibri"/>
        <w:color w:val="5A66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FDA" w:sz="4" w:space="4"/>
      </w:pBdr>
      <w:tabs>
        <w:tab w:val="right" w:pos="9890"/>
      </w:tabs>
      <w:spacing w:after="80"/>
    </w:pPr>
    <w:r>
      <w:rPr>
        <w:rFonts w:ascii="Calibri" w:cs="Calibri" w:eastAsia="Calibri" w:hAnsi="Calibri"/>
        <w:color w:val="5A6673"/>
        <w:sz w:val="16"/>
        <w:szCs w:val="16"/>
      </w:rPr>
      <w:t xml:space="preserve">BIET — Architecture &amp; Design Specification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1F3864"/>
      <w:sz w:val="28"/>
      <w:szCs w:val="28"/>
    </w:rPr>
  </w:style>
  <w:style w:type="paragraph" w:styleId="Heading3">
    <w:name w:val="Heading 3"/>
    <w:basedOn w:val="Normal"/>
    <w:next w:val="Normal"/>
    <w:qFormat/>
    <w:rPr>
      <w:rFonts w:ascii="Calibri" w:cs="Calibri" w:eastAsia="Calibri" w:hAnsi="Calibri"/>
      <w:b/>
      <w:bCs/>
      <w:color w:val="2E5C8A"/>
      <w:sz w:val="23"/>
      <w:szCs w:val="23"/>
    </w:rPr>
  </w:style>
  <w:style w:type="paragraph" w:styleId="Heading4">
    <w:name w:val="Heading 4"/>
    <w:basedOn w:val="Normal"/>
    <w:next w:val="Normal"/>
    <w:qFormat/>
    <w:rPr>
      <w:rFonts w:ascii="Calibri" w:cs="Calibri" w:eastAsia="Calibri" w:hAnsi="Calibri"/>
      <w:b/>
      <w:bCs/>
      <w:color w:val="2E5C8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BIET — Architecture &amp; Design Specification</dc:title>
  <dc:creator>BIET Project</dc:creator>
  <dc:description>Architecture and design specification for the Budget Impact Estimation Tool</dc:description>
  <cp:lastModifiedBy>Un-named</cp:lastModifiedBy>
  <cp:revision>1</cp:revision>
  <dcterms:created xsi:type="dcterms:W3CDTF">2026-08-23T12:45:28.434Z</dcterms:created>
  <dcterms:modified xsi:type="dcterms:W3CDTF">2026-08-23T12:45:28.434Z</dcterms:modified>
</cp:coreProperties>
</file>

<file path=docProps/custom.xml><?xml version="1.0" encoding="utf-8"?>
<Properties xmlns="http://schemas.openxmlformats.org/officeDocument/2006/custom-properties" xmlns:vt="http://schemas.openxmlformats.org/officeDocument/2006/docPropsVTypes"/>
</file>