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200"/>
        <w:jc w:val="center"/>
      </w:pPr>
      <w:r>
        <w:rPr>
          <w:rFonts w:ascii="Calibri" w:cs="Calibri" w:eastAsia="Calibri" w:hAnsi="Calibri"/>
          <w:b/>
          <w:bCs/>
          <w:color w:val="3C3489"/>
          <w:sz w:val="46"/>
          <w:szCs w:val="46"/>
        </w:rPr>
        <w:t xml:space="preserve">Predicting Gut Dysbiosis in PCOS and Endometriosis</w:t>
      </w:r>
    </w:p>
    <w:p>
      <w:pPr>
        <w:spacing w:after="300"/>
        <w:jc w:val="center"/>
      </w:pPr>
      <w:r>
        <w:rPr>
          <w:rFonts w:ascii="Calibri" w:cs="Calibri" w:eastAsia="Calibri" w:hAnsi="Calibri"/>
          <w:color w:val="1A1A2E"/>
          <w:sz w:val="26"/>
          <w:szCs w:val="26"/>
        </w:rPr>
        <w:t xml:space="preserve">A reproducible machine-learning pipeline over real 16S rRNA gut-microbiome data</w:t>
      </w:r>
    </w:p>
    <w:p>
      <w:pPr>
        <w:spacing w:after="40"/>
        <w:jc w:val="center"/>
      </w:pPr>
      <w:r>
        <w:rPr>
          <w:rFonts w:ascii="Calibri" w:cs="Calibri" w:eastAsia="Calibri" w:hAnsi="Calibri"/>
          <w:i/>
          <w:iCs/>
          <w:color w:val="5F5E5A"/>
          <w:sz w:val="22"/>
          <w:szCs w:val="22"/>
        </w:rPr>
        <w:t xml:space="preserve">Project report for discussion — methods, datasets, results and interpretation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Author: Subha    ·    Estrobolome / Gut-Dysbiosis ML project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5F5E5A"/>
          <w:sz w:val="20"/>
          <w:szCs w:val="20"/>
        </w:rPr>
        <w:t xml:space="preserve">Code: github.com/sumithraju/GutDys</w:t>
      </w:r>
    </w:p>
    <w:p>
      <w:r>
        <w:br w:type="page"/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3C3489"/>
          <w:sz w:val="30"/>
          <w:szCs w:val="30"/>
        </w:rPr>
        <w:t xml:space="preserve">Summary</w:t>
      </w:r>
    </w:p>
    <w:p>
      <w:pPr>
        <w:spacing w:after="130" w:line="276"/>
        <w:jc w:val="both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This report describes the two classifiers I built to separate healthy controls from women with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polycystic ovary syndrome (PCOS)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and with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endometriosis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, using only gut bacterial composition measured by 16S rRNA sequencing. Both models share one deliberately conservative pipeline, and my main goal throughout was honesty rather than a large headline number — so I spent as much effort on detecting leakage, over-fitting and batch confounding as on the modelling itself.</w:t>
      </w:r>
    </w:p>
    <w:p>
      <w:pPr>
        <w:spacing w:after="130" w:line="276"/>
        <w:jc w:val="both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The short version of the results: the PCOS model reaches a random-split test AUC of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0.79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, but a batch diagnostic shows that 15 of 21 features separate the two source studies better than they separate disease, so that number is optimistic. The endometriosis model reaches a random-split AUC of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0.68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, but its honest leave-one-study-out AUC is only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0.52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(chance). I traced most of that failure to a bioinformatics bug in the larger endometriosis cohort — 95% of its reads were being discarded — which I am currently reprocessing. The take-home is that within a single cohort there is a weak, literature-consistent signal, but robust cross-cohort prediction is not yet demonstrated for either disease at this sample size.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3C3489"/>
          <w:sz w:val="30"/>
          <w:szCs w:val="30"/>
        </w:rPr>
        <w:t xml:space="preserve">1. Motivation and aim</w:t>
      </w:r>
    </w:p>
    <w:p>
      <w:pPr>
        <w:spacing w:after="130" w:line="276"/>
        <w:jc w:val="both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The gut microbiome is increasingly linked to women's reproductive and metabolic health through the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estrobolome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— the community of gut bacteria that reactivate estrogens via the enzyme β-glucuronidase. Dysbiosis in this system has been associated with both PCOS (a metabolic/endocrine disorder) and endometriosis (an inflammatory, estrogen-dependent disorder). If a consistent microbial signature exists, a non-invasive stool test could in principle support diagnosis.</w:t>
      </w:r>
    </w:p>
    <w:p>
      <w:pPr>
        <w:spacing w:after="130" w:line="276"/>
        <w:jc w:val="both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My aim was to test that idea rigorously on real, public 16S data: build one reproducible pipeline that (a) classifies Control vs disease from gut taxa, (b) reports which taxa drive the prediction, and (c) — most importantly — does not fool itself. Microbiome ML is notorious for inflated results caused by data leakage and study batch effects, so the pipeline is built around catching those, and I report the pessimistic, defensible metrics rather than the flattering ones.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3C3489"/>
          <w:sz w:val="30"/>
          <w:szCs w:val="30"/>
        </w:rPr>
        <w:t xml:space="preserve">2. Datasets</w:t>
      </w:r>
    </w:p>
    <w:p>
      <w:pPr>
        <w:spacing w:after="130" w:line="276"/>
        <w:jc w:val="both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Everything here is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real sequenced data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downloaded from NCBI/ENA — no simulation. I treat both arms as pilot-scale, because sample sizes are small and the cohorts come from different labs.</w:t>
      </w:r>
    </w:p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1A1A2E"/>
          <w:sz w:val="25"/>
          <w:szCs w:val="25"/>
        </w:rPr>
        <w:t xml:space="preserve">2.1 PCOS arm</w:t>
      </w:r>
    </w:p>
    <w:p>
      <w:pPr>
        <w:spacing w:after="130" w:line="276"/>
        <w:jc w:val="both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Two public stool 16S studies were processed and pooled: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SRP077213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(Lindheim et al.) and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SRP085887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. After processing, the combined set is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91 samples (57 PCOS / 34 Control)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.</w:t>
      </w:r>
    </w:p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1A1A2E"/>
          <w:sz w:val="25"/>
          <w:szCs w:val="25"/>
        </w:rPr>
        <w:t xml:space="preserve">2.2 Endometriosis arm</w:t>
      </w:r>
    </w:p>
    <w:p>
      <w:pPr>
        <w:spacing w:after="130" w:line="276"/>
        <w:jc w:val="both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Three studies were collected.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PRJNA1145097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(Kommagani lab, stool, 50 samples, 31 Control / 19 Endometriosis) is clean, single-cohort data.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PRJNA424567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(the Endobiota study, Perrotta et al.) contributes 162 vaginal + rectal samples; because pooling body sites lets a model learn ‘which body site’ instead of disease, I kept only the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79 rectal/gut samples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and dropped the 82 vaginal ones.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PRJNA722289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(21 samples) had to be excluded entirely — its records carry only GEO sample IDs with no disease field, so the labels are unknown. The final trainable, gut-only set is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129 samples (67 Endometriosis / 62 Control)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.</w:t>
      </w:r>
    </w:p>
    <w:p>
      <w:pPr>
        <w:spacing w:after="60"/>
      </w:pPr>
      <w:r>
        <w:t xml:space="preserve"/>
      </w:r>
    </w:p>
    <w:tbl>
      <w:tblPr>
        <w:tblW w:type="dxa" w:w="8400"/>
        <w:tblBorders>
          <w:top w:val="single" w:color="D3D1C7" w:sz="2"/>
          <w:left w:val="single" w:color="D3D1C7" w:sz="2"/>
          <w:bottom w:val="single" w:color="D3D1C7" w:sz="2"/>
          <w:right w:val="single" w:color="D3D1C7" w:sz="2"/>
          <w:insideH w:val="single" w:color="E5E3DA" w:sz="1"/>
          <w:insideV w:val="single" w:color="E5E3DA" w:sz="1"/>
        </w:tblBorders>
      </w:tblPr>
      <w:tblGrid>
        <w:gridCol w:w="1100"/>
        <w:gridCol w:w="1900"/>
        <w:gridCol w:w="1400"/>
        <w:gridCol w:w="1500"/>
        <w:gridCol w:w="2500"/>
      </w:tblGrid>
      <w:tr>
        <w:trPr>
          <w:tblHeader/>
        </w:trPr>
        <w:tc>
          <w:tcPr>
            <w:tcW w:type="dxa" w:w="1100"/>
            <w:shd w:fill="3C348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Arm</w:t>
            </w:r>
          </w:p>
        </w:tc>
        <w:tc>
          <w:tcPr>
            <w:tcW w:type="dxa" w:w="1900"/>
            <w:shd w:fill="3C348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Study accession</w:t>
            </w:r>
          </w:p>
        </w:tc>
        <w:tc>
          <w:tcPr>
            <w:tcW w:type="dxa" w:w="1400"/>
            <w:shd w:fill="3C348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Samples used</w:t>
            </w:r>
          </w:p>
        </w:tc>
        <w:tc>
          <w:tcPr>
            <w:tcW w:type="dxa" w:w="1500"/>
            <w:shd w:fill="3C348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Labels</w:t>
            </w:r>
          </w:p>
        </w:tc>
        <w:tc>
          <w:tcPr>
            <w:tcW w:type="dxa" w:w="2500"/>
            <w:shd w:fill="3C348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11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PCOS</w:t>
            </w:r>
          </w:p>
        </w:tc>
        <w:tc>
          <w:tcPr>
            <w:tcW w:type="dxa" w:w="19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SRP077213</w:t>
            </w:r>
          </w:p>
        </w:tc>
        <w:tc>
          <w:tcPr>
            <w:tcW w:type="dxa" w:w="14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43</w:t>
            </w:r>
          </w:p>
        </w:tc>
        <w:tc>
          <w:tcPr>
            <w:tcW w:type="dxa" w:w="15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Control/PCOS</w:t>
            </w:r>
          </w:p>
        </w:tc>
        <w:tc>
          <w:tcPr>
            <w:tcW w:type="dxa" w:w="25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stool</w:t>
            </w:r>
          </w:p>
        </w:tc>
      </w:tr>
      <w:tr>
        <w:tc>
          <w:tcPr>
            <w:tcW w:type="dxa" w:w="1100"/>
            <w:shd w:fill="F1EFE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PCOS</w:t>
            </w:r>
          </w:p>
        </w:tc>
        <w:tc>
          <w:tcPr>
            <w:tcW w:type="dxa" w:w="1900"/>
            <w:shd w:fill="F1EFE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SRP085887</w:t>
            </w:r>
          </w:p>
        </w:tc>
        <w:tc>
          <w:tcPr>
            <w:tcW w:type="dxa" w:w="1400"/>
            <w:shd w:fill="F1EFE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48</w:t>
            </w:r>
          </w:p>
        </w:tc>
        <w:tc>
          <w:tcPr>
            <w:tcW w:type="dxa" w:w="1500"/>
            <w:shd w:fill="F1EFE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Control/PCOS</w:t>
            </w:r>
          </w:p>
        </w:tc>
        <w:tc>
          <w:tcPr>
            <w:tcW w:type="dxa" w:w="2500"/>
            <w:shd w:fill="F1EFE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stool</w:t>
            </w:r>
          </w:p>
        </w:tc>
      </w:tr>
      <w:tr>
        <w:tc>
          <w:tcPr>
            <w:tcW w:type="dxa" w:w="11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Endo</w:t>
            </w:r>
          </w:p>
        </w:tc>
        <w:tc>
          <w:tcPr>
            <w:tcW w:type="dxa" w:w="19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PRJNA1145097</w:t>
            </w:r>
          </w:p>
        </w:tc>
        <w:tc>
          <w:tcPr>
            <w:tcW w:type="dxa" w:w="14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50</w:t>
            </w:r>
          </w:p>
        </w:tc>
        <w:tc>
          <w:tcPr>
            <w:tcW w:type="dxa" w:w="15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31 C / 19 E</w:t>
            </w:r>
          </w:p>
        </w:tc>
        <w:tc>
          <w:tcPr>
            <w:tcW w:type="dxa" w:w="25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stool, clean</w:t>
            </w:r>
          </w:p>
        </w:tc>
      </w:tr>
      <w:tr>
        <w:tc>
          <w:tcPr>
            <w:tcW w:type="dxa" w:w="1100"/>
            <w:shd w:fill="F1EFE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Endo</w:t>
            </w:r>
          </w:p>
        </w:tc>
        <w:tc>
          <w:tcPr>
            <w:tcW w:type="dxa" w:w="1900"/>
            <w:shd w:fill="F1EFE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PRJNA424567</w:t>
            </w:r>
          </w:p>
        </w:tc>
        <w:tc>
          <w:tcPr>
            <w:tcW w:type="dxa" w:w="1400"/>
            <w:shd w:fill="F1EFE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79 (of 162)</w:t>
            </w:r>
          </w:p>
        </w:tc>
        <w:tc>
          <w:tcPr>
            <w:tcW w:type="dxa" w:w="1500"/>
            <w:shd w:fill="F1EFE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rectal only</w:t>
            </w:r>
          </w:p>
        </w:tc>
        <w:tc>
          <w:tcPr>
            <w:tcW w:type="dxa" w:w="2500"/>
            <w:shd w:fill="F1EFE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vaginal dropped; being reprocessed</w:t>
            </w:r>
          </w:p>
        </w:tc>
      </w:tr>
      <w:tr>
        <w:tc>
          <w:tcPr>
            <w:tcW w:type="dxa" w:w="11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Endo</w:t>
            </w:r>
          </w:p>
        </w:tc>
        <w:tc>
          <w:tcPr>
            <w:tcW w:type="dxa" w:w="19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PRJNA722289</w:t>
            </w:r>
          </w:p>
        </w:tc>
        <w:tc>
          <w:tcPr>
            <w:tcW w:type="dxa" w:w="14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0 (of 21)</w:t>
            </w:r>
          </w:p>
        </w:tc>
        <w:tc>
          <w:tcPr>
            <w:tcW w:type="dxa" w:w="15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none</w:t>
            </w:r>
          </w:p>
        </w:tc>
        <w:tc>
          <w:tcPr>
            <w:tcW w:type="dxa" w:w="25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excluded — no disease labels</w:t>
            </w:r>
          </w:p>
        </w:tc>
      </w:tr>
    </w:tbl>
    <w:p>
      <w:pPr>
        <w:spacing w:after="160" w:before="40"/>
        <w:jc w:val="center"/>
      </w:pPr>
      <w:r>
        <w:rPr>
          <w:rFonts w:ascii="Calibri" w:cs="Calibri" w:eastAsia="Calibri" w:hAnsi="Calibri"/>
          <w:i/>
          <w:iCs/>
          <w:color w:val="5F5E5A"/>
          <w:sz w:val="18"/>
          <w:szCs w:val="18"/>
        </w:rPr>
        <w:t xml:space="preserve">Table 1. Real 16S datasets. PCOS combined n = 91; Endometriosis gut-only combined n = 129.</w:t>
      </w:r>
    </w:p>
    <w:p>
      <w:r>
        <w:br w:type="page"/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3C3489"/>
          <w:sz w:val="30"/>
          <w:szCs w:val="30"/>
        </w:rPr>
        <w:t xml:space="preserve">3. How it works — architecture and methods</w:t>
      </w:r>
    </w:p>
    <w:p>
      <w:pPr>
        <w:spacing w:after="130" w:line="276"/>
        <w:jc w:val="both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The project has two stages: a bioinformatics stage that turns raw sequencing reads into a table of bacterial abundances, and a machine-learning stage that learns from that table. Both disease arms run through the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same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ML code (only the input studies differ), which keeps the comparison fair.</w:t>
      </w:r>
    </w:p>
    <w:p>
      <w:pPr>
        <w:spacing w:after="40" w:before="120"/>
        <w:jc w:val="center"/>
      </w:pPr>
      <w:r>
        <w:drawing>
          <wp:inline distT="0" distB="0" distL="0" distR="0">
            <wp:extent cx="4476750" cy="4019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401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40"/>
        <w:jc w:val="center"/>
      </w:pPr>
      <w:r>
        <w:rPr>
          <w:rFonts w:ascii="Calibri" w:cs="Calibri" w:eastAsia="Calibri" w:hAnsi="Calibri"/>
          <w:i/>
          <w:iCs/>
          <w:color w:val="5F5E5A"/>
          <w:sz w:val="18"/>
          <w:szCs w:val="18"/>
        </w:rPr>
        <w:t xml:space="preserve">Figure 1. End-to-end architecture: from raw FASTQ through QIIME2/PICRUSt2 to the leakage-safe ML pipeline and outputs.</w:t>
      </w:r>
    </w:p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1A1A2E"/>
          <w:sz w:val="25"/>
          <w:szCs w:val="25"/>
        </w:rPr>
        <w:t xml:space="preserve">3.1 Bioinformatics (reads → taxa table)</w:t>
      </w:r>
    </w:p>
    <w:p>
      <w:pPr>
        <w:spacing w:after="130" w:line="276"/>
        <w:jc w:val="both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Raw paired-end FASTQ files are downloaded from SRA, denoised into amplicon sequence variants with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QIIME2 / DADA2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, and given taxonomy against the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SILVA 138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reference. I collapse these to phylum and genus level and convert them to relative abundances, producing ~20 taxonomic features per sample plus a Shannon diversity value. Separately, because 16S tells you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who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is present but not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what genes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they carry, I use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PICRUSt2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to predict β-glucuronidase abundance (EC 3.2.1.31) — the estrobolome enzyme — from the sequences. (Getting PICRUSt2 to run required switching its phylogenetic placement to SEPP, as the default tool crashed under emulation on Apple Silicon.)</w:t>
      </w:r>
    </w:p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1A1A2E"/>
          <w:sz w:val="25"/>
          <w:szCs w:val="25"/>
        </w:rPr>
        <w:t xml:space="preserve">3.2 The machine-learning pipeline</w:t>
      </w:r>
    </w:p>
    <w:p>
      <w:pPr>
        <w:spacing w:after="130" w:line="276"/>
        <w:jc w:val="both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For each sample the model sees the taxa abundances, a set of biologically-motivated ratio features (e.g. Firmicutes/Bacteroidetes), and the predicted β-glucuronidase. Every preprocessing step lives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inside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a scikit-learn Pipeline — KNN imputation → ratio engineering → standardisation → univariate feature selection → classifier — so that these steps are re-fit on the training portion of each cross-validation fold and never see held-out data. Ten models are screened (from logistic regression and naïve Bayes to random forests, gradient boosting, SVM and an MLP) with repeated stratified cross-validation; the winner is tuned with grid search, and the decision threshold is chosen by Youden's J on out-of-fold predictions.</w:t>
      </w:r>
    </w:p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1A1A2E"/>
          <w:sz w:val="25"/>
          <w:szCs w:val="25"/>
        </w:rPr>
        <w:t xml:space="preserve">3.3 Guarding against leakage, over- and under-fitting</w:t>
      </w:r>
    </w:p>
    <w:p>
      <w:pPr>
        <w:pStyle w:val="ListParagraph"/>
        <w:numPr>
          <w:ilvl w:val="0"/>
          <w:numId w:val="1"/>
        </w:numPr>
        <w:spacing w:after="70" w:line="27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Leakage: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identifier columns are never features; all imputation/scaling/selection are re-fit per fold; a single held-out test set is split off once, before any tuning.</w:t>
      </w:r>
    </w:p>
    <w:p>
      <w:pPr>
        <w:pStyle w:val="ListParagraph"/>
        <w:numPr>
          <w:ilvl w:val="0"/>
          <w:numId w:val="1"/>
        </w:numPr>
        <w:spacing w:after="70" w:line="27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Over-fitting: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tree depth is capped, the MLP uses early stopping, feature count is kept small, and the train-minus-CV gap is reported for every model so memorisers are visible and rejected.</w:t>
      </w:r>
    </w:p>
    <w:p>
      <w:pPr>
        <w:pStyle w:val="ListParagraph"/>
        <w:numPr>
          <w:ilvl w:val="0"/>
          <w:numId w:val="1"/>
        </w:numPr>
        <w:spacing w:after="70" w:line="27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Under-fitting: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the deliberately wide model zoo and CV-based selection mean an over-simple model does not win by default.</w:t>
      </w:r>
    </w:p>
    <w:p>
      <w:pPr>
        <w:pStyle w:val="ListParagraph"/>
        <w:numPr>
          <w:ilvl w:val="0"/>
          <w:numId w:val="1"/>
        </w:numPr>
        <w:spacing w:after="70" w:line="27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Batch confounding: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this turned out to be the central issue — see §4. I added an explicit leave-one-study-out (LOSO) evaluation and a per-feature ‘does this predict study or disease?' diagnostic, and I z-score the predicted β-glucuronidase within each study to strip its batch magnitude.</w:t>
      </w:r>
    </w:p>
    <w:p>
      <w:r>
        <w:br w:type="page"/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3C3489"/>
          <w:sz w:val="30"/>
          <w:szCs w:val="30"/>
        </w:rPr>
        <w:t xml:space="preserve">4. Results</w:t>
      </w:r>
    </w:p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1A1A2E"/>
          <w:sz w:val="25"/>
          <w:szCs w:val="25"/>
        </w:rPr>
        <w:t xml:space="preserve">4.1 PCOS classifier</w:t>
      </w:r>
    </w:p>
    <w:p>
      <w:pPr>
        <w:spacing w:after="130" w:line="276"/>
        <w:jc w:val="both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The best model was a small multilayer perceptron (cross-validated F1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0.79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, train-vs-CV gap only 0.05, i.e. not over-fit). On the untouched test set it reached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accuracy 0.68, balanced accuracy 0.66, F1 0.75, and ROC-AUC 0.79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.</w:t>
      </w:r>
    </w:p>
    <w:p>
      <w:pPr>
        <w:spacing w:after="60"/>
      </w:pPr>
      <w:r>
        <w:t xml:space="preserve"/>
      </w:r>
    </w:p>
    <w:tbl>
      <w:tblPr>
        <w:tblW w:type="dxa" w:w="6900"/>
        <w:tblBorders>
          <w:top w:val="single" w:color="D3D1C7" w:sz="2"/>
          <w:left w:val="single" w:color="D3D1C7" w:sz="2"/>
          <w:bottom w:val="single" w:color="D3D1C7" w:sz="2"/>
          <w:right w:val="single" w:color="D3D1C7" w:sz="2"/>
          <w:insideH w:val="single" w:color="E5E3DA" w:sz="1"/>
          <w:insideV w:val="single" w:color="E5E3DA" w:sz="1"/>
        </w:tblBorders>
      </w:tblPr>
      <w:tblGrid>
        <w:gridCol w:w="3200"/>
        <w:gridCol w:w="1800"/>
        <w:gridCol w:w="1900"/>
      </w:tblGrid>
      <w:tr>
        <w:trPr>
          <w:tblHeader/>
        </w:trPr>
        <w:tc>
          <w:tcPr>
            <w:tcW w:type="dxa" w:w="3200"/>
            <w:shd w:fill="3C348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Model</w:t>
            </w:r>
          </w:p>
        </w:tc>
        <w:tc>
          <w:tcPr>
            <w:tcW w:type="dxa" w:w="1800"/>
            <w:shd w:fill="3C348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CV F1</w:t>
            </w:r>
          </w:p>
        </w:tc>
        <w:tc>
          <w:tcPr>
            <w:tcW w:type="dxa" w:w="1900"/>
            <w:shd w:fill="3C348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Train-CV gap</w:t>
            </w:r>
          </w:p>
        </w:tc>
      </w:tr>
      <w:tr>
        <w:tc>
          <w:tcPr>
            <w:tcW w:type="dxa" w:w="32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MLP (best)</w:t>
            </w:r>
          </w:p>
        </w:tc>
        <w:tc>
          <w:tcPr>
            <w:tcW w:type="dxa" w:w="18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0.789</w:t>
            </w:r>
          </w:p>
        </w:tc>
        <w:tc>
          <w:tcPr>
            <w:tcW w:type="dxa" w:w="19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0.050</w:t>
            </w:r>
          </w:p>
        </w:tc>
      </w:tr>
      <w:tr>
        <w:tc>
          <w:tcPr>
            <w:tcW w:type="dxa" w:w="3200"/>
            <w:shd w:fill="F1EFE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GaussianNB</w:t>
            </w:r>
          </w:p>
        </w:tc>
        <w:tc>
          <w:tcPr>
            <w:tcW w:type="dxa" w:w="1800"/>
            <w:shd w:fill="F1EFE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0.775</w:t>
            </w:r>
          </w:p>
        </w:tc>
        <w:tc>
          <w:tcPr>
            <w:tcW w:type="dxa" w:w="1900"/>
            <w:shd w:fill="F1EFE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0.044</w:t>
            </w:r>
          </w:p>
        </w:tc>
      </w:tr>
      <w:tr>
        <w:tc>
          <w:tcPr>
            <w:tcW w:type="dxa" w:w="32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LogisticRegression</w:t>
            </w:r>
          </w:p>
        </w:tc>
        <w:tc>
          <w:tcPr>
            <w:tcW w:type="dxa" w:w="18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0.774</w:t>
            </w:r>
          </w:p>
        </w:tc>
        <w:tc>
          <w:tcPr>
            <w:tcW w:type="dxa" w:w="19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0.073</w:t>
            </w:r>
          </w:p>
        </w:tc>
      </w:tr>
      <w:tr>
        <w:tc>
          <w:tcPr>
            <w:tcW w:type="dxa" w:w="3200"/>
            <w:shd w:fill="F1EFE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RandomForest</w:t>
            </w:r>
          </w:p>
        </w:tc>
        <w:tc>
          <w:tcPr>
            <w:tcW w:type="dxa" w:w="1800"/>
            <w:shd w:fill="F1EFE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0.755</w:t>
            </w:r>
          </w:p>
        </w:tc>
        <w:tc>
          <w:tcPr>
            <w:tcW w:type="dxa" w:w="1900"/>
            <w:shd w:fill="F1EFE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0.200</w:t>
            </w:r>
          </w:p>
        </w:tc>
      </w:tr>
      <w:tr>
        <w:tc>
          <w:tcPr>
            <w:tcW w:type="dxa" w:w="32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AdaBoost</w:t>
            </w:r>
          </w:p>
        </w:tc>
        <w:tc>
          <w:tcPr>
            <w:tcW w:type="dxa" w:w="18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0.737</w:t>
            </w:r>
          </w:p>
        </w:tc>
        <w:tc>
          <w:tcPr>
            <w:tcW w:type="dxa" w:w="19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0.263</w:t>
            </w:r>
          </w:p>
        </w:tc>
      </w:tr>
    </w:tbl>
    <w:p>
      <w:pPr>
        <w:spacing w:after="160" w:before="40"/>
        <w:jc w:val="center"/>
      </w:pPr>
      <w:r>
        <w:rPr>
          <w:rFonts w:ascii="Calibri" w:cs="Calibri" w:eastAsia="Calibri" w:hAnsi="Calibri"/>
          <w:i/>
          <w:iCs/>
          <w:color w:val="5F5E5A"/>
          <w:sz w:val="18"/>
          <w:szCs w:val="18"/>
        </w:rPr>
        <w:t xml:space="preserve">Table 2. PCOS model leaderboard (top five). Large gaps flag over-fitting; the pipeline selects on CV F1.</w:t>
      </w:r>
    </w:p>
    <w:p>
      <w:pPr>
        <w:spacing w:after="40" w:before="120"/>
        <w:jc w:val="center"/>
      </w:pPr>
      <w:r>
        <w:drawing>
          <wp:inline distT="0" distB="0" distL="0" distR="0">
            <wp:extent cx="3810000" cy="3457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40"/>
        <w:jc w:val="center"/>
      </w:pPr>
      <w:r>
        <w:rPr>
          <w:rFonts w:ascii="Calibri" w:cs="Calibri" w:eastAsia="Calibri" w:hAnsi="Calibri"/>
          <w:i/>
          <w:iCs/>
          <w:color w:val="5F5E5A"/>
          <w:sz w:val="18"/>
          <w:szCs w:val="18"/>
        </w:rPr>
        <w:t xml:space="preserve">Figure 2. PCOS ROC curve (random-split test, AUC ≈ 0.79).</w:t>
      </w:r>
    </w:p>
    <w:p>
      <w:pPr>
        <w:spacing w:after="40" w:before="120"/>
        <w:jc w:val="center"/>
      </w:pPr>
      <w:r>
        <w:drawing>
          <wp:inline distT="0" distB="0" distL="0" distR="0">
            <wp:extent cx="5334000" cy="2390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40"/>
        <w:jc w:val="center"/>
      </w:pPr>
      <w:r>
        <w:rPr>
          <w:rFonts w:ascii="Calibri" w:cs="Calibri" w:eastAsia="Calibri" w:hAnsi="Calibri"/>
          <w:i/>
          <w:iCs/>
          <w:color w:val="5F5E5A"/>
          <w:sz w:val="18"/>
          <w:szCs w:val="18"/>
        </w:rPr>
        <w:t xml:space="preserve">Figure 3. Mean taxon abundance, Control vs PCOS.</w:t>
      </w:r>
    </w:p>
    <w:p>
      <w:pPr>
        <w:spacing w:after="130" w:line="276"/>
        <w:jc w:val="both"/>
      </w:pPr>
      <w:r>
        <w:rPr>
          <w:rFonts w:ascii="Calibri" w:cs="Calibri" w:eastAsia="Calibri" w:hAnsi="Calibri"/>
          <w:b/>
          <w:bCs/>
          <w:color w:val="993C1D"/>
          <w:sz w:val="22"/>
          <w:szCs w:val="22"/>
        </w:rPr>
        <w:t xml:space="preserve">Important caveat.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A batch check showed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15 of 21 features separate the two source studies better than they separate disease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. The worst offenders — Shannon diversity (study-AUC 0.998 vs disease-AUC 0.71), Actinobacteriota and Collinsella — are essentially study barcodes. So the 0.79 is partly the model recognising sequencing/lab differences, not biology, and it should be read as an optimistic upper bound.</w:t>
      </w:r>
    </w:p>
    <w:p>
      <w:pPr>
        <w:spacing w:after="130" w:line="276"/>
        <w:jc w:val="both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On the positive side, the biology that does appear is literature-consistent: Proteobacteria, </w:t>
      </w:r>
      <w:r>
        <w:rPr>
          <w:rFonts w:ascii="Calibri" w:cs="Calibri" w:eastAsia="Calibri" w:hAnsi="Calibri"/>
          <w:i/>
          <w:iCs/>
          <w:color w:val="1A1A2E"/>
          <w:sz w:val="22"/>
          <w:szCs w:val="22"/>
        </w:rPr>
        <w:t xml:space="preserve">Escherichia coli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and Bacteroides are all elevated in PCOS as expected (strong-evidence matches), and SHAP ranks Bacteroides and Bifidobacterium among the top drivers.</w:t>
      </w:r>
    </w:p>
    <w:p>
      <w:r>
        <w:br w:type="page"/>
      </w:r>
    </w:p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1A1A2E"/>
          <w:sz w:val="25"/>
          <w:szCs w:val="25"/>
        </w:rPr>
        <w:t xml:space="preserve">4.2 Endometriosis classifier</w:t>
      </w:r>
    </w:p>
    <w:p>
      <w:pPr>
        <w:spacing w:after="130" w:line="276"/>
        <w:jc w:val="both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The best model was Extra-Trees (CV F1 0.63). On the random-split test it reached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accuracy 0.62, balanced accuracy 0.61, F1 0.64, AUC 0.68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— modest. But the honest number is the leave-one-study-out result, where the model is trained on one cohort and tested on a completely unseen one:</w:t>
      </w:r>
    </w:p>
    <w:p>
      <w:pPr>
        <w:spacing w:after="60"/>
      </w:pPr>
      <w:r>
        <w:t xml:space="preserve"/>
      </w:r>
    </w:p>
    <w:tbl>
      <w:tblPr>
        <w:tblW w:type="dxa" w:w="6900"/>
        <w:tblBorders>
          <w:top w:val="single" w:color="D3D1C7" w:sz="2"/>
          <w:left w:val="single" w:color="D3D1C7" w:sz="2"/>
          <w:bottom w:val="single" w:color="D3D1C7" w:sz="2"/>
          <w:right w:val="single" w:color="D3D1C7" w:sz="2"/>
          <w:insideH w:val="single" w:color="E5E3DA" w:sz="1"/>
          <w:insideV w:val="single" w:color="E5E3DA" w:sz="1"/>
        </w:tblBorders>
      </w:tblPr>
      <w:tblGrid>
        <w:gridCol w:w="3400"/>
        <w:gridCol w:w="1700"/>
        <w:gridCol w:w="1800"/>
      </w:tblGrid>
      <w:tr>
        <w:trPr>
          <w:tblHeader/>
        </w:trPr>
        <w:tc>
          <w:tcPr>
            <w:tcW w:type="dxa" w:w="3400"/>
            <w:shd w:fill="3C348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Evaluation</w:t>
            </w:r>
          </w:p>
        </w:tc>
        <w:tc>
          <w:tcPr>
            <w:tcW w:type="dxa" w:w="1700"/>
            <w:shd w:fill="3C348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AUC</w:t>
            </w:r>
          </w:p>
        </w:tc>
        <w:tc>
          <w:tcPr>
            <w:tcW w:type="dxa" w:w="1800"/>
            <w:shd w:fill="3C348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Balanced acc</w:t>
            </w:r>
          </w:p>
        </w:tc>
      </w:tr>
      <w:tr>
        <w:tc>
          <w:tcPr>
            <w:tcW w:type="dxa" w:w="34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Random split (optimistic)</w:t>
            </w:r>
          </w:p>
        </w:tc>
        <w:tc>
          <w:tcPr>
            <w:tcW w:type="dxa" w:w="17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0.679</w:t>
            </w:r>
          </w:p>
        </w:tc>
        <w:tc>
          <w:tcPr>
            <w:tcW w:type="dxa" w:w="18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0.613</w:t>
            </w:r>
          </w:p>
        </w:tc>
      </w:tr>
      <w:tr>
        <w:tc>
          <w:tcPr>
            <w:tcW w:type="dxa" w:w="3400"/>
            <w:shd w:fill="F1EFE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LOSO — test on PRJNA1145097</w:t>
            </w:r>
          </w:p>
        </w:tc>
        <w:tc>
          <w:tcPr>
            <w:tcW w:type="dxa" w:w="1700"/>
            <w:shd w:fill="F1EFE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0.564</w:t>
            </w:r>
          </w:p>
        </w:tc>
        <w:tc>
          <w:tcPr>
            <w:tcW w:type="dxa" w:w="1800"/>
            <w:shd w:fill="F1EFE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0.565</w:t>
            </w:r>
          </w:p>
        </w:tc>
      </w:tr>
      <w:tr>
        <w:tc>
          <w:tcPr>
            <w:tcW w:type="dxa" w:w="34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LOSO — test on PRJNA424567</w:t>
            </w:r>
          </w:p>
        </w:tc>
        <w:tc>
          <w:tcPr>
            <w:tcW w:type="dxa" w:w="17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0.474</w:t>
            </w:r>
          </w:p>
        </w:tc>
        <w:tc>
          <w:tcPr>
            <w:tcW w:type="dxa" w:w="18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0.400</w:t>
            </w:r>
          </w:p>
        </w:tc>
      </w:tr>
      <w:tr>
        <w:tc>
          <w:tcPr>
            <w:tcW w:type="dxa" w:w="3400"/>
            <w:shd w:fill="F1EFE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19"/>
                <w:szCs w:val="19"/>
              </w:rPr>
              <w:t xml:space="preserve">LOSO mean (honest)</w:t>
            </w:r>
          </w:p>
        </w:tc>
        <w:tc>
          <w:tcPr>
            <w:tcW w:type="dxa" w:w="1700"/>
            <w:shd w:fill="F1EFE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19"/>
                <w:szCs w:val="19"/>
              </w:rPr>
              <w:t xml:space="preserve">0.519</w:t>
            </w:r>
          </w:p>
        </w:tc>
        <w:tc>
          <w:tcPr>
            <w:tcW w:type="dxa" w:w="1800"/>
            <w:shd w:fill="F1EFE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160" w:before="40"/>
        <w:jc w:val="center"/>
      </w:pPr>
      <w:r>
        <w:rPr>
          <w:rFonts w:ascii="Calibri" w:cs="Calibri" w:eastAsia="Calibri" w:hAnsi="Calibri"/>
          <w:i/>
          <w:iCs/>
          <w:color w:val="5F5E5A"/>
          <w:sz w:val="18"/>
          <w:szCs w:val="18"/>
        </w:rPr>
        <w:t xml:space="preserve">Table 3. Endometriosis — random-split vs cross-cohort (LOSO). The gap between 0.68 and 0.52 is the batch effect.</w:t>
      </w:r>
    </w:p>
    <w:p>
      <w:pPr>
        <w:spacing w:after="130" w:line="276"/>
        <w:jc w:val="both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A cross-cohort AUC of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0.52 is essentially chance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— the model does not generalise to a new cohort. Before concluding ‘no biological signal', though, I checked the data quality and found a real problem.</w:t>
      </w:r>
    </w:p>
    <w:p>
      <w:pPr>
        <w:spacing w:after="130" w:line="276"/>
        <w:jc w:val="both"/>
      </w:pPr>
      <w:r>
        <w:rPr>
          <w:rFonts w:ascii="Calibri" w:cs="Calibri" w:eastAsia="Calibri" w:hAnsi="Calibri"/>
          <w:b/>
          <w:bCs/>
          <w:color w:val="993C1D"/>
          <w:sz w:val="22"/>
          <w:szCs w:val="22"/>
        </w:rPr>
        <w:t xml:space="preserve">Root cause — a bioinformatics bug I found and am fixing.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PRJNA424567 (79 of the 129 samples) had catastrophic read loss in DADA2: only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4.5% of reads survived (≈1,300 per sample)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, versus 64% (≈35,000) for the clean cohort. The cause is that this study is actually the V4 region (515F/806R, ~253 bp) sequenced 2×250, but it was first processed as if it were V3–V4 without primer removal, so the reads mis-merged and were discarded as chimeras. That corrupted table is almost certainly why Prevotella and Lactobacillus came out reversed from the literature. I am reprocessing it now with proper primer trimming (cutadapt) and V4 settings, so the endometriosis result here is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provisional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.</w:t>
      </w:r>
    </w:p>
    <w:p>
      <w:pPr>
        <w:spacing w:after="40" w:before="120"/>
        <w:jc w:val="center"/>
      </w:pPr>
      <w:r>
        <w:drawing>
          <wp:inline distT="0" distB="0" distL="0" distR="0">
            <wp:extent cx="3810000" cy="3457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40"/>
        <w:jc w:val="center"/>
      </w:pPr>
      <w:r>
        <w:rPr>
          <w:rFonts w:ascii="Calibri" w:cs="Calibri" w:eastAsia="Calibri" w:hAnsi="Calibri"/>
          <w:i/>
          <w:iCs/>
          <w:color w:val="5F5E5A"/>
          <w:sz w:val="18"/>
          <w:szCs w:val="18"/>
        </w:rPr>
        <w:t xml:space="preserve">Figure 4. Endometriosis ROC (random-split test). LOSO performance is markedly lower — see Table 3.</w:t>
      </w:r>
    </w:p>
    <w:p>
      <w:pPr>
        <w:spacing w:after="40" w:before="120"/>
        <w:jc w:val="center"/>
      </w:pPr>
      <w:r>
        <w:drawing>
          <wp:inline distT="0" distB="0" distL="0" distR="0">
            <wp:extent cx="5334000" cy="2390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40"/>
        <w:jc w:val="center"/>
      </w:pPr>
      <w:r>
        <w:rPr>
          <w:rFonts w:ascii="Calibri" w:cs="Calibri" w:eastAsia="Calibri" w:hAnsi="Calibri"/>
          <w:i/>
          <w:iCs/>
          <w:color w:val="5F5E5A"/>
          <w:sz w:val="18"/>
          <w:szCs w:val="18"/>
        </w:rPr>
        <w:t xml:space="preserve">Figure 5. Mean taxon abundance, Control vs Endometriosis (current, pre-reprocessing).</w:t>
      </w:r>
    </w:p>
    <w:p>
      <w:pPr>
        <w:spacing w:after="130" w:line="276"/>
        <w:jc w:val="both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Even so, the strongest-evidence associations survive: </w:t>
      </w:r>
      <w:r>
        <w:rPr>
          <w:rFonts w:ascii="Calibri" w:cs="Calibri" w:eastAsia="Calibri" w:hAnsi="Calibri"/>
          <w:i/>
          <w:iCs/>
          <w:color w:val="1A1A2E"/>
          <w:sz w:val="22"/>
          <w:szCs w:val="22"/>
        </w:rPr>
        <w:t xml:space="preserve">Escherichia coli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and Proteobacteria are correctly elevated in endometriosis, consistent with the Endobiota and 2025 reviews.</w:t>
      </w:r>
    </w:p>
    <w:p>
      <w:r>
        <w:br w:type="page"/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3C3489"/>
          <w:sz w:val="30"/>
          <w:szCs w:val="30"/>
        </w:rPr>
        <w:t xml:space="preserve">5. Interpretation</w:t>
      </w:r>
    </w:p>
    <w:p>
      <w:pPr>
        <w:spacing w:after="130" w:line="276"/>
        <w:jc w:val="both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Read together, both arms tell the same cautionary story. There is a weak, biologically-plausible signal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within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a cohort, but performance is dominated by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batch / study effects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, and it degrades sharply when the model has to generalise to an independent cohort. This is exactly the failure mode the microbiome-ML literature warns about, and I think surfacing it clearly is the most valuable part of the project.</w:t>
      </w:r>
    </w:p>
    <w:p>
      <w:pPr>
        <w:pStyle w:val="ListParagraph"/>
        <w:numPr>
          <w:ilvl w:val="0"/>
          <w:numId w:val="1"/>
        </w:numPr>
        <w:spacing w:after="70" w:line="27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PCOS: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an apparently good AUC (0.79) that is partly batch — the driver taxa (Proteobacteria, E. coli, Bacteroides up) are literature-consistent, but Shannon and a few genera behave as study barcodes and must not be read clinically.</w:t>
      </w:r>
    </w:p>
    <w:p>
      <w:pPr>
        <w:pStyle w:val="ListParagraph"/>
        <w:numPr>
          <w:ilvl w:val="0"/>
          <w:numId w:val="1"/>
        </w:numPr>
        <w:spacing w:after="70" w:line="27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Endometriosis: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cross-cohort performance is currently at chance, but this is confounded by a data-quality bug in the larger cohort, so no biological conclusion can be drawn until reprocessing is done.</w:t>
      </w:r>
    </w:p>
    <w:p>
      <w:pPr>
        <w:pStyle w:val="ListParagraph"/>
        <w:numPr>
          <w:ilvl w:val="0"/>
          <w:numId w:val="1"/>
        </w:numPr>
        <w:spacing w:after="70" w:line="27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Estrobolome / β-glucuronidase: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the predicted enzyme abundance differed ~13× between studies (a batch artefact), so I z-score it within study; its within-cohort disease contrast is weak so far.</w:t>
      </w:r>
    </w:p>
    <w:p>
      <w:pPr>
        <w:spacing w:after="130" w:line="276"/>
        <w:jc w:val="both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So my honest headline for a supervisor is: </w:t>
      </w:r>
      <w:r>
        <w:rPr>
          <w:rFonts w:ascii="Calibri" w:cs="Calibri" w:eastAsia="Calibri" w:hAnsi="Calibri"/>
          <w:i/>
          <w:iCs/>
          <w:color w:val="1A1A2E"/>
          <w:sz w:val="22"/>
          <w:szCs w:val="22"/>
        </w:rPr>
        <w:t xml:space="preserve">‘within-cohort classifiable, cross-cohort not yet demonstrated'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, with the endometriosis number pending clean reprocessing. I would rather present that than a polished-but-fragile 0.9.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3C3489"/>
          <w:sz w:val="30"/>
          <w:szCs w:val="30"/>
        </w:rPr>
        <w:t xml:space="preserve">6. Limitations</w:t>
      </w:r>
    </w:p>
    <w:p>
      <w:pPr>
        <w:pStyle w:val="ListParagraph"/>
        <w:numPr>
          <w:ilvl w:val="0"/>
          <w:numId w:val="1"/>
        </w:numPr>
        <w:spacing w:after="70" w:line="27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Small sample sizes (91 and 129) — wide confidence intervals; treat as pilots.</w:t>
      </w:r>
    </w:p>
    <w:p>
      <w:pPr>
        <w:pStyle w:val="ListParagraph"/>
        <w:numPr>
          <w:ilvl w:val="0"/>
          <w:numId w:val="1"/>
        </w:numPr>
        <w:spacing w:after="70" w:line="27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Between-study batch effects (different labs, DNA kits, and amplicon regions — V4 vs V3–V4) are the dominant nuisance.</w:t>
      </w:r>
    </w:p>
    <w:p>
      <w:pPr>
        <w:pStyle w:val="ListParagraph"/>
        <w:numPr>
          <w:ilvl w:val="0"/>
          <w:numId w:val="1"/>
        </w:numPr>
        <w:spacing w:after="70" w:line="27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β-glucuronidase is PICRUSt2-predicted functional potential, not measured enzyme activity.</w:t>
      </w:r>
    </w:p>
    <w:p>
      <w:pPr>
        <w:pStyle w:val="ListParagraph"/>
        <w:numPr>
          <w:ilvl w:val="0"/>
          <w:numId w:val="1"/>
        </w:numPr>
        <w:spacing w:after="70" w:line="27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One endometriosis cohort (PRJNA424567) is being reprocessed; PRJNA722289 is unusable without disease labels.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3C3489"/>
          <w:sz w:val="30"/>
          <w:szCs w:val="30"/>
        </w:rPr>
        <w:t xml:space="preserve">7. Next steps</w:t>
      </w:r>
    </w:p>
    <w:p>
      <w:pPr>
        <w:pStyle w:val="ListParagraph"/>
        <w:numPr>
          <w:ilvl w:val="0"/>
          <w:numId w:val="1"/>
        </w:numPr>
        <w:spacing w:after="70" w:line="27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Finish the V4 reprocessing of PRJNA424567 and re-evaluate LOSO — the key test of whether the bad result was data quality or real biology.</w:t>
      </w:r>
    </w:p>
    <w:p>
      <w:pPr>
        <w:pStyle w:val="ListParagraph"/>
        <w:numPr>
          <w:ilvl w:val="0"/>
          <w:numId w:val="1"/>
        </w:numPr>
        <w:spacing w:after="70" w:line="27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Add explicit batch correction (e.g. ComBat / MMUPHin) applied inside cross-validation, and report bootstrap confidence intervals.</w:t>
      </w:r>
    </w:p>
    <w:p>
      <w:pPr>
        <w:pStyle w:val="ListParagraph"/>
        <w:numPr>
          <w:ilvl w:val="0"/>
          <w:numId w:val="1"/>
        </w:numPr>
        <w:spacing w:after="70" w:line="27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Recover PRJNA722289 labels from the GEO series, and add further cohorts to strengthen the cross-cohort test.</w:t>
      </w:r>
    </w:p>
    <w:p>
      <w:pPr>
        <w:pStyle w:val="ListParagraph"/>
        <w:numPr>
          <w:ilvl w:val="0"/>
          <w:numId w:val="1"/>
        </w:numPr>
        <w:spacing w:after="70" w:line="27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Where feasible, obtain measured β-glucuronidase (shotgun metagenomics or enzyme assay) rather than predicted.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3C3489"/>
          <w:sz w:val="30"/>
          <w:szCs w:val="30"/>
        </w:rPr>
        <w:t xml:space="preserve">8. Reproducibility</w:t>
      </w:r>
    </w:p>
    <w:p>
      <w:pPr>
        <w:spacing w:after="130" w:line="276"/>
        <w:jc w:val="both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All code, processed taxa tables, results and figures are in the repository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github.com/sumithraju/GutDys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. Each disease arm is a single command (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python3 pcos_pipeline.py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/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python3 endometriosis_pipeline.py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); the QIIME2 and PICRUSt2 steps are scripted, with PICRUSt2 containerised in Docker to avoid dependency issues. The run summaries (JSON), leaderboards, and SHAP/LIME explanations regenerate automatically.</w:t>
      </w:r>
    </w:p>
    <w:p>
      <w:pPr>
        <w:spacing w:after="130" w:line="276"/>
        <w:jc w:val="both"/>
      </w:pPr>
      <w:r>
        <w:rPr>
          <w:rFonts w:ascii="Calibri" w:cs="Calibri" w:eastAsia="Calibri" w:hAnsi="Calibri"/>
          <w:i/>
          <w:iCs/>
          <w:color w:val="5F5E5A"/>
          <w:sz w:val="22"/>
          <w:szCs w:val="22"/>
        </w:rPr>
        <w:t xml:space="preserve">Note: </w:t>
      </w:r>
      <w:r>
        <w:rPr>
          <w:rFonts w:ascii="Calibri" w:cs="Calibri" w:eastAsia="Calibri" w:hAnsi="Calibri"/>
          <w:i/>
          <w:iCs/>
          <w:color w:val="5F5E5A"/>
          <w:sz w:val="22"/>
          <w:szCs w:val="22"/>
        </w:rPr>
        <w:t xml:space="preserve">the endometriosis numbers in this report reflect the run before PRJNA424567 reprocessing; they will be updated once the corrected table is in.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734dc1fb65f8ee2b83d1cd43938763955882c4c2.png"/><Relationship Id="rId8" Type="http://schemas.openxmlformats.org/officeDocument/2006/relationships/image" Target="media/149278528fa61f7d2e4a6dfed86d7ceac466cc85.png"/><Relationship Id="rId9" Type="http://schemas.openxmlformats.org/officeDocument/2006/relationships/image" Target="media/c5f8f0f3468203b3c05d3558f5b62821bf899589.png"/><Relationship Id="rId10" Type="http://schemas.openxmlformats.org/officeDocument/2006/relationships/image" Target="media/f52d6a66a43e461414a12d0527d6f4c81d6b7ef4.png"/><Relationship Id="rId11" Type="http://schemas.openxmlformats.org/officeDocument/2006/relationships/image" Target="media/784b62dfda765b3e58d040ef61ffd8a70b294f87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GutDys ML Project Report</dc:title>
  <dc:creator>Subha</dc:creator>
  <cp:lastModifiedBy>Un-named</cp:lastModifiedBy>
  <cp:revision>1</cp:revision>
  <dcterms:created xsi:type="dcterms:W3CDTF">2026-07-23T14:23:53.334Z</dcterms:created>
  <dcterms:modified xsi:type="dcterms:W3CDTF">2026-07-23T14:23:53.335Z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