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7365D"/>
          </w:tcPr>
          <w:p>
            <w:pPr>
              <w:jc w:val="center"/>
            </w:pPr>
            <w:r/>
            <w:r>
              <w:rPr>
                <w:rFonts w:ascii="Aptos Display" w:hAnsi="Aptos Display"/>
                <w:b/>
                <w:color w:val="FFFFFF"/>
                <w:sz w:val="28"/>
              </w:rPr>
              <w:t>IBM SKILLSBUILD</w:t>
            </w:r>
          </w:p>
          <w:p>
            <w:pPr>
              <w:jc w:val="center"/>
            </w:pPr>
            <w:r>
              <w:rPr>
                <w:rFonts w:ascii="Aptos" w:hAnsi="Aptos"/>
                <w:b/>
                <w:color w:val="D6E4F0"/>
                <w:sz w:val="24"/>
              </w:rPr>
              <w:t>Data Analytics &amp; AI Internship 2026</w:t>
            </w:r>
          </w:p>
        </w:tc>
      </w:tr>
    </w:tbl>
    <w:p>
      <w:pPr>
        <w:spacing w:after="120"/>
      </w:pPr>
    </w:p>
    <w:p>
      <w:pPr>
        <w:spacing w:before="680" w:after="240"/>
        <w:jc w:val="center"/>
      </w:pPr>
      <w:r>
        <w:rPr>
          <w:rFonts w:ascii="Aptos Display" w:hAnsi="Aptos Display"/>
          <w:b/>
          <w:color w:val="17365D"/>
          <w:sz w:val="56"/>
        </w:rPr>
        <w:t>AI-Powered E-Commerce Customer</w:t>
        <w:br/>
        <w:t>Churn Analytics &amp; Retention</w:t>
        <w:br/>
        <w:t>Decision Support System</w:t>
      </w:r>
    </w:p>
    <w:p>
      <w:pPr>
        <w:jc w:val="center"/>
      </w:pPr>
      <w:r>
        <w:rPr>
          <w:rFonts w:ascii="Aptos" w:hAnsi="Aptos"/>
          <w:b w:val="0"/>
          <w:color w:val="0F6B78"/>
          <w:sz w:val="26"/>
        </w:rPr>
        <w:t>Predicting 90-Day Customer Inactivity Risk Using Transactional Analytics and Machine Learning</w:t>
      </w:r>
    </w:p>
    <w:tbl>
      <w:tblPr>
        <w:tblW w:type="auto" w:w="0"/>
        <w:jc w:val="center"/>
        <w:tblLook w:firstColumn="1" w:firstRow="1" w:lastColumn="0" w:lastRow="0" w:noHBand="0" w:noVBand="1" w:val="04A0"/>
      </w:tblPr>
      <w:tblGrid>
        <w:gridCol w:w="2498"/>
        <w:gridCol w:w="2498"/>
        <w:gridCol w:w="2498"/>
        <w:gridCol w:w="2498"/>
      </w:tblGrid>
      <w:tr>
        <w:tc>
          <w:tcPr>
            <w:tcW w:type="dxa" w:w="2498"/>
            <w:shd w:fill="EAF2F8"/>
          </w:tcPr>
          <w:p>
            <w:pPr>
              <w:jc w:val="center"/>
            </w:pPr>
            <w:r/>
            <w:r>
              <w:rPr>
                <w:rFonts w:ascii="Aptos" w:hAnsi="Aptos"/>
                <w:b/>
                <w:color w:val="0F6B78"/>
                <w:sz w:val="17"/>
              </w:rPr>
              <w:t>DATASET</w:t>
            </w:r>
          </w:p>
          <w:p>
            <w:pPr>
              <w:jc w:val="center"/>
            </w:pPr>
            <w:r>
              <w:rPr>
                <w:rFonts w:ascii="Aptos" w:hAnsi="Aptos"/>
                <w:b/>
                <w:color w:val="17365D"/>
                <w:sz w:val="24"/>
              </w:rPr>
              <w:t>UCI Online Retail</w:t>
            </w:r>
          </w:p>
        </w:tc>
        <w:tc>
          <w:tcPr>
            <w:tcW w:type="dxa" w:w="2498"/>
            <w:shd w:fill="EAF6F7"/>
          </w:tcPr>
          <w:p>
            <w:pPr>
              <w:jc w:val="center"/>
            </w:pPr>
            <w:r/>
            <w:r>
              <w:rPr>
                <w:rFonts w:ascii="Aptos" w:hAnsi="Aptos"/>
                <w:b/>
                <w:color w:val="0F6B78"/>
                <w:sz w:val="17"/>
              </w:rPr>
              <w:t>ELIGIBLE CUSTOMERS</w:t>
            </w:r>
          </w:p>
          <w:p>
            <w:pPr>
              <w:jc w:val="center"/>
            </w:pPr>
            <w:r>
              <w:rPr>
                <w:rFonts w:ascii="Aptos" w:hAnsi="Aptos"/>
                <w:b/>
                <w:color w:val="17365D"/>
                <w:sz w:val="24"/>
              </w:rPr>
              <w:t>1,765</w:t>
            </w:r>
          </w:p>
        </w:tc>
        <w:tc>
          <w:tcPr>
            <w:tcW w:type="dxa" w:w="2498"/>
            <w:shd w:fill="EAF2F8"/>
          </w:tcPr>
          <w:p>
            <w:pPr>
              <w:jc w:val="center"/>
            </w:pPr>
            <w:r/>
            <w:r>
              <w:rPr>
                <w:rFonts w:ascii="Aptos" w:hAnsi="Aptos"/>
                <w:b/>
                <w:color w:val="0F6B78"/>
                <w:sz w:val="17"/>
              </w:rPr>
              <w:t>PRIMARY MODEL</w:t>
            </w:r>
          </w:p>
          <w:p>
            <w:pPr>
              <w:jc w:val="center"/>
            </w:pPr>
            <w:r>
              <w:rPr>
                <w:rFonts w:ascii="Aptos" w:hAnsi="Aptos"/>
                <w:b/>
                <w:color w:val="17365D"/>
                <w:sz w:val="24"/>
              </w:rPr>
              <w:t>Logistic Regression</w:t>
            </w:r>
          </w:p>
        </w:tc>
        <w:tc>
          <w:tcPr>
            <w:tcW w:type="dxa" w:w="2498"/>
            <w:shd w:fill="EAF6F7"/>
          </w:tcPr>
          <w:p>
            <w:pPr>
              <w:jc w:val="center"/>
            </w:pPr>
            <w:r/>
            <w:r>
              <w:rPr>
                <w:rFonts w:ascii="Aptos" w:hAnsi="Aptos"/>
                <w:b/>
                <w:color w:val="0F6B78"/>
                <w:sz w:val="17"/>
              </w:rPr>
              <w:t>SNAPSHOT</w:t>
            </w:r>
          </w:p>
          <w:p>
            <w:pPr>
              <w:jc w:val="center"/>
            </w:pPr>
            <w:r>
              <w:rPr>
                <w:rFonts w:ascii="Aptos" w:hAnsi="Aptos"/>
                <w:b/>
                <w:color w:val="17365D"/>
                <w:sz w:val="24"/>
              </w:rPr>
              <w:t>31 Aug 2011</w:t>
            </w:r>
          </w:p>
        </w:tc>
      </w:tr>
    </w:tbl>
    <w:p>
      <w:pPr>
        <w:spacing w:after="240"/>
      </w:pPr>
    </w:p>
    <w:p>
      <w:pPr>
        <w:jc w:val="center"/>
      </w:pPr>
      <w:r>
        <w:rPr>
          <w:rFonts w:ascii="Aptos" w:hAnsi="Aptos"/>
          <w:b/>
          <w:color w:val="1F2937"/>
          <w:sz w:val="22"/>
        </w:rPr>
        <w:t>Prepared by Tanmay Chawhan</w:t>
      </w:r>
    </w:p>
    <w:p>
      <w:pPr>
        <w:jc w:val="center"/>
      </w:pPr>
      <w:r>
        <w:rPr>
          <w:rFonts w:ascii="Aptos" w:hAnsi="Aptos"/>
          <w:b w:val="0"/>
          <w:color w:val="6B7280"/>
          <w:sz w:val="20"/>
        </w:rPr>
        <w:t>24 September 2026</w:t>
      </w:r>
    </w:p>
    <w:tbl>
      <w:tblPr>
        <w:tblW w:type="auto" w:w="0"/>
        <w:jc w:val="center"/>
        <w:tblLook w:firstColumn="1" w:firstRow="1" w:lastColumn="0" w:lastRow="0" w:noHBand="0" w:noVBand="1" w:val="04A0"/>
      </w:tblPr>
      <w:tblGrid>
        <w:gridCol w:w="9994"/>
      </w:tblGrid>
      <w:tr>
        <w:tc>
          <w:tcPr>
            <w:tcW w:type="dxa" w:w="9994"/>
            <w:shd w:fill="EAF2F8"/>
            <w:tcBorders>
              <w:top w:val="single" w:sz="8" w:color="17365D"/>
              <w:left w:val="single" w:sz="4" w:color="D9E1F2"/>
              <w:bottom w:val="single" w:sz="4" w:color="D9E1F2"/>
              <w:right w:val="single" w:sz="4" w:color="D9E1F2"/>
            </w:tcBorders>
          </w:tcPr>
          <w:p>
            <w:r/>
            <w:r>
              <w:rPr>
                <w:b/>
                <w:color w:val="17365D"/>
                <w:sz w:val="21"/>
              </w:rPr>
              <w:t>Project framing</w:t>
            </w:r>
          </w:p>
          <w:p>
            <w:r>
              <w:rPr>
                <w:color w:val="1F2937"/>
                <w:sz w:val="20"/>
              </w:rPr>
              <w:t>This report documents the implemented analytics, machine-learning methodology, validation results, and Streamlit decision-support dashboard. The project uses a fixed 31-Aug-2011 snapshot and a 90-day future-inactivity target window.</w:t>
            </w:r>
          </w:p>
        </w:tc>
      </w:tr>
    </w:tbl>
    <w:p>
      <w:pPr>
        <w:spacing w:after="60"/>
      </w:pPr>
    </w:p>
    <w:p>
      <w:r>
        <w:br w:type="page"/>
      </w:r>
    </w:p>
    <w:p>
      <w:pPr>
        <w:pStyle w:val="Heading1"/>
      </w:pPr>
      <w:r>
        <w:rPr>
          <w:rFonts w:ascii="Aptos Display" w:hAnsi="Aptos Display"/>
        </w:rPr>
        <w:t>1. Executive Summary</w:t>
      </w:r>
    </w:p>
    <w:p>
      <w:pPr>
        <w:pStyle w:val="BodyText"/>
        <w:spacing w:after="140" w:line="269" w:lineRule="auto"/>
      </w:pPr>
      <w:r>
        <w:rPr>
          <w:color w:val="1F2937"/>
        </w:rPr>
        <w:t>This project develops an end-to-end e-commerce customer churn analytics and retention decision-support system using the UCI Online Retail dataset. The workflow combines data-quality auditing, transaction cleaning, customer eligibility rules, RFM analysis, customer-level behavioral feature engineering, a project-defined 90-day future-inactivity target, Logistic Regression, risk segmentation, and a Streamlit dashboard.</w:t>
      </w:r>
    </w:p>
    <w:p>
      <w:pPr>
        <w:pStyle w:val="BodyText"/>
        <w:spacing w:after="140" w:line="269" w:lineRule="auto"/>
      </w:pPr>
      <w:r>
        <w:rPr>
          <w:color w:val="1F2937"/>
        </w:rPr>
        <w:t>The source workbook contains 541,909 transaction rows spanning 1 December 2010 through 9 December 2011. After validation, exact duplicate removal, cancellation identification, missing-customer handling, and the qualifying-purchase filter, 392,692 transactions were retained for customer analytics. Applying the snapshot-period eligibility rule produced 1,765 eligible customers.</w:t>
      </w:r>
    </w:p>
    <w:p>
      <w:pPr>
        <w:pStyle w:val="BodyText"/>
        <w:spacing w:after="140" w:line="269" w:lineRule="auto"/>
      </w:pPr>
      <w:r>
        <w:rPr>
          <w:color w:val="1F2937"/>
        </w:rPr>
        <w:t>For those customers, the project defines Churn_90D from future behavior after the 31-Aug-2011 snapshot. During 1 September 2011 through 29 November 2011, 490 eligible customers made no qualifying purchase and were assigned Churn_90D = 1, while 1,275 made at least one qualifying purchase and were assigned Churn_90D = 0. The observed future-inactivity rate is therefore 27.76%.</w:t>
      </w:r>
    </w:p>
    <w:p>
      <w:pPr>
        <w:pStyle w:val="BodyText"/>
        <w:spacing w:after="140" w:line="269" w:lineRule="auto"/>
      </w:pPr>
      <w:r>
        <w:rPr>
          <w:color w:val="1F2937"/>
        </w:rPr>
        <w:t>The primary predictive model is a leakage-safe Logistic Regression pipeline with StandardScaler and balanced class weights. On the held-out 20% test set (353 customers), the model achieved Accuracy 0.5864, Precision 0.3723, Recall 0.7143, F1 0.4895, ROC-AUC 0.7063, and PR-AUC 0.4686. Operational risk scoring is then applied across all 1,765 eligible customers using continuous predicted inactivity probabilities, producing 706 Low Risk, 706 Medium Risk, and 353 High Risk customers.</w:t>
      </w:r>
    </w:p>
    <w:tbl>
      <w:tblPr>
        <w:tblW w:type="auto" w:w="0"/>
        <w:jc w:val="center"/>
        <w:tblLook w:firstColumn="1" w:firstRow="1" w:lastColumn="0" w:lastRow="0" w:noHBand="0" w:noVBand="1" w:val="04A0"/>
      </w:tblPr>
      <w:tblGrid>
        <w:gridCol w:w="9994"/>
      </w:tblGrid>
      <w:tr>
        <w:tc>
          <w:tcPr>
            <w:tcW w:type="dxa" w:w="9994"/>
            <w:shd w:fill="EAF6F7"/>
            <w:tcBorders>
              <w:top w:val="single" w:sz="8" w:color="0F6B78"/>
              <w:left w:val="single" w:sz="4" w:color="D9E1F2"/>
              <w:bottom w:val="single" w:sz="4" w:color="D9E1F2"/>
              <w:right w:val="single" w:sz="4" w:color="D9E1F2"/>
            </w:tcBorders>
          </w:tcPr>
          <w:p>
            <w:r/>
            <w:r>
              <w:rPr>
                <w:b/>
                <w:color w:val="0F6B78"/>
                <w:sz w:val="21"/>
              </w:rPr>
              <w:t>Key methodological distinction</w:t>
            </w:r>
          </w:p>
          <w:p>
            <w:r>
              <w:rPr>
                <w:color w:val="1F2937"/>
                <w:sz w:val="20"/>
              </w:rPr>
              <w:t>Model-performance metrics are calculated only on the held-out 353-customer test set. The dashboard's probabilities and risk tiers are operational scores applied to the full 1,765-customer eligible population; they are not presented as held-out predictions.</w:t>
            </w:r>
          </w:p>
        </w:tc>
      </w:tr>
    </w:tbl>
    <w:p>
      <w:pPr>
        <w:spacing w:after="60"/>
      </w:pPr>
    </w:p>
    <w:p>
      <w:pPr>
        <w:pStyle w:val="Heading2"/>
      </w:pPr>
      <w:r>
        <w:rPr>
          <w:rFonts w:ascii="Aptos" w:hAnsi="Aptos"/>
        </w:rPr>
        <w:t>1.1 Project at a Glance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464"/>
            <w:shd w:fill="17365D"/>
            <w:vAlign w:val="center"/>
          </w:tcPr>
          <w:p>
            <w:r/>
            <w:r>
              <w:rPr>
                <w:rFonts w:ascii="Aptos" w:hAnsi="Aptos"/>
                <w:b/>
                <w:color w:val="FFFFFF"/>
                <w:sz w:val="18"/>
              </w:rPr>
              <w:t>Measure</w:t>
            </w:r>
          </w:p>
        </w:tc>
        <w:tc>
          <w:tcPr>
            <w:tcW w:type="dxa" w:w="4608"/>
            <w:shd w:fill="17365D"/>
            <w:vAlign w:val="center"/>
          </w:tcPr>
          <w:p>
            <w:r/>
            <w:r>
              <w:rPr>
                <w:rFonts w:ascii="Aptos" w:hAnsi="Aptos"/>
                <w:b/>
                <w:color w:val="FFFFFF"/>
                <w:sz w:val="18"/>
              </w:rPr>
              <w:t>Verified result</w:t>
            </w:r>
          </w:p>
        </w:tc>
      </w:tr>
      <w:tr>
        <w:tc>
          <w:tcPr>
            <w:tcW w:type="dxa" w:w="4464"/>
            <w:shd w:fill="FFFFFF"/>
            <w:vAlign w:val="center"/>
          </w:tcPr>
          <w:p>
            <w:r/>
            <w:r>
              <w:rPr>
                <w:rFonts w:ascii="Aptos" w:hAnsi="Aptos"/>
                <w:b w:val="0"/>
                <w:color w:val="1F2937"/>
                <w:sz w:val="18"/>
              </w:rPr>
              <w:t>Raw transaction rows</w:t>
            </w:r>
          </w:p>
        </w:tc>
        <w:tc>
          <w:tcPr>
            <w:tcW w:type="dxa" w:w="4608"/>
            <w:shd w:fill="FFFFFF"/>
            <w:vAlign w:val="center"/>
          </w:tcPr>
          <w:p>
            <w:r/>
            <w:r>
              <w:rPr>
                <w:rFonts w:ascii="Aptos" w:hAnsi="Aptos"/>
                <w:b w:val="0"/>
                <w:color w:val="1F2937"/>
                <w:sz w:val="18"/>
              </w:rPr>
              <w:t>541,909</w:t>
            </w:r>
          </w:p>
        </w:tc>
      </w:tr>
      <w:tr>
        <w:tc>
          <w:tcPr>
            <w:tcW w:type="dxa" w:w="4464"/>
            <w:shd w:fill="F3F5F7"/>
            <w:vAlign w:val="center"/>
          </w:tcPr>
          <w:p>
            <w:r/>
            <w:r>
              <w:rPr>
                <w:rFonts w:ascii="Aptos" w:hAnsi="Aptos"/>
                <w:b w:val="0"/>
                <w:color w:val="1F2937"/>
                <w:sz w:val="18"/>
              </w:rPr>
              <w:t>Rows after exact deduplication</w:t>
            </w:r>
          </w:p>
        </w:tc>
        <w:tc>
          <w:tcPr>
            <w:tcW w:type="dxa" w:w="4608"/>
            <w:shd w:fill="F3F5F7"/>
            <w:vAlign w:val="center"/>
          </w:tcPr>
          <w:p>
            <w:r/>
            <w:r>
              <w:rPr>
                <w:rFonts w:ascii="Aptos" w:hAnsi="Aptos"/>
                <w:b w:val="0"/>
                <w:color w:val="1F2937"/>
                <w:sz w:val="18"/>
              </w:rPr>
              <w:t>536,641</w:t>
            </w:r>
          </w:p>
        </w:tc>
      </w:tr>
      <w:tr>
        <w:tc>
          <w:tcPr>
            <w:tcW w:type="dxa" w:w="4464"/>
            <w:shd w:fill="FFFFFF"/>
            <w:vAlign w:val="center"/>
          </w:tcPr>
          <w:p>
            <w:r/>
            <w:r>
              <w:rPr>
                <w:rFonts w:ascii="Aptos" w:hAnsi="Aptos"/>
                <w:b w:val="0"/>
                <w:color w:val="1F2937"/>
                <w:sz w:val="18"/>
              </w:rPr>
              <w:t>Qualifying transaction rows</w:t>
            </w:r>
          </w:p>
        </w:tc>
        <w:tc>
          <w:tcPr>
            <w:tcW w:type="dxa" w:w="4608"/>
            <w:shd w:fill="FFFFFF"/>
            <w:vAlign w:val="center"/>
          </w:tcPr>
          <w:p>
            <w:r/>
            <w:r>
              <w:rPr>
                <w:rFonts w:ascii="Aptos" w:hAnsi="Aptos"/>
                <w:b w:val="0"/>
                <w:color w:val="1F2937"/>
                <w:sz w:val="18"/>
              </w:rPr>
              <w:t>392,692</w:t>
            </w:r>
          </w:p>
        </w:tc>
      </w:tr>
      <w:tr>
        <w:tc>
          <w:tcPr>
            <w:tcW w:type="dxa" w:w="4464"/>
            <w:shd w:fill="F3F5F7"/>
            <w:vAlign w:val="center"/>
          </w:tcPr>
          <w:p>
            <w:r/>
            <w:r>
              <w:rPr>
                <w:rFonts w:ascii="Aptos" w:hAnsi="Aptos"/>
                <w:b w:val="0"/>
                <w:color w:val="1F2937"/>
                <w:sz w:val="18"/>
              </w:rPr>
              <w:t>Eligible customers</w:t>
            </w:r>
          </w:p>
        </w:tc>
        <w:tc>
          <w:tcPr>
            <w:tcW w:type="dxa" w:w="4608"/>
            <w:shd w:fill="F3F5F7"/>
            <w:vAlign w:val="center"/>
          </w:tcPr>
          <w:p>
            <w:r/>
            <w:r>
              <w:rPr>
                <w:rFonts w:ascii="Aptos" w:hAnsi="Aptos"/>
                <w:b w:val="0"/>
                <w:color w:val="1F2937"/>
                <w:sz w:val="18"/>
              </w:rPr>
              <w:t>1,765</w:t>
            </w:r>
          </w:p>
        </w:tc>
      </w:tr>
      <w:tr>
        <w:tc>
          <w:tcPr>
            <w:tcW w:type="dxa" w:w="4464"/>
            <w:shd w:fill="FFFFFF"/>
            <w:vAlign w:val="center"/>
          </w:tcPr>
          <w:p>
            <w:r/>
            <w:r>
              <w:rPr>
                <w:rFonts w:ascii="Aptos" w:hAnsi="Aptos"/>
                <w:b w:val="0"/>
                <w:color w:val="1F2937"/>
                <w:sz w:val="18"/>
              </w:rPr>
              <w:t>Observed future-inactive customers</w:t>
            </w:r>
          </w:p>
        </w:tc>
        <w:tc>
          <w:tcPr>
            <w:tcW w:type="dxa" w:w="4608"/>
            <w:shd w:fill="FFFFFF"/>
            <w:vAlign w:val="center"/>
          </w:tcPr>
          <w:p>
            <w:r/>
            <w:r>
              <w:rPr>
                <w:rFonts w:ascii="Aptos" w:hAnsi="Aptos"/>
                <w:b w:val="0"/>
                <w:color w:val="1F2937"/>
                <w:sz w:val="18"/>
              </w:rPr>
              <w:t>490 (27.76%)</w:t>
            </w:r>
          </w:p>
        </w:tc>
      </w:tr>
      <w:tr>
        <w:tc>
          <w:tcPr>
            <w:tcW w:type="dxa" w:w="4464"/>
            <w:shd w:fill="F3F5F7"/>
            <w:vAlign w:val="center"/>
          </w:tcPr>
          <w:p>
            <w:r/>
            <w:r>
              <w:rPr>
                <w:rFonts w:ascii="Aptos" w:hAnsi="Aptos"/>
                <w:b w:val="0"/>
                <w:color w:val="1F2937"/>
                <w:sz w:val="18"/>
              </w:rPr>
              <w:t>Observed future-active customers</w:t>
            </w:r>
          </w:p>
        </w:tc>
        <w:tc>
          <w:tcPr>
            <w:tcW w:type="dxa" w:w="4608"/>
            <w:shd w:fill="F3F5F7"/>
            <w:vAlign w:val="center"/>
          </w:tcPr>
          <w:p>
            <w:r/>
            <w:r>
              <w:rPr>
                <w:rFonts w:ascii="Aptos" w:hAnsi="Aptos"/>
                <w:b w:val="0"/>
                <w:color w:val="1F2937"/>
                <w:sz w:val="18"/>
              </w:rPr>
              <w:t>1,275 (72.24%)</w:t>
            </w:r>
          </w:p>
        </w:tc>
      </w:tr>
      <w:tr>
        <w:tc>
          <w:tcPr>
            <w:tcW w:type="dxa" w:w="4464"/>
            <w:shd w:fill="FFFFFF"/>
            <w:vAlign w:val="center"/>
          </w:tcPr>
          <w:p>
            <w:r/>
            <w:r>
              <w:rPr>
                <w:rFonts w:ascii="Aptos" w:hAnsi="Aptos"/>
                <w:b w:val="0"/>
                <w:color w:val="1F2937"/>
                <w:sz w:val="18"/>
              </w:rPr>
              <w:t>Held-out test size</w:t>
            </w:r>
          </w:p>
        </w:tc>
        <w:tc>
          <w:tcPr>
            <w:tcW w:type="dxa" w:w="4608"/>
            <w:shd w:fill="FFFFFF"/>
            <w:vAlign w:val="center"/>
          </w:tcPr>
          <w:p>
            <w:r/>
            <w:r>
              <w:rPr>
                <w:rFonts w:ascii="Aptos" w:hAnsi="Aptos"/>
                <w:b w:val="0"/>
                <w:color w:val="1F2937"/>
                <w:sz w:val="18"/>
              </w:rPr>
              <w:t>353</w:t>
            </w:r>
          </w:p>
        </w:tc>
      </w:tr>
      <w:tr>
        <w:tc>
          <w:tcPr>
            <w:tcW w:type="dxa" w:w="4464"/>
            <w:shd w:fill="F3F5F7"/>
            <w:vAlign w:val="center"/>
          </w:tcPr>
          <w:p>
            <w:r/>
            <w:r>
              <w:rPr>
                <w:rFonts w:ascii="Aptos" w:hAnsi="Aptos"/>
                <w:b w:val="0"/>
                <w:color w:val="1F2937"/>
                <w:sz w:val="18"/>
              </w:rPr>
              <w:t>ROC-AUC</w:t>
            </w:r>
          </w:p>
        </w:tc>
        <w:tc>
          <w:tcPr>
            <w:tcW w:type="dxa" w:w="4608"/>
            <w:shd w:fill="F3F5F7"/>
            <w:vAlign w:val="center"/>
          </w:tcPr>
          <w:p>
            <w:r/>
            <w:r>
              <w:rPr>
                <w:rFonts w:ascii="Aptos" w:hAnsi="Aptos"/>
                <w:b w:val="0"/>
                <w:color w:val="1F2937"/>
                <w:sz w:val="18"/>
              </w:rPr>
              <w:t>0.7063</w:t>
            </w:r>
          </w:p>
        </w:tc>
      </w:tr>
      <w:tr>
        <w:tc>
          <w:tcPr>
            <w:tcW w:type="dxa" w:w="4464"/>
            <w:shd w:fill="FFFFFF"/>
            <w:vAlign w:val="center"/>
          </w:tcPr>
          <w:p>
            <w:r/>
            <w:r>
              <w:rPr>
                <w:rFonts w:ascii="Aptos" w:hAnsi="Aptos"/>
                <w:b w:val="0"/>
                <w:color w:val="1F2937"/>
                <w:sz w:val="18"/>
              </w:rPr>
              <w:t>PR-AUC</w:t>
            </w:r>
          </w:p>
        </w:tc>
        <w:tc>
          <w:tcPr>
            <w:tcW w:type="dxa" w:w="4608"/>
            <w:shd w:fill="FFFFFF"/>
            <w:vAlign w:val="center"/>
          </w:tcPr>
          <w:p>
            <w:r/>
            <w:r>
              <w:rPr>
                <w:rFonts w:ascii="Aptos" w:hAnsi="Aptos"/>
                <w:b w:val="0"/>
                <w:color w:val="1F2937"/>
                <w:sz w:val="18"/>
              </w:rPr>
              <w:t>0.4686</w:t>
            </w:r>
          </w:p>
        </w:tc>
      </w:tr>
      <w:tr>
        <w:tc>
          <w:tcPr>
            <w:tcW w:type="dxa" w:w="4464"/>
            <w:shd w:fill="F3F5F7"/>
            <w:vAlign w:val="center"/>
          </w:tcPr>
          <w:p>
            <w:r/>
            <w:r>
              <w:rPr>
                <w:rFonts w:ascii="Aptos" w:hAnsi="Aptos"/>
                <w:b w:val="0"/>
                <w:color w:val="1F2937"/>
                <w:sz w:val="18"/>
              </w:rPr>
              <w:t>Operational High Risk customers</w:t>
            </w:r>
          </w:p>
        </w:tc>
        <w:tc>
          <w:tcPr>
            <w:tcW w:type="dxa" w:w="4608"/>
            <w:shd w:fill="F3F5F7"/>
            <w:vAlign w:val="center"/>
          </w:tcPr>
          <w:p>
            <w:r/>
            <w:r>
              <w:rPr>
                <w:rFonts w:ascii="Aptos" w:hAnsi="Aptos"/>
                <w:b w:val="0"/>
                <w:color w:val="1F2937"/>
                <w:sz w:val="18"/>
              </w:rPr>
              <w:t>353 (20.0%)</w:t>
            </w:r>
          </w:p>
        </w:tc>
      </w:tr>
    </w:tbl>
    <w:p>
      <w:pPr>
        <w:spacing w:after="40"/>
      </w:pPr>
    </w:p>
    <w:p>
      <w:pPr>
        <w:pStyle w:val="Heading1"/>
      </w:pPr>
      <w:r>
        <w:rPr>
          <w:rFonts w:ascii="Aptos Display" w:hAnsi="Aptos Display"/>
        </w:rPr>
        <w:t>2. Introduction and Problem Statement</w:t>
      </w:r>
    </w:p>
    <w:p>
      <w:pPr>
        <w:pStyle w:val="Heading2"/>
      </w:pPr>
      <w:r>
        <w:rPr>
          <w:rFonts w:ascii="Aptos" w:hAnsi="Aptos"/>
        </w:rPr>
        <w:t>2.1 Business Context</w:t>
      </w:r>
    </w:p>
    <w:p>
      <w:pPr>
        <w:pStyle w:val="BodyText"/>
        <w:spacing w:after="140" w:line="269" w:lineRule="auto"/>
      </w:pPr>
      <w:r>
        <w:rPr>
          <w:color w:val="1F2937"/>
        </w:rPr>
        <w:t>Customer retention is a recurring analytical problem in online retail because customer behavior changes over time and transaction histories contain signals about purchase recency, frequency, and value. This project turns historical transactions into customer-level evidence that can support structured retention prioritization.</w:t>
      </w:r>
    </w:p>
    <w:p>
      <w:pPr>
        <w:pStyle w:val="Heading2"/>
      </w:pPr>
      <w:r>
        <w:rPr>
          <w:rFonts w:ascii="Aptos" w:hAnsi="Aptos"/>
        </w:rPr>
        <w:t>2.2 Problem Statement</w:t>
      </w:r>
    </w:p>
    <w:p>
      <w:pPr>
        <w:pStyle w:val="BodyText"/>
        <w:spacing w:after="140" w:line="269" w:lineRule="auto"/>
      </w:pPr>
      <w:r>
        <w:rPr>
          <w:color w:val="1F2937"/>
        </w:rPr>
        <w:t>The core analytical problem is to identify eligible customers whose historical behavior is associated with a higher likelihood of future inactivity, quantify that risk with an interpretable machine-learning model, and present the results in a form that can support customer-level and segment-level review.</w:t>
      </w:r>
    </w:p>
    <w:p>
      <w:pPr>
        <w:pStyle w:val="Heading2"/>
      </w:pPr>
      <w:r>
        <w:rPr>
          <w:rFonts w:ascii="Aptos" w:hAnsi="Aptos"/>
        </w:rPr>
        <w:t>2.3 Objectives</w:t>
      </w:r>
    </w:p>
    <w:p>
      <w:pPr>
        <w:pStyle w:val="ListBullet"/>
        <w:spacing w:after="60"/>
        <w:ind w:left="259"/>
      </w:pPr>
      <w:r>
        <w:rPr>
          <w:rFonts w:ascii="Aptos" w:hAnsi="Aptos"/>
          <w:color w:val="1F2937"/>
          <w:sz w:val="21"/>
        </w:rPr>
        <w:t>Validate and clean the UCI Online Retail transaction data without altering the raw source file.</w:t>
      </w:r>
    </w:p>
    <w:p>
      <w:pPr>
        <w:pStyle w:val="ListBullet"/>
        <w:spacing w:after="60"/>
        <w:ind w:left="259"/>
      </w:pPr>
      <w:r>
        <w:rPr>
          <w:rFonts w:ascii="Aptos" w:hAnsi="Aptos"/>
          <w:color w:val="1F2937"/>
          <w:sz w:val="21"/>
        </w:rPr>
        <w:t>Construct a snapshot-based customer analytical dataset using only information available on or before 31 August 2011.</w:t>
      </w:r>
    </w:p>
    <w:p>
      <w:pPr>
        <w:pStyle w:val="ListBullet"/>
        <w:spacing w:after="60"/>
        <w:ind w:left="259"/>
      </w:pPr>
      <w:r>
        <w:rPr>
          <w:rFonts w:ascii="Aptos" w:hAnsi="Aptos"/>
          <w:color w:val="1F2937"/>
          <w:sz w:val="21"/>
        </w:rPr>
        <w:t>Perform RFM analysis and supporting behavioral analysis.</w:t>
      </w:r>
    </w:p>
    <w:p>
      <w:pPr>
        <w:pStyle w:val="ListBullet"/>
        <w:spacing w:after="60"/>
        <w:ind w:left="259"/>
      </w:pPr>
      <w:r>
        <w:rPr>
          <w:rFonts w:ascii="Aptos" w:hAnsi="Aptos"/>
          <w:color w:val="1F2937"/>
          <w:sz w:val="21"/>
        </w:rPr>
        <w:t>Create a project-defined 90-day future-inactivity target.</w:t>
      </w:r>
    </w:p>
    <w:p>
      <w:pPr>
        <w:pStyle w:val="ListBullet"/>
        <w:spacing w:after="60"/>
        <w:ind w:left="259"/>
      </w:pPr>
      <w:r>
        <w:rPr>
          <w:rFonts w:ascii="Aptos" w:hAnsi="Aptos"/>
          <w:color w:val="1F2937"/>
          <w:sz w:val="21"/>
        </w:rPr>
        <w:t>Train and evaluate a leakage-safe Logistic Regression classifier.</w:t>
      </w:r>
    </w:p>
    <w:p>
      <w:pPr>
        <w:pStyle w:val="ListBullet"/>
        <w:spacing w:after="60"/>
        <w:ind w:left="259"/>
      </w:pPr>
      <w:r>
        <w:rPr>
          <w:rFonts w:ascii="Aptos" w:hAnsi="Aptos"/>
          <w:color w:val="1F2937"/>
          <w:sz w:val="21"/>
        </w:rPr>
        <w:t>Generate continuous customer inactivity probabilities and operational risk tiers.</w:t>
      </w:r>
    </w:p>
    <w:p>
      <w:pPr>
        <w:pStyle w:val="ListBullet"/>
        <w:spacing w:after="60"/>
        <w:ind w:left="259"/>
      </w:pPr>
      <w:r>
        <w:rPr>
          <w:rFonts w:ascii="Aptos" w:hAnsi="Aptos"/>
          <w:color w:val="1F2937"/>
          <w:sz w:val="21"/>
        </w:rPr>
        <w:t>Provide retention decision support through a Streamlit dashboard.</w:t>
      </w:r>
    </w:p>
    <w:p>
      <w:pPr>
        <w:pStyle w:val="ListBullet"/>
        <w:spacing w:after="60"/>
        <w:ind w:left="259"/>
      </w:pPr>
      <w:r>
        <w:rPr>
          <w:rFonts w:ascii="Aptos" w:hAnsi="Aptos"/>
          <w:color w:val="1F2937"/>
          <w:sz w:val="21"/>
        </w:rPr>
        <w:t>Package the work into reproducible notebooks, tests, README documentation, and project artifacts.</w:t>
      </w:r>
    </w:p>
    <w:p>
      <w:pPr>
        <w:pStyle w:val="Heading1"/>
      </w:pPr>
      <w:r>
        <w:rPr>
          <w:rFonts w:ascii="Aptos Display" w:hAnsi="Aptos Display"/>
        </w:rPr>
        <w:t>3. Dataset and Source</w:t>
      </w:r>
    </w:p>
    <w:p>
      <w:pPr>
        <w:pStyle w:val="BodyText"/>
        <w:spacing w:after="140" w:line="269" w:lineRule="auto"/>
      </w:pPr>
      <w:r>
        <w:rPr>
          <w:color w:val="1F2937"/>
        </w:rPr>
        <w:t>The project uses the official UCI Machine Learning Repository Online Retail dataset (dataset 352), supplied locally as Online Retail.xlsx. The UCI record describes 541,909 instances covering transactions from 01/12/2010 through 09/12/2011 for a UK-based registered non-store online retailer. The dataset includes transaction identifiers, product identifiers, descriptions, quantities, invoice timestamps, unit prices, customer identifiers, and country information.</w:t>
      </w:r>
    </w:p>
    <w:tbl>
      <w:tblPr>
        <w:tblW w:type="auto" w:w="0"/>
        <w:jc w:val="center"/>
        <w:tblLook w:firstColumn="1" w:firstRow="1" w:lastColumn="0" w:lastRow="0" w:noHBand="0" w:noVBand="1" w:val="04A0"/>
      </w:tblPr>
      <w:tblGrid>
        <w:gridCol w:w="9994"/>
      </w:tblGrid>
      <w:tr>
        <w:tc>
          <w:tcPr>
            <w:tcW w:type="dxa" w:w="9994"/>
            <w:shd w:fill="EAF2F8"/>
            <w:tcBorders>
              <w:top w:val="single" w:sz="8" w:color="17365D"/>
              <w:left w:val="single" w:sz="4" w:color="D9E1F2"/>
              <w:bottom w:val="single" w:sz="4" w:color="D9E1F2"/>
              <w:right w:val="single" w:sz="4" w:color="D9E1F2"/>
            </w:tcBorders>
          </w:tcPr>
          <w:p>
            <w:r/>
            <w:r>
              <w:rPr>
                <w:b/>
                <w:color w:val="17365D"/>
                <w:sz w:val="21"/>
              </w:rPr>
              <w:t>Source note</w:t>
            </w:r>
          </w:p>
          <w:p>
            <w:r>
              <w:rPr>
                <w:color w:val="1F2937"/>
                <w:sz w:val="20"/>
              </w:rPr>
              <w:t>The locally verified workbook used in this project contains eight columns: InvoiceNo, StockCode, Description, Quantity, InvoiceDate, UnitPrice, CustomerID, and Country. The UCI catalog page describes the dataset and provides the official citation/DOI.</w:t>
            </w:r>
          </w:p>
        </w:tc>
      </w:tr>
    </w:tbl>
    <w:p>
      <w:pPr>
        <w:spacing w:after="60"/>
      </w:pPr>
    </w:p>
    <w:p>
      <w:pPr>
        <w:pStyle w:val="Heading2"/>
      </w:pPr>
      <w:r>
        <w:rPr>
          <w:rFonts w:ascii="Aptos" w:hAnsi="Aptos"/>
        </w:rPr>
        <w:t>3.1 Verified Source Schema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7365D"/>
            <w:vAlign w:val="center"/>
          </w:tcPr>
          <w:p>
            <w:r/>
            <w:r>
              <w:rPr>
                <w:rFonts w:ascii="Aptos" w:hAnsi="Aptos"/>
                <w:b/>
                <w:color w:val="FFFFFF"/>
                <w:sz w:val="18"/>
              </w:rPr>
              <w:t>Column</w:t>
            </w:r>
          </w:p>
        </w:tc>
        <w:tc>
          <w:tcPr>
            <w:tcW w:type="dxa" w:w="6192"/>
            <w:shd w:fill="17365D"/>
            <w:vAlign w:val="center"/>
          </w:tcPr>
          <w:p>
            <w:r/>
            <w:r>
              <w:rPr>
                <w:rFonts w:ascii="Aptos" w:hAnsi="Aptos"/>
                <w:b/>
                <w:color w:val="FFFFFF"/>
                <w:sz w:val="18"/>
              </w:rPr>
              <w:t>Project use</w:t>
            </w:r>
          </w:p>
        </w:tc>
      </w:tr>
      <w:tr>
        <w:tc>
          <w:tcPr>
            <w:tcW w:type="dxa" w:w="2880"/>
            <w:shd w:fill="FFFFFF"/>
            <w:vAlign w:val="center"/>
          </w:tcPr>
          <w:p>
            <w:r/>
            <w:r>
              <w:rPr>
                <w:rFonts w:ascii="Aptos" w:hAnsi="Aptos"/>
                <w:b w:val="0"/>
                <w:color w:val="1F2937"/>
                <w:sz w:val="18"/>
              </w:rPr>
              <w:t>InvoiceNo</w:t>
            </w:r>
          </w:p>
        </w:tc>
        <w:tc>
          <w:tcPr>
            <w:tcW w:type="dxa" w:w="6192"/>
            <w:shd w:fill="FFFFFF"/>
            <w:vAlign w:val="center"/>
          </w:tcPr>
          <w:p>
            <w:r/>
            <w:r>
              <w:rPr>
                <w:rFonts w:ascii="Aptos" w:hAnsi="Aptos"/>
                <w:b w:val="0"/>
                <w:color w:val="1F2937"/>
                <w:sz w:val="18"/>
              </w:rPr>
              <w:t>Transaction/invoice identifier; cancellation detection</w:t>
            </w:r>
          </w:p>
        </w:tc>
      </w:tr>
      <w:tr>
        <w:tc>
          <w:tcPr>
            <w:tcW w:type="dxa" w:w="2880"/>
            <w:shd w:fill="F3F5F7"/>
            <w:vAlign w:val="center"/>
          </w:tcPr>
          <w:p>
            <w:r/>
            <w:r>
              <w:rPr>
                <w:rFonts w:ascii="Aptos" w:hAnsi="Aptos"/>
                <w:b w:val="0"/>
                <w:color w:val="1F2937"/>
                <w:sz w:val="18"/>
              </w:rPr>
              <w:t>StockCode</w:t>
            </w:r>
          </w:p>
        </w:tc>
        <w:tc>
          <w:tcPr>
            <w:tcW w:type="dxa" w:w="6192"/>
            <w:shd w:fill="F3F5F7"/>
            <w:vAlign w:val="center"/>
          </w:tcPr>
          <w:p>
            <w:r/>
            <w:r>
              <w:rPr>
                <w:rFonts w:ascii="Aptos" w:hAnsi="Aptos"/>
                <w:b w:val="0"/>
                <w:color w:val="1F2937"/>
                <w:sz w:val="18"/>
              </w:rPr>
              <w:t>Product identifier; unique-product feature</w:t>
            </w:r>
          </w:p>
        </w:tc>
      </w:tr>
      <w:tr>
        <w:tc>
          <w:tcPr>
            <w:tcW w:type="dxa" w:w="2880"/>
            <w:shd w:fill="FFFFFF"/>
            <w:vAlign w:val="center"/>
          </w:tcPr>
          <w:p>
            <w:r/>
            <w:r>
              <w:rPr>
                <w:rFonts w:ascii="Aptos" w:hAnsi="Aptos"/>
                <w:b w:val="0"/>
                <w:color w:val="1F2937"/>
                <w:sz w:val="18"/>
              </w:rPr>
              <w:t>Description</w:t>
            </w:r>
          </w:p>
        </w:tc>
        <w:tc>
          <w:tcPr>
            <w:tcW w:type="dxa" w:w="6192"/>
            <w:shd w:fill="FFFFFF"/>
            <w:vAlign w:val="center"/>
          </w:tcPr>
          <w:p>
            <w:r/>
            <w:r>
              <w:rPr>
                <w:rFonts w:ascii="Aptos" w:hAnsi="Aptos"/>
                <w:b w:val="0"/>
                <w:color w:val="1F2937"/>
                <w:sz w:val="18"/>
              </w:rPr>
              <w:t>Product description; missing values normalized for analysis</w:t>
            </w:r>
          </w:p>
        </w:tc>
      </w:tr>
      <w:tr>
        <w:tc>
          <w:tcPr>
            <w:tcW w:type="dxa" w:w="2880"/>
            <w:shd w:fill="F3F5F7"/>
            <w:vAlign w:val="center"/>
          </w:tcPr>
          <w:p>
            <w:r/>
            <w:r>
              <w:rPr>
                <w:rFonts w:ascii="Aptos" w:hAnsi="Aptos"/>
                <w:b w:val="0"/>
                <w:color w:val="1F2937"/>
                <w:sz w:val="18"/>
              </w:rPr>
              <w:t>Quantity</w:t>
            </w:r>
          </w:p>
        </w:tc>
        <w:tc>
          <w:tcPr>
            <w:tcW w:type="dxa" w:w="6192"/>
            <w:shd w:fill="F3F5F7"/>
            <w:vAlign w:val="center"/>
          </w:tcPr>
          <w:p>
            <w:r/>
            <w:r>
              <w:rPr>
                <w:rFonts w:ascii="Aptos" w:hAnsi="Aptos"/>
                <w:b w:val="0"/>
                <w:color w:val="1F2937"/>
                <w:sz w:val="18"/>
              </w:rPr>
              <w:t>Item quantity; qualifying rule requires &gt; 0</w:t>
            </w:r>
          </w:p>
        </w:tc>
      </w:tr>
      <w:tr>
        <w:tc>
          <w:tcPr>
            <w:tcW w:type="dxa" w:w="2880"/>
            <w:shd w:fill="FFFFFF"/>
            <w:vAlign w:val="center"/>
          </w:tcPr>
          <w:p>
            <w:r/>
            <w:r>
              <w:rPr>
                <w:rFonts w:ascii="Aptos" w:hAnsi="Aptos"/>
                <w:b w:val="0"/>
                <w:color w:val="1F2937"/>
                <w:sz w:val="18"/>
              </w:rPr>
              <w:t>InvoiceDate</w:t>
            </w:r>
          </w:p>
        </w:tc>
        <w:tc>
          <w:tcPr>
            <w:tcW w:type="dxa" w:w="6192"/>
            <w:shd w:fill="FFFFFF"/>
            <w:vAlign w:val="center"/>
          </w:tcPr>
          <w:p>
            <w:r/>
            <w:r>
              <w:rPr>
                <w:rFonts w:ascii="Aptos" w:hAnsi="Aptos"/>
                <w:b w:val="0"/>
                <w:color w:val="1F2937"/>
                <w:sz w:val="18"/>
              </w:rPr>
              <w:t>Transaction date/time; temporal filtering and features</w:t>
            </w:r>
          </w:p>
        </w:tc>
      </w:tr>
      <w:tr>
        <w:tc>
          <w:tcPr>
            <w:tcW w:type="dxa" w:w="2880"/>
            <w:shd w:fill="F3F5F7"/>
            <w:vAlign w:val="center"/>
          </w:tcPr>
          <w:p>
            <w:r/>
            <w:r>
              <w:rPr>
                <w:rFonts w:ascii="Aptos" w:hAnsi="Aptos"/>
                <w:b w:val="0"/>
                <w:color w:val="1F2937"/>
                <w:sz w:val="18"/>
              </w:rPr>
              <w:t>UnitPrice</w:t>
            </w:r>
          </w:p>
        </w:tc>
        <w:tc>
          <w:tcPr>
            <w:tcW w:type="dxa" w:w="6192"/>
            <w:shd w:fill="F3F5F7"/>
            <w:vAlign w:val="center"/>
          </w:tcPr>
          <w:p>
            <w:r/>
            <w:r>
              <w:rPr>
                <w:rFonts w:ascii="Aptos" w:hAnsi="Aptos"/>
                <w:b w:val="0"/>
                <w:color w:val="1F2937"/>
                <w:sz w:val="18"/>
              </w:rPr>
              <w:t>Price per unit in GBP; qualifying rule requires &gt; 0</w:t>
            </w:r>
          </w:p>
        </w:tc>
      </w:tr>
      <w:tr>
        <w:tc>
          <w:tcPr>
            <w:tcW w:type="dxa" w:w="2880"/>
            <w:shd w:fill="FFFFFF"/>
            <w:vAlign w:val="center"/>
          </w:tcPr>
          <w:p>
            <w:r/>
            <w:r>
              <w:rPr>
                <w:rFonts w:ascii="Aptos" w:hAnsi="Aptos"/>
                <w:b w:val="0"/>
                <w:color w:val="1F2937"/>
                <w:sz w:val="18"/>
              </w:rPr>
              <w:t>CustomerID</w:t>
            </w:r>
          </w:p>
        </w:tc>
        <w:tc>
          <w:tcPr>
            <w:tcW w:type="dxa" w:w="6192"/>
            <w:shd w:fill="FFFFFF"/>
            <w:vAlign w:val="center"/>
          </w:tcPr>
          <w:p>
            <w:r/>
            <w:r>
              <w:rPr>
                <w:rFonts w:ascii="Aptos" w:hAnsi="Aptos"/>
                <w:b w:val="0"/>
                <w:color w:val="1F2937"/>
                <w:sz w:val="18"/>
              </w:rPr>
              <w:t>Customer identifier; required for customer-level analysis</w:t>
            </w:r>
          </w:p>
        </w:tc>
      </w:tr>
      <w:tr>
        <w:tc>
          <w:tcPr>
            <w:tcW w:type="dxa" w:w="2880"/>
            <w:shd w:fill="F3F5F7"/>
            <w:vAlign w:val="center"/>
          </w:tcPr>
          <w:p>
            <w:r/>
            <w:r>
              <w:rPr>
                <w:rFonts w:ascii="Aptos" w:hAnsi="Aptos"/>
                <w:b w:val="0"/>
                <w:color w:val="1F2937"/>
                <w:sz w:val="18"/>
              </w:rPr>
              <w:t>Country</w:t>
            </w:r>
          </w:p>
        </w:tc>
        <w:tc>
          <w:tcPr>
            <w:tcW w:type="dxa" w:w="6192"/>
            <w:shd w:fill="F3F5F7"/>
            <w:vAlign w:val="center"/>
          </w:tcPr>
          <w:p>
            <w:r/>
            <w:r>
              <w:rPr>
                <w:rFonts w:ascii="Aptos" w:hAnsi="Aptos"/>
                <w:b w:val="0"/>
                <w:color w:val="1F2937"/>
                <w:sz w:val="18"/>
              </w:rPr>
              <w:t>Customer country; descriptive and dashboard analysis</w:t>
            </w:r>
          </w:p>
        </w:tc>
      </w:tr>
    </w:tbl>
    <w:p>
      <w:pPr>
        <w:spacing w:after="40"/>
      </w:pPr>
    </w:p>
    <w:p>
      <w:pPr>
        <w:pStyle w:val="Heading1"/>
      </w:pPr>
      <w:r>
        <w:rPr>
          <w:rFonts w:ascii="Aptos Display" w:hAnsi="Aptos Display"/>
        </w:rPr>
        <w:t>4. Data Quality Audit</w:t>
      </w:r>
    </w:p>
    <w:p>
      <w:pPr>
        <w:pStyle w:val="BodyText"/>
        <w:spacing w:after="140" w:line="269" w:lineRule="auto"/>
      </w:pPr>
      <w:r>
        <w:rPr>
          <w:color w:val="1F2937"/>
        </w:rPr>
        <w:t>The raw workbook was validated before any customer-level analysis. The audit reproduced the independently verified source characteristics exactly. This provided a controlled baseline for the cleaning pipeline and prevented later calculations from depending on silently transformed source data.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5112"/>
            <w:shd w:fill="17365D"/>
            <w:vAlign w:val="center"/>
          </w:tcPr>
          <w:p>
            <w:r/>
            <w:r>
              <w:rPr>
                <w:rFonts w:ascii="Aptos" w:hAnsi="Aptos"/>
                <w:b/>
                <w:color w:val="FFFFFF"/>
                <w:sz w:val="18"/>
              </w:rPr>
              <w:t>Audit check</w:t>
            </w:r>
          </w:p>
        </w:tc>
        <w:tc>
          <w:tcPr>
            <w:tcW w:type="dxa" w:w="3960"/>
            <w:shd w:fill="17365D"/>
            <w:vAlign w:val="center"/>
          </w:tcPr>
          <w:p>
            <w:r/>
            <w:r>
              <w:rPr>
                <w:rFonts w:ascii="Aptos" w:hAnsi="Aptos"/>
                <w:b/>
                <w:color w:val="FFFFFF"/>
                <w:sz w:val="18"/>
              </w:rPr>
              <w:t>Verified result</w:t>
            </w:r>
          </w:p>
        </w:tc>
      </w:tr>
      <w:tr>
        <w:tc>
          <w:tcPr>
            <w:tcW w:type="dxa" w:w="5112"/>
            <w:shd w:fill="FFFFFF"/>
            <w:vAlign w:val="center"/>
          </w:tcPr>
          <w:p>
            <w:r/>
            <w:r>
              <w:rPr>
                <w:rFonts w:ascii="Aptos" w:hAnsi="Aptos"/>
                <w:b w:val="0"/>
                <w:color w:val="1F2937"/>
                <w:sz w:val="18"/>
              </w:rPr>
              <w:t>Raw transaction rows</w:t>
            </w:r>
          </w:p>
        </w:tc>
        <w:tc>
          <w:tcPr>
            <w:tcW w:type="dxa" w:w="3960"/>
            <w:shd w:fill="FFFFFF"/>
            <w:vAlign w:val="center"/>
          </w:tcPr>
          <w:p>
            <w:r/>
            <w:r>
              <w:rPr>
                <w:rFonts w:ascii="Aptos" w:hAnsi="Aptos"/>
                <w:b w:val="0"/>
                <w:color w:val="1F2937"/>
                <w:sz w:val="18"/>
              </w:rPr>
              <w:t>541,909</w:t>
            </w:r>
          </w:p>
        </w:tc>
      </w:tr>
      <w:tr>
        <w:tc>
          <w:tcPr>
            <w:tcW w:type="dxa" w:w="5112"/>
            <w:shd w:fill="F3F5F7"/>
            <w:vAlign w:val="center"/>
          </w:tcPr>
          <w:p>
            <w:r/>
            <w:r>
              <w:rPr>
                <w:rFonts w:ascii="Aptos" w:hAnsi="Aptos"/>
                <w:b w:val="0"/>
                <w:color w:val="1F2937"/>
                <w:sz w:val="18"/>
              </w:rPr>
              <w:t>Raw columns</w:t>
            </w:r>
          </w:p>
        </w:tc>
        <w:tc>
          <w:tcPr>
            <w:tcW w:type="dxa" w:w="3960"/>
            <w:shd w:fill="F3F5F7"/>
            <w:vAlign w:val="center"/>
          </w:tcPr>
          <w:p>
            <w:r/>
            <w:r>
              <w:rPr>
                <w:rFonts w:ascii="Aptos" w:hAnsi="Aptos"/>
                <w:b w:val="0"/>
                <w:color w:val="1F2937"/>
                <w:sz w:val="18"/>
              </w:rPr>
              <w:t>8</w:t>
            </w:r>
          </w:p>
        </w:tc>
      </w:tr>
      <w:tr>
        <w:tc>
          <w:tcPr>
            <w:tcW w:type="dxa" w:w="5112"/>
            <w:shd w:fill="FFFFFF"/>
            <w:vAlign w:val="center"/>
          </w:tcPr>
          <w:p>
            <w:r/>
            <w:r>
              <w:rPr>
                <w:rFonts w:ascii="Aptos" w:hAnsi="Aptos"/>
                <w:b w:val="0"/>
                <w:color w:val="1F2937"/>
                <w:sz w:val="18"/>
              </w:rPr>
              <w:t>Missing CustomerID</w:t>
            </w:r>
          </w:p>
        </w:tc>
        <w:tc>
          <w:tcPr>
            <w:tcW w:type="dxa" w:w="3960"/>
            <w:shd w:fill="FFFFFF"/>
            <w:vAlign w:val="center"/>
          </w:tcPr>
          <w:p>
            <w:r/>
            <w:r>
              <w:rPr>
                <w:rFonts w:ascii="Aptos" w:hAnsi="Aptos"/>
                <w:b w:val="0"/>
                <w:color w:val="1F2937"/>
                <w:sz w:val="18"/>
              </w:rPr>
              <w:t>135,080</w:t>
            </w:r>
          </w:p>
        </w:tc>
      </w:tr>
      <w:tr>
        <w:tc>
          <w:tcPr>
            <w:tcW w:type="dxa" w:w="5112"/>
            <w:shd w:fill="F3F5F7"/>
            <w:vAlign w:val="center"/>
          </w:tcPr>
          <w:p>
            <w:r/>
            <w:r>
              <w:rPr>
                <w:rFonts w:ascii="Aptos" w:hAnsi="Aptos"/>
                <w:b w:val="0"/>
                <w:color w:val="1F2937"/>
                <w:sz w:val="18"/>
              </w:rPr>
              <w:t>Missing Description</w:t>
            </w:r>
          </w:p>
        </w:tc>
        <w:tc>
          <w:tcPr>
            <w:tcW w:type="dxa" w:w="3960"/>
            <w:shd w:fill="F3F5F7"/>
            <w:vAlign w:val="center"/>
          </w:tcPr>
          <w:p>
            <w:r/>
            <w:r>
              <w:rPr>
                <w:rFonts w:ascii="Aptos" w:hAnsi="Aptos"/>
                <w:b w:val="0"/>
                <w:color w:val="1F2937"/>
                <w:sz w:val="18"/>
              </w:rPr>
              <w:t>1,454</w:t>
            </w:r>
          </w:p>
        </w:tc>
      </w:tr>
      <w:tr>
        <w:tc>
          <w:tcPr>
            <w:tcW w:type="dxa" w:w="5112"/>
            <w:shd w:fill="FFFFFF"/>
            <w:vAlign w:val="center"/>
          </w:tcPr>
          <w:p>
            <w:r/>
            <w:r>
              <w:rPr>
                <w:rFonts w:ascii="Aptos" w:hAnsi="Aptos"/>
                <w:b w:val="0"/>
                <w:color w:val="1F2937"/>
                <w:sz w:val="18"/>
              </w:rPr>
              <w:t>Exact duplicate rows</w:t>
            </w:r>
          </w:p>
        </w:tc>
        <w:tc>
          <w:tcPr>
            <w:tcW w:type="dxa" w:w="3960"/>
            <w:shd w:fill="FFFFFF"/>
            <w:vAlign w:val="center"/>
          </w:tcPr>
          <w:p>
            <w:r/>
            <w:r>
              <w:rPr>
                <w:rFonts w:ascii="Aptos" w:hAnsi="Aptos"/>
                <w:b w:val="0"/>
                <w:color w:val="1F2937"/>
                <w:sz w:val="18"/>
              </w:rPr>
              <w:t>5,268</w:t>
            </w:r>
          </w:p>
        </w:tc>
      </w:tr>
      <w:tr>
        <w:tc>
          <w:tcPr>
            <w:tcW w:type="dxa" w:w="5112"/>
            <w:shd w:fill="F3F5F7"/>
            <w:vAlign w:val="center"/>
          </w:tcPr>
          <w:p>
            <w:r/>
            <w:r>
              <w:rPr>
                <w:rFonts w:ascii="Aptos" w:hAnsi="Aptos"/>
                <w:b w:val="0"/>
                <w:color w:val="1F2937"/>
                <w:sz w:val="18"/>
              </w:rPr>
              <w:t>Cancellation rows (InvoiceNo starts with C)</w:t>
            </w:r>
          </w:p>
        </w:tc>
        <w:tc>
          <w:tcPr>
            <w:tcW w:type="dxa" w:w="3960"/>
            <w:shd w:fill="F3F5F7"/>
            <w:vAlign w:val="center"/>
          </w:tcPr>
          <w:p>
            <w:r/>
            <w:r>
              <w:rPr>
                <w:rFonts w:ascii="Aptos" w:hAnsi="Aptos"/>
                <w:b w:val="0"/>
                <w:color w:val="1F2937"/>
                <w:sz w:val="18"/>
              </w:rPr>
              <w:t>9,288</w:t>
            </w:r>
          </w:p>
        </w:tc>
      </w:tr>
      <w:tr>
        <w:tc>
          <w:tcPr>
            <w:tcW w:type="dxa" w:w="5112"/>
            <w:shd w:fill="FFFFFF"/>
            <w:vAlign w:val="center"/>
          </w:tcPr>
          <w:p>
            <w:r/>
            <w:r>
              <w:rPr>
                <w:rFonts w:ascii="Aptos" w:hAnsi="Aptos"/>
                <w:b w:val="0"/>
                <w:color w:val="1F2937"/>
                <w:sz w:val="18"/>
              </w:rPr>
              <w:t>Negative Quantity rows</w:t>
            </w:r>
          </w:p>
        </w:tc>
        <w:tc>
          <w:tcPr>
            <w:tcW w:type="dxa" w:w="3960"/>
            <w:shd w:fill="FFFFFF"/>
            <w:vAlign w:val="center"/>
          </w:tcPr>
          <w:p>
            <w:r/>
            <w:r>
              <w:rPr>
                <w:rFonts w:ascii="Aptos" w:hAnsi="Aptos"/>
                <w:b w:val="0"/>
                <w:color w:val="1F2937"/>
                <w:sz w:val="18"/>
              </w:rPr>
              <w:t>10,624</w:t>
            </w:r>
          </w:p>
        </w:tc>
      </w:tr>
      <w:tr>
        <w:tc>
          <w:tcPr>
            <w:tcW w:type="dxa" w:w="5112"/>
            <w:shd w:fill="F3F5F7"/>
            <w:vAlign w:val="center"/>
          </w:tcPr>
          <w:p>
            <w:r/>
            <w:r>
              <w:rPr>
                <w:rFonts w:ascii="Aptos" w:hAnsi="Aptos"/>
                <w:b w:val="0"/>
                <w:color w:val="1F2937"/>
                <w:sz w:val="18"/>
              </w:rPr>
              <w:t>Zero Quantity rows</w:t>
            </w:r>
          </w:p>
        </w:tc>
        <w:tc>
          <w:tcPr>
            <w:tcW w:type="dxa" w:w="3960"/>
            <w:shd w:fill="F3F5F7"/>
            <w:vAlign w:val="center"/>
          </w:tcPr>
          <w:p>
            <w:r/>
            <w:r>
              <w:rPr>
                <w:rFonts w:ascii="Aptos" w:hAnsi="Aptos"/>
                <w:b w:val="0"/>
                <w:color w:val="1F2937"/>
                <w:sz w:val="18"/>
              </w:rPr>
              <w:t>0</w:t>
            </w:r>
          </w:p>
        </w:tc>
      </w:tr>
      <w:tr>
        <w:tc>
          <w:tcPr>
            <w:tcW w:type="dxa" w:w="5112"/>
            <w:shd w:fill="FFFFFF"/>
            <w:vAlign w:val="center"/>
          </w:tcPr>
          <w:p>
            <w:r/>
            <w:r>
              <w:rPr>
                <w:rFonts w:ascii="Aptos" w:hAnsi="Aptos"/>
                <w:b w:val="0"/>
                <w:color w:val="1F2937"/>
                <w:sz w:val="18"/>
              </w:rPr>
              <w:t>Negative UnitPrice rows</w:t>
            </w:r>
          </w:p>
        </w:tc>
        <w:tc>
          <w:tcPr>
            <w:tcW w:type="dxa" w:w="3960"/>
            <w:shd w:fill="FFFFFF"/>
            <w:vAlign w:val="center"/>
          </w:tcPr>
          <w:p>
            <w:r/>
            <w:r>
              <w:rPr>
                <w:rFonts w:ascii="Aptos" w:hAnsi="Aptos"/>
                <w:b w:val="0"/>
                <w:color w:val="1F2937"/>
                <w:sz w:val="18"/>
              </w:rPr>
              <w:t>2</w:t>
            </w:r>
          </w:p>
        </w:tc>
      </w:tr>
      <w:tr>
        <w:tc>
          <w:tcPr>
            <w:tcW w:type="dxa" w:w="5112"/>
            <w:shd w:fill="F3F5F7"/>
            <w:vAlign w:val="center"/>
          </w:tcPr>
          <w:p>
            <w:r/>
            <w:r>
              <w:rPr>
                <w:rFonts w:ascii="Aptos" w:hAnsi="Aptos"/>
                <w:b w:val="0"/>
                <w:color w:val="1F2937"/>
                <w:sz w:val="18"/>
              </w:rPr>
              <w:t>Zero UnitPrice rows</w:t>
            </w:r>
          </w:p>
        </w:tc>
        <w:tc>
          <w:tcPr>
            <w:tcW w:type="dxa" w:w="3960"/>
            <w:shd w:fill="F3F5F7"/>
            <w:vAlign w:val="center"/>
          </w:tcPr>
          <w:p>
            <w:r/>
            <w:r>
              <w:rPr>
                <w:rFonts w:ascii="Aptos" w:hAnsi="Aptos"/>
                <w:b w:val="0"/>
                <w:color w:val="1F2937"/>
                <w:sz w:val="18"/>
              </w:rPr>
              <w:t>2,515</w:t>
            </w:r>
          </w:p>
        </w:tc>
      </w:tr>
      <w:tr>
        <w:tc>
          <w:tcPr>
            <w:tcW w:type="dxa" w:w="5112"/>
            <w:shd w:fill="FFFFFF"/>
            <w:vAlign w:val="center"/>
          </w:tcPr>
          <w:p>
            <w:r/>
            <w:r>
              <w:rPr>
                <w:rFonts w:ascii="Aptos" w:hAnsi="Aptos"/>
                <w:b w:val="0"/>
                <w:color w:val="1F2937"/>
                <w:sz w:val="18"/>
              </w:rPr>
              <w:t>Unique invoices</w:t>
            </w:r>
          </w:p>
        </w:tc>
        <w:tc>
          <w:tcPr>
            <w:tcW w:type="dxa" w:w="3960"/>
            <w:shd w:fill="FFFFFF"/>
            <w:vAlign w:val="center"/>
          </w:tcPr>
          <w:p>
            <w:r/>
            <w:r>
              <w:rPr>
                <w:rFonts w:ascii="Aptos" w:hAnsi="Aptos"/>
                <w:b w:val="0"/>
                <w:color w:val="1F2937"/>
                <w:sz w:val="18"/>
              </w:rPr>
              <w:t>25,900</w:t>
            </w:r>
          </w:p>
        </w:tc>
      </w:tr>
      <w:tr>
        <w:tc>
          <w:tcPr>
            <w:tcW w:type="dxa" w:w="5112"/>
            <w:shd w:fill="F3F5F7"/>
            <w:vAlign w:val="center"/>
          </w:tcPr>
          <w:p>
            <w:r/>
            <w:r>
              <w:rPr>
                <w:rFonts w:ascii="Aptos" w:hAnsi="Aptos"/>
                <w:b w:val="0"/>
                <w:color w:val="1F2937"/>
                <w:sz w:val="18"/>
              </w:rPr>
              <w:t>Unique products</w:t>
            </w:r>
          </w:p>
        </w:tc>
        <w:tc>
          <w:tcPr>
            <w:tcW w:type="dxa" w:w="3960"/>
            <w:shd w:fill="F3F5F7"/>
            <w:vAlign w:val="center"/>
          </w:tcPr>
          <w:p>
            <w:r/>
            <w:r>
              <w:rPr>
                <w:rFonts w:ascii="Aptos" w:hAnsi="Aptos"/>
                <w:b w:val="0"/>
                <w:color w:val="1F2937"/>
                <w:sz w:val="18"/>
              </w:rPr>
              <w:t>4,070</w:t>
            </w:r>
          </w:p>
        </w:tc>
      </w:tr>
      <w:tr>
        <w:tc>
          <w:tcPr>
            <w:tcW w:type="dxa" w:w="5112"/>
            <w:shd w:fill="FFFFFF"/>
            <w:vAlign w:val="center"/>
          </w:tcPr>
          <w:p>
            <w:r/>
            <w:r>
              <w:rPr>
                <w:rFonts w:ascii="Aptos" w:hAnsi="Aptos"/>
                <w:b w:val="0"/>
                <w:color w:val="1F2937"/>
                <w:sz w:val="18"/>
              </w:rPr>
              <w:t>Unique customers</w:t>
            </w:r>
          </w:p>
        </w:tc>
        <w:tc>
          <w:tcPr>
            <w:tcW w:type="dxa" w:w="3960"/>
            <w:shd w:fill="FFFFFF"/>
            <w:vAlign w:val="center"/>
          </w:tcPr>
          <w:p>
            <w:r/>
            <w:r>
              <w:rPr>
                <w:rFonts w:ascii="Aptos" w:hAnsi="Aptos"/>
                <w:b w:val="0"/>
                <w:color w:val="1F2937"/>
                <w:sz w:val="18"/>
              </w:rPr>
              <w:t>4,372</w:t>
            </w:r>
          </w:p>
        </w:tc>
      </w:tr>
      <w:tr>
        <w:tc>
          <w:tcPr>
            <w:tcW w:type="dxa" w:w="5112"/>
            <w:shd w:fill="F3F5F7"/>
            <w:vAlign w:val="center"/>
          </w:tcPr>
          <w:p>
            <w:r/>
            <w:r>
              <w:rPr>
                <w:rFonts w:ascii="Aptos" w:hAnsi="Aptos"/>
                <w:b w:val="0"/>
                <w:color w:val="1F2937"/>
                <w:sz w:val="18"/>
              </w:rPr>
              <w:t>Countries</w:t>
            </w:r>
          </w:p>
        </w:tc>
        <w:tc>
          <w:tcPr>
            <w:tcW w:type="dxa" w:w="3960"/>
            <w:shd w:fill="F3F5F7"/>
            <w:vAlign w:val="center"/>
          </w:tcPr>
          <w:p>
            <w:r/>
            <w:r>
              <w:rPr>
                <w:rFonts w:ascii="Aptos" w:hAnsi="Aptos"/>
                <w:b w:val="0"/>
                <w:color w:val="1F2937"/>
                <w:sz w:val="18"/>
              </w:rPr>
              <w:t>38</w:t>
            </w:r>
          </w:p>
        </w:tc>
      </w:tr>
      <w:tr>
        <w:tc>
          <w:tcPr>
            <w:tcW w:type="dxa" w:w="5112"/>
            <w:shd w:fill="FFFFFF"/>
            <w:vAlign w:val="center"/>
          </w:tcPr>
          <w:p>
            <w:r/>
            <w:r>
              <w:rPr>
                <w:rFonts w:ascii="Aptos" w:hAnsi="Aptos"/>
                <w:b w:val="0"/>
                <w:color w:val="1F2937"/>
                <w:sz w:val="18"/>
              </w:rPr>
              <w:t>Date range</w:t>
            </w:r>
          </w:p>
        </w:tc>
        <w:tc>
          <w:tcPr>
            <w:tcW w:type="dxa" w:w="3960"/>
            <w:shd w:fill="FFFFFF"/>
            <w:vAlign w:val="center"/>
          </w:tcPr>
          <w:p>
            <w:r/>
            <w:r>
              <w:rPr>
                <w:rFonts w:ascii="Aptos" w:hAnsi="Aptos"/>
                <w:b w:val="0"/>
                <w:color w:val="1F2937"/>
                <w:sz w:val="18"/>
              </w:rPr>
              <w:t>2010-12-01 to 2011-12-09</w:t>
            </w:r>
          </w:p>
        </w:tc>
      </w:tr>
    </w:tbl>
    <w:p>
      <w:pPr>
        <w:spacing w:after="40"/>
      </w:pPr>
    </w:p>
    <w:p>
      <w:pPr>
        <w:pStyle w:val="Heading2"/>
      </w:pPr>
      <w:r>
        <w:rPr>
          <w:rFonts w:ascii="Aptos" w:hAnsi="Aptos"/>
        </w:rPr>
        <w:t>4.1 Cleaning Pipeline</w:t>
      </w:r>
    </w:p>
    <w:p>
      <w:pPr>
        <w:pStyle w:val="ListBullet"/>
        <w:spacing w:after="60"/>
        <w:ind w:left="259"/>
      </w:pPr>
      <w:r>
        <w:rPr>
          <w:rFonts w:ascii="Aptos" w:hAnsi="Aptos"/>
          <w:color w:val="1F2937"/>
          <w:sz w:val="21"/>
        </w:rPr>
        <w:t>Schema validation and InvoiceDate parsing were performed first.</w:t>
      </w:r>
    </w:p>
    <w:p>
      <w:pPr>
        <w:pStyle w:val="ListBullet"/>
        <w:spacing w:after="60"/>
        <w:ind w:left="259"/>
      </w:pPr>
      <w:r>
        <w:rPr>
          <w:rFonts w:ascii="Aptos" w:hAnsi="Aptos"/>
          <w:color w:val="1F2937"/>
          <w:sz w:val="21"/>
        </w:rPr>
        <w:t>Missing Description values (1,454 rows) were normalized to "Unknown" for analysis without making otherwise valid purchases ineligible.</w:t>
      </w:r>
    </w:p>
    <w:p>
      <w:pPr>
        <w:pStyle w:val="ListBullet"/>
        <w:spacing w:after="60"/>
        <w:ind w:left="259"/>
      </w:pPr>
      <w:r>
        <w:rPr>
          <w:rFonts w:ascii="Aptos" w:hAnsi="Aptos"/>
          <w:color w:val="1F2937"/>
          <w:sz w:val="21"/>
        </w:rPr>
        <w:t>Exact duplicate rows (5,268) were removed from the analytical transaction dataset.</w:t>
      </w:r>
    </w:p>
    <w:p>
      <w:pPr>
        <w:pStyle w:val="ListBullet"/>
        <w:spacing w:after="60"/>
        <w:ind w:left="259"/>
      </w:pPr>
      <w:r>
        <w:rPr>
          <w:rFonts w:ascii="Aptos" w:hAnsi="Aptos"/>
          <w:color w:val="1F2937"/>
          <w:sz w:val="21"/>
        </w:rPr>
        <w:t>Cancellation status was identified explicitly using InvoiceNo values beginning with "C".</w:t>
      </w:r>
    </w:p>
    <w:p>
      <w:pPr>
        <w:pStyle w:val="ListBullet"/>
        <w:spacing w:after="60"/>
        <w:ind w:left="259"/>
      </w:pPr>
      <w:r>
        <w:rPr>
          <w:rFonts w:ascii="Aptos" w:hAnsi="Aptos"/>
          <w:color w:val="1F2937"/>
          <w:sz w:val="21"/>
        </w:rPr>
        <w:t>Missing CustomerID, cancellations, non-positive Quantity, and non-positive UnitPrice were excluded from the qualifying purchase dataset.</w:t>
      </w:r>
    </w:p>
    <w:p>
      <w:pPr>
        <w:pStyle w:val="ListBullet"/>
        <w:spacing w:after="60"/>
        <w:ind w:left="259"/>
      </w:pPr>
      <w:r>
        <w:rPr>
          <w:rFonts w:ascii="Aptos" w:hAnsi="Aptos"/>
          <w:color w:val="1F2937"/>
          <w:sz w:val="21"/>
        </w:rPr>
        <w:t>Revenue was calculated as Quantity × UnitPrice after numeric validation.</w:t>
      </w:r>
    </w:p>
    <w:p>
      <w:pPr>
        <w:pStyle w:val="Heading2"/>
      </w:pPr>
      <w:r>
        <w:rPr>
          <w:rFonts w:ascii="Aptos" w:hAnsi="Aptos"/>
        </w:rPr>
        <w:t>4.2 Row-count Reconciliation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6048"/>
            <w:shd w:fill="17365D"/>
            <w:vAlign w:val="center"/>
          </w:tcPr>
          <w:p>
            <w:r/>
            <w:r>
              <w:rPr>
                <w:rFonts w:ascii="Aptos" w:hAnsi="Aptos"/>
                <w:b/>
                <w:color w:val="FFFFFF"/>
                <w:sz w:val="18"/>
              </w:rPr>
              <w:t>Processing stage</w:t>
            </w:r>
          </w:p>
        </w:tc>
        <w:tc>
          <w:tcPr>
            <w:tcW w:type="dxa" w:w="3024"/>
            <w:shd w:fill="17365D"/>
            <w:vAlign w:val="center"/>
          </w:tcPr>
          <w:p>
            <w:r/>
            <w:r>
              <w:rPr>
                <w:rFonts w:ascii="Aptos" w:hAnsi="Aptos"/>
                <w:b/>
                <w:color w:val="FFFFFF"/>
                <w:sz w:val="18"/>
              </w:rPr>
              <w:t>Rows</w:t>
            </w:r>
          </w:p>
        </w:tc>
      </w:tr>
      <w:tr>
        <w:tc>
          <w:tcPr>
            <w:tcW w:type="dxa" w:w="6048"/>
            <w:shd w:fill="FFFFFF"/>
            <w:vAlign w:val="center"/>
          </w:tcPr>
          <w:p>
            <w:r/>
            <w:r>
              <w:rPr>
                <w:rFonts w:ascii="Aptos" w:hAnsi="Aptos"/>
                <w:b w:val="0"/>
                <w:color w:val="1F2937"/>
                <w:sz w:val="18"/>
              </w:rPr>
              <w:t>Raw loaded</w:t>
            </w:r>
          </w:p>
        </w:tc>
        <w:tc>
          <w:tcPr>
            <w:tcW w:type="dxa" w:w="3024"/>
            <w:shd w:fill="FFFFFF"/>
            <w:vAlign w:val="center"/>
          </w:tcPr>
          <w:p>
            <w:r/>
            <w:r>
              <w:rPr>
                <w:rFonts w:ascii="Aptos" w:hAnsi="Aptos"/>
                <w:b w:val="0"/>
                <w:color w:val="1F2937"/>
                <w:sz w:val="18"/>
              </w:rPr>
              <w:t>541,909</w:t>
            </w:r>
          </w:p>
        </w:tc>
      </w:tr>
      <w:tr>
        <w:tc>
          <w:tcPr>
            <w:tcW w:type="dxa" w:w="6048"/>
            <w:shd w:fill="F3F5F7"/>
            <w:vAlign w:val="center"/>
          </w:tcPr>
          <w:p>
            <w:r/>
            <w:r>
              <w:rPr>
                <w:rFonts w:ascii="Aptos" w:hAnsi="Aptos"/>
                <w:b w:val="0"/>
                <w:color w:val="1F2937"/>
                <w:sz w:val="18"/>
              </w:rPr>
              <w:t>After deduplication</w:t>
            </w:r>
          </w:p>
        </w:tc>
        <w:tc>
          <w:tcPr>
            <w:tcW w:type="dxa" w:w="3024"/>
            <w:shd w:fill="F3F5F7"/>
            <w:vAlign w:val="center"/>
          </w:tcPr>
          <w:p>
            <w:r/>
            <w:r>
              <w:rPr>
                <w:rFonts w:ascii="Aptos" w:hAnsi="Aptos"/>
                <w:b w:val="0"/>
                <w:color w:val="1F2937"/>
                <w:sz w:val="18"/>
              </w:rPr>
              <w:t>536,641</w:t>
            </w:r>
          </w:p>
        </w:tc>
      </w:tr>
      <w:tr>
        <w:tc>
          <w:tcPr>
            <w:tcW w:type="dxa" w:w="6048"/>
            <w:shd w:fill="FFFFFF"/>
            <w:vAlign w:val="center"/>
          </w:tcPr>
          <w:p>
            <w:r/>
            <w:r>
              <w:rPr>
                <w:rFonts w:ascii="Aptos" w:hAnsi="Aptos"/>
                <w:b w:val="0"/>
                <w:color w:val="1F2937"/>
                <w:sz w:val="18"/>
              </w:rPr>
              <w:t>After qualifying-purchase filter</w:t>
            </w:r>
          </w:p>
        </w:tc>
        <w:tc>
          <w:tcPr>
            <w:tcW w:type="dxa" w:w="3024"/>
            <w:shd w:fill="FFFFFF"/>
            <w:vAlign w:val="center"/>
          </w:tcPr>
          <w:p>
            <w:r/>
            <w:r>
              <w:rPr>
                <w:rFonts w:ascii="Aptos" w:hAnsi="Aptos"/>
                <w:b w:val="0"/>
                <w:color w:val="1F2937"/>
                <w:sz w:val="18"/>
              </w:rPr>
              <w:t>392,692</w:t>
            </w:r>
          </w:p>
        </w:tc>
      </w:tr>
    </w:tbl>
    <w:p>
      <w:pPr>
        <w:spacing w:after="40"/>
      </w:pPr>
    </w:p>
    <w:p>
      <w:pPr>
        <w:pStyle w:val="BodyText"/>
        <w:spacing w:after="140" w:line="269" w:lineRule="auto"/>
      </w:pPr>
      <w:r>
        <w:rPr>
          <w:color w:val="1F2937"/>
        </w:rPr>
        <w:t>The resulting qualified_transactions.csv contains 392,692 rows. Every retained row satisfies the four qualifying conditions and has positive calculated Revenue.</w:t>
      </w:r>
    </w:p>
    <w:p>
      <w:pPr>
        <w:pStyle w:val="Heading1"/>
      </w:pPr>
      <w:r>
        <w:rPr>
          <w:rFonts w:ascii="Aptos Display" w:hAnsi="Aptos Display"/>
        </w:rPr>
        <w:t>5. Customer Eligibility and Temporal Design</w:t>
      </w:r>
    </w:p>
    <w:p>
      <w:pPr>
        <w:pStyle w:val="Heading2"/>
      </w:pPr>
      <w:r>
        <w:rPr>
          <w:rFonts w:ascii="Aptos" w:hAnsi="Aptos"/>
        </w:rPr>
        <w:t>5.1 Observation and Future Windows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12"/>
            <w:shd w:fill="17365D"/>
            <w:vAlign w:val="center"/>
          </w:tcPr>
          <w:p>
            <w:r/>
            <w:r>
              <w:rPr>
                <w:rFonts w:ascii="Aptos" w:hAnsi="Aptos"/>
                <w:b/>
                <w:color w:val="FFFFFF"/>
                <w:sz w:val="18"/>
              </w:rPr>
              <w:t>Component</w:t>
            </w:r>
          </w:p>
        </w:tc>
        <w:tc>
          <w:tcPr>
            <w:tcW w:type="dxa" w:w="5760"/>
            <w:shd w:fill="17365D"/>
            <w:vAlign w:val="center"/>
          </w:tcPr>
          <w:p>
            <w:r/>
            <w:r>
              <w:rPr>
                <w:rFonts w:ascii="Aptos" w:hAnsi="Aptos"/>
                <w:b/>
                <w:color w:val="FFFFFF"/>
                <w:sz w:val="18"/>
              </w:rPr>
              <w:t>Definition</w:t>
            </w:r>
          </w:p>
        </w:tc>
      </w:tr>
      <w:tr>
        <w:tc>
          <w:tcPr>
            <w:tcW w:type="dxa" w:w="3312"/>
            <w:shd w:fill="FFFFFF"/>
            <w:vAlign w:val="center"/>
          </w:tcPr>
          <w:p>
            <w:r/>
            <w:r>
              <w:rPr>
                <w:rFonts w:ascii="Aptos" w:hAnsi="Aptos"/>
                <w:b w:val="0"/>
                <w:color w:val="1F2937"/>
                <w:sz w:val="18"/>
              </w:rPr>
              <w:t>Observation period</w:t>
            </w:r>
          </w:p>
        </w:tc>
        <w:tc>
          <w:tcPr>
            <w:tcW w:type="dxa" w:w="5760"/>
            <w:shd w:fill="FFFFFF"/>
            <w:vAlign w:val="center"/>
          </w:tcPr>
          <w:p>
            <w:r/>
            <w:r>
              <w:rPr>
                <w:rFonts w:ascii="Aptos" w:hAnsi="Aptos"/>
                <w:b w:val="0"/>
                <w:color w:val="1F2937"/>
                <w:sz w:val="18"/>
              </w:rPr>
              <w:t>01-Dec-2010 through 31-Aug-2011 inclusive</w:t>
            </w:r>
          </w:p>
        </w:tc>
      </w:tr>
      <w:tr>
        <w:tc>
          <w:tcPr>
            <w:tcW w:type="dxa" w:w="3312"/>
            <w:shd w:fill="F3F5F7"/>
            <w:vAlign w:val="center"/>
          </w:tcPr>
          <w:p>
            <w:r/>
            <w:r>
              <w:rPr>
                <w:rFonts w:ascii="Aptos" w:hAnsi="Aptos"/>
                <w:b w:val="0"/>
                <w:color w:val="1F2937"/>
                <w:sz w:val="18"/>
              </w:rPr>
              <w:t>Snapshot date</w:t>
            </w:r>
          </w:p>
        </w:tc>
        <w:tc>
          <w:tcPr>
            <w:tcW w:type="dxa" w:w="5760"/>
            <w:shd w:fill="F3F5F7"/>
            <w:vAlign w:val="center"/>
          </w:tcPr>
          <w:p>
            <w:r/>
            <w:r>
              <w:rPr>
                <w:rFonts w:ascii="Aptos" w:hAnsi="Aptos"/>
                <w:b w:val="0"/>
                <w:color w:val="1F2937"/>
                <w:sz w:val="18"/>
              </w:rPr>
              <w:t>31-Aug-2011</w:t>
            </w:r>
          </w:p>
        </w:tc>
      </w:tr>
      <w:tr>
        <w:tc>
          <w:tcPr>
            <w:tcW w:type="dxa" w:w="3312"/>
            <w:shd w:fill="FFFFFF"/>
            <w:vAlign w:val="center"/>
          </w:tcPr>
          <w:p>
            <w:r/>
            <w:r>
              <w:rPr>
                <w:rFonts w:ascii="Aptos" w:hAnsi="Aptos"/>
                <w:b w:val="0"/>
                <w:color w:val="1F2937"/>
                <w:sz w:val="18"/>
              </w:rPr>
              <w:t>Future label window</w:t>
            </w:r>
          </w:p>
        </w:tc>
        <w:tc>
          <w:tcPr>
            <w:tcW w:type="dxa" w:w="5760"/>
            <w:shd w:fill="FFFFFF"/>
            <w:vAlign w:val="center"/>
          </w:tcPr>
          <w:p>
            <w:r/>
            <w:r>
              <w:rPr>
                <w:rFonts w:ascii="Aptos" w:hAnsi="Aptos"/>
                <w:b w:val="0"/>
                <w:color w:val="1F2937"/>
                <w:sz w:val="18"/>
              </w:rPr>
              <w:t>01-Sep-2011 through 29-Nov-2011 inclusive</w:t>
            </w:r>
          </w:p>
        </w:tc>
      </w:tr>
      <w:tr>
        <w:tc>
          <w:tcPr>
            <w:tcW w:type="dxa" w:w="3312"/>
            <w:shd w:fill="F3F5F7"/>
            <w:vAlign w:val="center"/>
          </w:tcPr>
          <w:p>
            <w:r/>
            <w:r>
              <w:rPr>
                <w:rFonts w:ascii="Aptos" w:hAnsi="Aptos"/>
                <w:b w:val="0"/>
                <w:color w:val="1F2937"/>
                <w:sz w:val="18"/>
              </w:rPr>
              <w:t>Churn target</w:t>
            </w:r>
          </w:p>
        </w:tc>
        <w:tc>
          <w:tcPr>
            <w:tcW w:type="dxa" w:w="5760"/>
            <w:shd w:fill="F3F5F7"/>
            <w:vAlign w:val="center"/>
          </w:tcPr>
          <w:p>
            <w:r/>
            <w:r>
              <w:rPr>
                <w:rFonts w:ascii="Aptos" w:hAnsi="Aptos"/>
                <w:b w:val="0"/>
                <w:color w:val="1F2937"/>
                <w:sz w:val="18"/>
              </w:rPr>
              <w:t>Future inactivity within the 90-day window</w:t>
            </w:r>
          </w:p>
        </w:tc>
      </w:tr>
    </w:tbl>
    <w:p>
      <w:pPr>
        <w:spacing w:after="40"/>
      </w:pPr>
    </w:p>
    <w:p>
      <w:pPr>
        <w:pStyle w:val="BodyText"/>
        <w:spacing w:after="140" w:line="269" w:lineRule="auto"/>
      </w:pPr>
      <w:r>
        <w:rPr>
          <w:color w:val="1F2937"/>
        </w:rPr>
        <w:t>All predictor features are constructed from transactions available on or before the snapshot date. The future window is used only to assign the Churn_90D target. The implementation explicitly handles full calendar-day boundaries so all transactions occurring on 31 August and 29 November are included in their intended windows.</w:t>
      </w:r>
    </w:p>
    <w:p>
      <w:pPr>
        <w:pStyle w:val="Heading2"/>
      </w:pPr>
      <w:r>
        <w:rPr>
          <w:rFonts w:ascii="Aptos" w:hAnsi="Aptos"/>
        </w:rPr>
        <w:t>5.2 Customer Eligibility Rule</w:t>
      </w:r>
    </w:p>
    <w:p>
      <w:pPr>
        <w:pStyle w:val="BodyText"/>
        <w:spacing w:after="140" w:line="269" w:lineRule="auto"/>
      </w:pPr>
      <w:r>
        <w:rPr>
          <w:color w:val="1F2937"/>
        </w:rPr>
        <w:t>A customer is eligible for churn modeling only if both of the following conditions hold during the observation period: (1) at least two distinct qualifying invoices, and (2) at least 30 days between the first and last qualifying purchase. This reduces the model population to customers with sufficient observable purchase history to support behavioral features.</w:t>
      </w:r>
    </w:p>
    <w:p>
      <w:pPr>
        <w:pStyle w:val="BodyText"/>
        <w:spacing w:after="140" w:line="269" w:lineRule="auto"/>
      </w:pPr>
      <w:r>
        <w:rPr>
          <w:color w:val="1F2937"/>
        </w:rPr>
        <w:t>Applying this rule produced 1,765 eligible customers from the qualifying transaction history available at the 31-Aug-2011 snapshot.</w:t>
      </w:r>
    </w:p>
    <w:p>
      <w:pPr>
        <w:pStyle w:val="Heading2"/>
      </w:pPr>
      <w:r>
        <w:rPr>
          <w:rFonts w:ascii="Aptos" w:hAnsi="Aptos"/>
        </w:rPr>
        <w:t>5.3 Churn_90D Target</w:t>
      </w:r>
    </w:p>
    <w:p>
      <w:pPr>
        <w:pStyle w:val="BodyText"/>
        <w:spacing w:after="140" w:line="269" w:lineRule="auto"/>
      </w:pPr>
      <w:r>
        <w:rPr>
          <w:color w:val="1F2937"/>
        </w:rPr>
        <w:t>The UCI dataset does not supply a native churn label. This project therefore defines Churn_90D as a future-inactivity proxy: an eligible customer receives Churn_90D = 1 when there is no qualifying purchase from 1 September through 29 November 2011, and Churn_90D = 0 when at least one qualifying purchase occurs in that window.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4608"/>
            <w:shd w:fill="17365D"/>
            <w:vAlign w:val="center"/>
          </w:tcPr>
          <w:p>
            <w:r/>
            <w:r>
              <w:rPr>
                <w:rFonts w:ascii="Aptos" w:hAnsi="Aptos"/>
                <w:b/>
                <w:color w:val="FFFFFF"/>
                <w:sz w:val="18"/>
              </w:rPr>
              <w:t>Churn_90D</w:t>
            </w:r>
          </w:p>
        </w:tc>
        <w:tc>
          <w:tcPr>
            <w:tcW w:type="dxa" w:w="2160"/>
            <w:shd w:fill="17365D"/>
            <w:vAlign w:val="center"/>
          </w:tcPr>
          <w:p>
            <w:r/>
            <w:r>
              <w:rPr>
                <w:rFonts w:ascii="Aptos" w:hAnsi="Aptos"/>
                <w:b/>
                <w:color w:val="FFFFFF"/>
                <w:sz w:val="18"/>
              </w:rPr>
              <w:t>Customers</w:t>
            </w:r>
          </w:p>
        </w:tc>
        <w:tc>
          <w:tcPr>
            <w:tcW w:type="dxa" w:w="2304"/>
            <w:shd w:fill="17365D"/>
            <w:vAlign w:val="center"/>
          </w:tcPr>
          <w:p>
            <w:r/>
            <w:r>
              <w:rPr>
                <w:rFonts w:ascii="Aptos" w:hAnsi="Aptos"/>
                <w:b/>
                <w:color w:val="FFFFFF"/>
                <w:sz w:val="18"/>
              </w:rPr>
              <w:t>Share</w:t>
            </w:r>
          </w:p>
        </w:tc>
      </w:tr>
      <w:tr>
        <w:tc>
          <w:tcPr>
            <w:tcW w:type="dxa" w:w="4608"/>
            <w:shd w:fill="FFFFFF"/>
            <w:vAlign w:val="center"/>
          </w:tcPr>
          <w:p>
            <w:r/>
            <w:r>
              <w:rPr>
                <w:rFonts w:ascii="Aptos" w:hAnsi="Aptos"/>
                <w:b w:val="0"/>
                <w:color w:val="1F2937"/>
                <w:sz w:val="18"/>
              </w:rPr>
              <w:t>0 — Future active / retained</w:t>
            </w:r>
          </w:p>
        </w:tc>
        <w:tc>
          <w:tcPr>
            <w:tcW w:type="dxa" w:w="2160"/>
            <w:shd w:fill="FFFFFF"/>
            <w:vAlign w:val="center"/>
          </w:tcPr>
          <w:p>
            <w:r/>
            <w:r>
              <w:rPr>
                <w:rFonts w:ascii="Aptos" w:hAnsi="Aptos"/>
                <w:b w:val="0"/>
                <w:color w:val="1F2937"/>
                <w:sz w:val="18"/>
              </w:rPr>
              <w:t>1,275</w:t>
            </w:r>
          </w:p>
        </w:tc>
        <w:tc>
          <w:tcPr>
            <w:tcW w:type="dxa" w:w="2304"/>
            <w:shd w:fill="FFFFFF"/>
            <w:vAlign w:val="center"/>
          </w:tcPr>
          <w:p>
            <w:r/>
            <w:r>
              <w:rPr>
                <w:rFonts w:ascii="Aptos" w:hAnsi="Aptos"/>
                <w:b w:val="0"/>
                <w:color w:val="1F2937"/>
                <w:sz w:val="18"/>
              </w:rPr>
              <w:t>72.24%</w:t>
            </w:r>
          </w:p>
        </w:tc>
      </w:tr>
      <w:tr>
        <w:tc>
          <w:tcPr>
            <w:tcW w:type="dxa" w:w="4608"/>
            <w:shd w:fill="F3F5F7"/>
            <w:vAlign w:val="center"/>
          </w:tcPr>
          <w:p>
            <w:r/>
            <w:r>
              <w:rPr>
                <w:rFonts w:ascii="Aptos" w:hAnsi="Aptos"/>
                <w:b w:val="0"/>
                <w:color w:val="1F2937"/>
                <w:sz w:val="18"/>
              </w:rPr>
              <w:t>1 — Future inactive</w:t>
            </w:r>
          </w:p>
        </w:tc>
        <w:tc>
          <w:tcPr>
            <w:tcW w:type="dxa" w:w="2160"/>
            <w:shd w:fill="F3F5F7"/>
            <w:vAlign w:val="center"/>
          </w:tcPr>
          <w:p>
            <w:r/>
            <w:r>
              <w:rPr>
                <w:rFonts w:ascii="Aptos" w:hAnsi="Aptos"/>
                <w:b w:val="0"/>
                <w:color w:val="1F2937"/>
                <w:sz w:val="18"/>
              </w:rPr>
              <w:t>490</w:t>
            </w:r>
          </w:p>
        </w:tc>
        <w:tc>
          <w:tcPr>
            <w:tcW w:type="dxa" w:w="2304"/>
            <w:shd w:fill="F3F5F7"/>
            <w:vAlign w:val="center"/>
          </w:tcPr>
          <w:p>
            <w:r/>
            <w:r>
              <w:rPr>
                <w:rFonts w:ascii="Aptos" w:hAnsi="Aptos"/>
                <w:b w:val="0"/>
                <w:color w:val="1F2937"/>
                <w:sz w:val="18"/>
              </w:rPr>
              <w:t>27.76%</w:t>
            </w:r>
          </w:p>
        </w:tc>
      </w:tr>
    </w:tbl>
    <w:p>
      <w:pPr>
        <w:spacing w:after="40"/>
      </w:pPr>
    </w:p>
    <w:p>
      <w:pPr>
        <w:pStyle w:val="Heading1"/>
      </w:pPr>
      <w:r>
        <w:rPr>
          <w:rFonts w:ascii="Aptos Display" w:hAnsi="Aptos Display"/>
        </w:rPr>
        <w:t>6. Customer Feature Engineering</w:t>
      </w:r>
    </w:p>
    <w:p>
      <w:pPr>
        <w:pStyle w:val="BodyText"/>
        <w:spacing w:after="140" w:line="269" w:lineRule="auto"/>
      </w:pPr>
      <w:r>
        <w:rPr>
          <w:color w:val="1F2937"/>
        </w:rPr>
        <w:t>Customer-level features were calculated from observation-period transactions only. The resulting customer table contains one row per eligible customer. CustomerID was retained as an identifier but was excluded from the predictive feature matrix.</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7365D"/>
            <w:vAlign w:val="center"/>
          </w:tcPr>
          <w:p>
            <w:r/>
            <w:r>
              <w:rPr>
                <w:rFonts w:ascii="Aptos" w:hAnsi="Aptos"/>
                <w:b/>
                <w:color w:val="FFFFFF"/>
                <w:sz w:val="18"/>
              </w:rPr>
              <w:t>Feature</w:t>
            </w:r>
          </w:p>
        </w:tc>
        <w:tc>
          <w:tcPr>
            <w:tcW w:type="dxa" w:w="6192"/>
            <w:shd w:fill="17365D"/>
            <w:vAlign w:val="center"/>
          </w:tcPr>
          <w:p>
            <w:r/>
            <w:r>
              <w:rPr>
                <w:rFonts w:ascii="Aptos" w:hAnsi="Aptos"/>
                <w:b/>
                <w:color w:val="FFFFFF"/>
                <w:sz w:val="18"/>
              </w:rPr>
              <w:t>Definition</w:t>
            </w:r>
          </w:p>
        </w:tc>
      </w:tr>
      <w:tr>
        <w:tc>
          <w:tcPr>
            <w:tcW w:type="dxa" w:w="2880"/>
            <w:shd w:fill="FFFFFF"/>
            <w:vAlign w:val="center"/>
          </w:tcPr>
          <w:p>
            <w:r/>
            <w:r>
              <w:rPr>
                <w:rFonts w:ascii="Aptos" w:hAnsi="Aptos"/>
                <w:b w:val="0"/>
                <w:color w:val="1F2937"/>
                <w:sz w:val="18"/>
              </w:rPr>
              <w:t>Recency</w:t>
            </w:r>
          </w:p>
        </w:tc>
        <w:tc>
          <w:tcPr>
            <w:tcW w:type="dxa" w:w="6192"/>
            <w:shd w:fill="FFFFFF"/>
            <w:vAlign w:val="center"/>
          </w:tcPr>
          <w:p>
            <w:r/>
            <w:r>
              <w:rPr>
                <w:rFonts w:ascii="Aptos" w:hAnsi="Aptos"/>
                <w:b w:val="0"/>
                <w:color w:val="1F2937"/>
                <w:sz w:val="18"/>
              </w:rPr>
              <w:t>Days from 31-Aug-2011 to the latest qualifying purchase</w:t>
            </w:r>
          </w:p>
        </w:tc>
      </w:tr>
      <w:tr>
        <w:tc>
          <w:tcPr>
            <w:tcW w:type="dxa" w:w="2880"/>
            <w:shd w:fill="F3F5F7"/>
            <w:vAlign w:val="center"/>
          </w:tcPr>
          <w:p>
            <w:r/>
            <w:r>
              <w:rPr>
                <w:rFonts w:ascii="Aptos" w:hAnsi="Aptos"/>
                <w:b w:val="0"/>
                <w:color w:val="1F2937"/>
                <w:sz w:val="18"/>
              </w:rPr>
              <w:t>Frequency</w:t>
            </w:r>
          </w:p>
        </w:tc>
        <w:tc>
          <w:tcPr>
            <w:tcW w:type="dxa" w:w="6192"/>
            <w:shd w:fill="F3F5F7"/>
            <w:vAlign w:val="center"/>
          </w:tcPr>
          <w:p>
            <w:r/>
            <w:r>
              <w:rPr>
                <w:rFonts w:ascii="Aptos" w:hAnsi="Aptos"/>
                <w:b w:val="0"/>
                <w:color w:val="1F2937"/>
                <w:sz w:val="18"/>
              </w:rPr>
              <w:t>Number of distinct qualifying invoices</w:t>
            </w:r>
          </w:p>
        </w:tc>
      </w:tr>
      <w:tr>
        <w:tc>
          <w:tcPr>
            <w:tcW w:type="dxa" w:w="2880"/>
            <w:shd w:fill="FFFFFF"/>
            <w:vAlign w:val="center"/>
          </w:tcPr>
          <w:p>
            <w:r/>
            <w:r>
              <w:rPr>
                <w:rFonts w:ascii="Aptos" w:hAnsi="Aptos"/>
                <w:b w:val="0"/>
                <w:color w:val="1F2937"/>
                <w:sz w:val="18"/>
              </w:rPr>
              <w:t>Monetary</w:t>
            </w:r>
          </w:p>
        </w:tc>
        <w:tc>
          <w:tcPr>
            <w:tcW w:type="dxa" w:w="6192"/>
            <w:shd w:fill="FFFFFF"/>
            <w:vAlign w:val="center"/>
          </w:tcPr>
          <w:p>
            <w:r/>
            <w:r>
              <w:rPr>
                <w:rFonts w:ascii="Aptos" w:hAnsi="Aptos"/>
                <w:b w:val="0"/>
                <w:color w:val="1F2937"/>
                <w:sz w:val="18"/>
              </w:rPr>
              <w:t>Sum of qualifying Revenue</w:t>
            </w:r>
          </w:p>
        </w:tc>
      </w:tr>
      <w:tr>
        <w:tc>
          <w:tcPr>
            <w:tcW w:type="dxa" w:w="2880"/>
            <w:shd w:fill="F3F5F7"/>
            <w:vAlign w:val="center"/>
          </w:tcPr>
          <w:p>
            <w:r/>
            <w:r>
              <w:rPr>
                <w:rFonts w:ascii="Aptos" w:hAnsi="Aptos"/>
                <w:b w:val="0"/>
                <w:color w:val="1F2937"/>
                <w:sz w:val="18"/>
              </w:rPr>
              <w:t>AvgOrderValue</w:t>
            </w:r>
          </w:p>
        </w:tc>
        <w:tc>
          <w:tcPr>
            <w:tcW w:type="dxa" w:w="6192"/>
            <w:shd w:fill="F3F5F7"/>
            <w:vAlign w:val="center"/>
          </w:tcPr>
          <w:p>
            <w:r/>
            <w:r>
              <w:rPr>
                <w:rFonts w:ascii="Aptos" w:hAnsi="Aptos"/>
                <w:b w:val="0"/>
                <w:color w:val="1F2937"/>
                <w:sz w:val="18"/>
              </w:rPr>
              <w:t>Monetary ÷ Frequency</w:t>
            </w:r>
          </w:p>
        </w:tc>
      </w:tr>
      <w:tr>
        <w:tc>
          <w:tcPr>
            <w:tcW w:type="dxa" w:w="2880"/>
            <w:shd w:fill="FFFFFF"/>
            <w:vAlign w:val="center"/>
          </w:tcPr>
          <w:p>
            <w:r/>
            <w:r>
              <w:rPr>
                <w:rFonts w:ascii="Aptos" w:hAnsi="Aptos"/>
                <w:b w:val="0"/>
                <w:color w:val="1F2937"/>
                <w:sz w:val="18"/>
              </w:rPr>
              <w:t>UniqueProducts</w:t>
            </w:r>
          </w:p>
        </w:tc>
        <w:tc>
          <w:tcPr>
            <w:tcW w:type="dxa" w:w="6192"/>
            <w:shd w:fill="FFFFFF"/>
            <w:vAlign w:val="center"/>
          </w:tcPr>
          <w:p>
            <w:r/>
            <w:r>
              <w:rPr>
                <w:rFonts w:ascii="Aptos" w:hAnsi="Aptos"/>
                <w:b w:val="0"/>
                <w:color w:val="1F2937"/>
                <w:sz w:val="18"/>
              </w:rPr>
              <w:t>Distinct StockCode count</w:t>
            </w:r>
          </w:p>
        </w:tc>
      </w:tr>
      <w:tr>
        <w:tc>
          <w:tcPr>
            <w:tcW w:type="dxa" w:w="2880"/>
            <w:shd w:fill="F3F5F7"/>
            <w:vAlign w:val="center"/>
          </w:tcPr>
          <w:p>
            <w:r/>
            <w:r>
              <w:rPr>
                <w:rFonts w:ascii="Aptos" w:hAnsi="Aptos"/>
                <w:b w:val="0"/>
                <w:color w:val="1F2937"/>
                <w:sz w:val="18"/>
              </w:rPr>
              <w:t>TotalItems</w:t>
            </w:r>
          </w:p>
        </w:tc>
        <w:tc>
          <w:tcPr>
            <w:tcW w:type="dxa" w:w="6192"/>
            <w:shd w:fill="F3F5F7"/>
            <w:vAlign w:val="center"/>
          </w:tcPr>
          <w:p>
            <w:r/>
            <w:r>
              <w:rPr>
                <w:rFonts w:ascii="Aptos" w:hAnsi="Aptos"/>
                <w:b w:val="0"/>
                <w:color w:val="1F2937"/>
                <w:sz w:val="18"/>
              </w:rPr>
              <w:t>Sum of qualifying Quantity</w:t>
            </w:r>
          </w:p>
        </w:tc>
      </w:tr>
      <w:tr>
        <w:tc>
          <w:tcPr>
            <w:tcW w:type="dxa" w:w="2880"/>
            <w:shd w:fill="FFFFFF"/>
            <w:vAlign w:val="center"/>
          </w:tcPr>
          <w:p>
            <w:r/>
            <w:r>
              <w:rPr>
                <w:rFonts w:ascii="Aptos" w:hAnsi="Aptos"/>
                <w:b w:val="0"/>
                <w:color w:val="1F2937"/>
                <w:sz w:val="18"/>
              </w:rPr>
              <w:t>ActiveMonths</w:t>
            </w:r>
          </w:p>
        </w:tc>
        <w:tc>
          <w:tcPr>
            <w:tcW w:type="dxa" w:w="6192"/>
            <w:shd w:fill="FFFFFF"/>
            <w:vAlign w:val="center"/>
          </w:tcPr>
          <w:p>
            <w:r/>
            <w:r>
              <w:rPr>
                <w:rFonts w:ascii="Aptos" w:hAnsi="Aptos"/>
                <w:b w:val="0"/>
                <w:color w:val="1F2937"/>
                <w:sz w:val="18"/>
              </w:rPr>
              <w:t>Distinct calendar months with qualifying purchases</w:t>
            </w:r>
          </w:p>
        </w:tc>
      </w:tr>
      <w:tr>
        <w:tc>
          <w:tcPr>
            <w:tcW w:type="dxa" w:w="2880"/>
            <w:shd w:fill="F3F5F7"/>
            <w:vAlign w:val="center"/>
          </w:tcPr>
          <w:p>
            <w:r/>
            <w:r>
              <w:rPr>
                <w:rFonts w:ascii="Aptos" w:hAnsi="Aptos"/>
                <w:b w:val="0"/>
                <w:color w:val="1F2937"/>
                <w:sz w:val="18"/>
              </w:rPr>
              <w:t>TenureDays</w:t>
            </w:r>
          </w:p>
        </w:tc>
        <w:tc>
          <w:tcPr>
            <w:tcW w:type="dxa" w:w="6192"/>
            <w:shd w:fill="F3F5F7"/>
            <w:vAlign w:val="center"/>
          </w:tcPr>
          <w:p>
            <w:r/>
            <w:r>
              <w:rPr>
                <w:rFonts w:ascii="Aptos" w:hAnsi="Aptos"/>
                <w:b w:val="0"/>
                <w:color w:val="1F2937"/>
                <w:sz w:val="18"/>
              </w:rPr>
              <w:t>Snapshot date − first qualifying purchase date</w:t>
            </w:r>
          </w:p>
        </w:tc>
      </w:tr>
      <w:tr>
        <w:tc>
          <w:tcPr>
            <w:tcW w:type="dxa" w:w="2880"/>
            <w:shd w:fill="FFFFFF"/>
            <w:vAlign w:val="center"/>
          </w:tcPr>
          <w:p>
            <w:r/>
            <w:r>
              <w:rPr>
                <w:rFonts w:ascii="Aptos" w:hAnsi="Aptos"/>
                <w:b w:val="0"/>
                <w:color w:val="1F2937"/>
                <w:sz w:val="18"/>
              </w:rPr>
              <w:t>PurchaseSpanDays</w:t>
            </w:r>
          </w:p>
        </w:tc>
        <w:tc>
          <w:tcPr>
            <w:tcW w:type="dxa" w:w="6192"/>
            <w:shd w:fill="FFFFFF"/>
            <w:vAlign w:val="center"/>
          </w:tcPr>
          <w:p>
            <w:r/>
            <w:r>
              <w:rPr>
                <w:rFonts w:ascii="Aptos" w:hAnsi="Aptos"/>
                <w:b w:val="0"/>
                <w:color w:val="1F2937"/>
                <w:sz w:val="18"/>
              </w:rPr>
              <w:t>Last qualifying purchase date − first qualifying purchase date</w:t>
            </w:r>
          </w:p>
        </w:tc>
      </w:tr>
      <w:tr>
        <w:tc>
          <w:tcPr>
            <w:tcW w:type="dxa" w:w="2880"/>
            <w:shd w:fill="F3F5F7"/>
            <w:vAlign w:val="center"/>
          </w:tcPr>
          <w:p>
            <w:r/>
            <w:r>
              <w:rPr>
                <w:rFonts w:ascii="Aptos" w:hAnsi="Aptos"/>
                <w:b w:val="0"/>
                <w:color w:val="1F2937"/>
                <w:sz w:val="18"/>
              </w:rPr>
              <w:t>Country</w:t>
            </w:r>
          </w:p>
        </w:tc>
        <w:tc>
          <w:tcPr>
            <w:tcW w:type="dxa" w:w="6192"/>
            <w:shd w:fill="F3F5F7"/>
            <w:vAlign w:val="center"/>
          </w:tcPr>
          <w:p>
            <w:r/>
            <w:r>
              <w:rPr>
                <w:rFonts w:ascii="Aptos" w:hAnsi="Aptos"/>
                <w:b w:val="0"/>
                <w:color w:val="1F2937"/>
                <w:sz w:val="18"/>
              </w:rPr>
              <w:t>Most frequent observation-period country; tie broken by most recent qualifying purchase</w:t>
            </w:r>
          </w:p>
        </w:tc>
      </w:tr>
    </w:tbl>
    <w:p>
      <w:pPr>
        <w:spacing w:after="40"/>
      </w:pPr>
    </w:p>
    <w:tbl>
      <w:tblPr>
        <w:tblW w:type="auto" w:w="0"/>
        <w:jc w:val="center"/>
        <w:tblLook w:firstColumn="1" w:firstRow="1" w:lastColumn="0" w:lastRow="0" w:noHBand="0" w:noVBand="1" w:val="04A0"/>
      </w:tblPr>
      <w:tblGrid>
        <w:gridCol w:w="9994"/>
      </w:tblGrid>
      <w:tr>
        <w:tc>
          <w:tcPr>
            <w:tcW w:type="dxa" w:w="9994"/>
            <w:shd w:fill="EAF6F7"/>
            <w:tcBorders>
              <w:top w:val="single" w:sz="8" w:color="0F6B78"/>
              <w:left w:val="single" w:sz="4" w:color="D9E1F2"/>
              <w:bottom w:val="single" w:sz="4" w:color="D9E1F2"/>
              <w:right w:val="single" w:sz="4" w:color="D9E1F2"/>
            </w:tcBorders>
          </w:tcPr>
          <w:p>
            <w:r/>
            <w:r>
              <w:rPr>
                <w:b/>
                <w:color w:val="0F6B78"/>
                <w:sz w:val="21"/>
              </w:rPr>
              <w:t>Leakage safeguard</w:t>
            </w:r>
          </w:p>
          <w:p>
            <w:r>
              <w:rPr>
                <w:color w:val="1F2937"/>
                <w:sz w:val="20"/>
              </w:rPr>
              <w:t>No predictor uses information after 31-Aug-2011. Future transactions are isolated for target generation only. This rule is enforced in the feature-building and churn-label modules and covered by automated leakage tests.</w:t>
            </w:r>
          </w:p>
        </w:tc>
      </w:tr>
    </w:tbl>
    <w:p>
      <w:pPr>
        <w:spacing w:after="60"/>
      </w:pPr>
    </w:p>
    <w:p>
      <w:pPr>
        <w:pStyle w:val="Heading1"/>
      </w:pPr>
      <w:r>
        <w:rPr>
          <w:rFonts w:ascii="Aptos Display" w:hAnsi="Aptos Display"/>
        </w:rPr>
        <w:t>7. RFM Analysis and Customer Segmentation</w:t>
      </w:r>
    </w:p>
    <w:p>
      <w:pPr>
        <w:pStyle w:val="BodyText"/>
        <w:spacing w:after="140" w:line="269" w:lineRule="auto"/>
      </w:pPr>
      <w:r>
        <w:rPr>
          <w:color w:val="1F2937"/>
        </w:rPr>
        <w:t>RFM analysis summarizes customer behavior across Recency, Frequency, and Monetary dimensions. The project uses quintile-based scoring with the direction of Recency reversed so that more recent customers receive higher scores. Frequency and Monetary assign higher scores to larger values.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17365D"/>
            <w:vAlign w:val="center"/>
          </w:tcPr>
          <w:p>
            <w:r/>
            <w:r>
              <w:rPr>
                <w:rFonts w:ascii="Aptos" w:hAnsi="Aptos"/>
                <w:b/>
                <w:color w:val="FFFFFF"/>
                <w:sz w:val="18"/>
              </w:rPr>
              <w:t>Component</w:t>
            </w:r>
          </w:p>
        </w:tc>
        <w:tc>
          <w:tcPr>
            <w:tcW w:type="dxa" w:w="6048"/>
            <w:shd w:fill="17365D"/>
            <w:vAlign w:val="center"/>
          </w:tcPr>
          <w:p>
            <w:r/>
            <w:r>
              <w:rPr>
                <w:rFonts w:ascii="Aptos" w:hAnsi="Aptos"/>
                <w:b/>
                <w:color w:val="FFFFFF"/>
                <w:sz w:val="18"/>
              </w:rPr>
              <w:t>Scoring direction</w:t>
            </w:r>
          </w:p>
        </w:tc>
      </w:tr>
      <w:tr>
        <w:tc>
          <w:tcPr>
            <w:tcW w:type="dxa" w:w="3024"/>
            <w:shd w:fill="FFFFFF"/>
            <w:vAlign w:val="center"/>
          </w:tcPr>
          <w:p>
            <w:r/>
            <w:r>
              <w:rPr>
                <w:rFonts w:ascii="Aptos" w:hAnsi="Aptos"/>
                <w:b w:val="0"/>
                <w:color w:val="1F2937"/>
                <w:sz w:val="18"/>
              </w:rPr>
              <w:t>R — Recency</w:t>
            </w:r>
          </w:p>
        </w:tc>
        <w:tc>
          <w:tcPr>
            <w:tcW w:type="dxa" w:w="6048"/>
            <w:shd w:fill="FFFFFF"/>
            <w:vAlign w:val="center"/>
          </w:tcPr>
          <w:p>
            <w:r/>
            <w:r>
              <w:rPr>
                <w:rFonts w:ascii="Aptos" w:hAnsi="Aptos"/>
                <w:b w:val="0"/>
                <w:color w:val="1F2937"/>
                <w:sz w:val="18"/>
              </w:rPr>
              <w:t>Lower days since last purchase = higher score; best quintile = 5</w:t>
            </w:r>
          </w:p>
        </w:tc>
      </w:tr>
      <w:tr>
        <w:tc>
          <w:tcPr>
            <w:tcW w:type="dxa" w:w="3024"/>
            <w:shd w:fill="F3F5F7"/>
            <w:vAlign w:val="center"/>
          </w:tcPr>
          <w:p>
            <w:r/>
            <w:r>
              <w:rPr>
                <w:rFonts w:ascii="Aptos" w:hAnsi="Aptos"/>
                <w:b w:val="0"/>
                <w:color w:val="1F2937"/>
                <w:sz w:val="18"/>
              </w:rPr>
              <w:t>F — Frequency</w:t>
            </w:r>
          </w:p>
        </w:tc>
        <w:tc>
          <w:tcPr>
            <w:tcW w:type="dxa" w:w="6048"/>
            <w:shd w:fill="F3F5F7"/>
            <w:vAlign w:val="center"/>
          </w:tcPr>
          <w:p>
            <w:r/>
            <w:r>
              <w:rPr>
                <w:rFonts w:ascii="Aptos" w:hAnsi="Aptos"/>
                <w:b w:val="0"/>
                <w:color w:val="1F2937"/>
                <w:sz w:val="18"/>
              </w:rPr>
              <w:t>More distinct invoices = higher score; highest quintile = 5</w:t>
            </w:r>
          </w:p>
        </w:tc>
      </w:tr>
      <w:tr>
        <w:tc>
          <w:tcPr>
            <w:tcW w:type="dxa" w:w="3024"/>
            <w:shd w:fill="FFFFFF"/>
            <w:vAlign w:val="center"/>
          </w:tcPr>
          <w:p>
            <w:r/>
            <w:r>
              <w:rPr>
                <w:rFonts w:ascii="Aptos" w:hAnsi="Aptos"/>
                <w:b w:val="0"/>
                <w:color w:val="1F2937"/>
                <w:sz w:val="18"/>
              </w:rPr>
              <w:t>M — Monetary</w:t>
            </w:r>
          </w:p>
        </w:tc>
        <w:tc>
          <w:tcPr>
            <w:tcW w:type="dxa" w:w="6048"/>
            <w:shd w:fill="FFFFFF"/>
            <w:vAlign w:val="center"/>
          </w:tcPr>
          <w:p>
            <w:r/>
            <w:r>
              <w:rPr>
                <w:rFonts w:ascii="Aptos" w:hAnsi="Aptos"/>
                <w:b w:val="0"/>
                <w:color w:val="1F2937"/>
                <w:sz w:val="18"/>
              </w:rPr>
              <w:t>Higher spend = higher score; highest quintile = 5</w:t>
            </w:r>
          </w:p>
        </w:tc>
      </w:tr>
      <w:tr>
        <w:tc>
          <w:tcPr>
            <w:tcW w:type="dxa" w:w="3024"/>
            <w:shd w:fill="F3F5F7"/>
            <w:vAlign w:val="center"/>
          </w:tcPr>
          <w:p>
            <w:r/>
            <w:r>
              <w:rPr>
                <w:rFonts w:ascii="Aptos" w:hAnsi="Aptos"/>
                <w:b w:val="0"/>
                <w:color w:val="1F2937"/>
                <w:sz w:val="18"/>
              </w:rPr>
              <w:t>RFM_Score</w:t>
            </w:r>
          </w:p>
        </w:tc>
        <w:tc>
          <w:tcPr>
            <w:tcW w:type="dxa" w:w="6048"/>
            <w:shd w:fill="F3F5F7"/>
            <w:vAlign w:val="center"/>
          </w:tcPr>
          <w:p>
            <w:r/>
            <w:r>
              <w:rPr>
                <w:rFonts w:ascii="Aptos" w:hAnsi="Aptos"/>
                <w:b w:val="0"/>
                <w:color w:val="1F2937"/>
                <w:sz w:val="18"/>
              </w:rPr>
              <w:t>R + F + M; range 3–15</w:t>
            </w:r>
          </w:p>
        </w:tc>
      </w:tr>
    </w:tbl>
    <w:p>
      <w:pPr>
        <w:spacing w:after="40"/>
      </w:pP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7365D"/>
            <w:vAlign w:val="center"/>
          </w:tcPr>
          <w:p>
            <w:r/>
            <w:r>
              <w:rPr>
                <w:rFonts w:ascii="Aptos" w:hAnsi="Aptos"/>
                <w:b/>
                <w:color w:val="FFFFFF"/>
                <w:sz w:val="18"/>
              </w:rPr>
              <w:t>RFM Score</w:t>
            </w:r>
          </w:p>
        </w:tc>
        <w:tc>
          <w:tcPr>
            <w:tcW w:type="dxa" w:w="4032"/>
            <w:shd w:fill="17365D"/>
            <w:vAlign w:val="center"/>
          </w:tcPr>
          <w:p>
            <w:r/>
            <w:r>
              <w:rPr>
                <w:rFonts w:ascii="Aptos" w:hAnsi="Aptos"/>
                <w:b/>
                <w:color w:val="FFFFFF"/>
                <w:sz w:val="18"/>
              </w:rPr>
              <w:t>Segment</w:t>
            </w:r>
          </w:p>
        </w:tc>
        <w:tc>
          <w:tcPr>
            <w:tcW w:type="dxa" w:w="2016"/>
            <w:shd w:fill="17365D"/>
            <w:vAlign w:val="center"/>
          </w:tcPr>
          <w:p>
            <w:r/>
            <w:r>
              <w:rPr>
                <w:rFonts w:ascii="Aptos" w:hAnsi="Aptos"/>
                <w:b/>
                <w:color w:val="FFFFFF"/>
                <w:sz w:val="18"/>
              </w:rPr>
              <w:t>Customers</w:t>
            </w:r>
          </w:p>
        </w:tc>
      </w:tr>
      <w:tr>
        <w:tc>
          <w:tcPr>
            <w:tcW w:type="dxa" w:w="1872"/>
            <w:shd w:fill="FFFFFF"/>
            <w:vAlign w:val="center"/>
          </w:tcPr>
          <w:p>
            <w:r/>
            <w:r>
              <w:rPr>
                <w:rFonts w:ascii="Aptos" w:hAnsi="Aptos"/>
                <w:b w:val="0"/>
                <w:color w:val="1F2937"/>
                <w:sz w:val="18"/>
              </w:rPr>
              <w:t>13–15</w:t>
            </w:r>
          </w:p>
        </w:tc>
        <w:tc>
          <w:tcPr>
            <w:tcW w:type="dxa" w:w="4032"/>
            <w:shd w:fill="FFFFFF"/>
            <w:vAlign w:val="center"/>
          </w:tcPr>
          <w:p>
            <w:r/>
            <w:r>
              <w:rPr>
                <w:rFonts w:ascii="Aptos" w:hAnsi="Aptos"/>
                <w:b w:val="0"/>
                <w:color w:val="1F2937"/>
                <w:sz w:val="18"/>
              </w:rPr>
              <w:t>Very High Value</w:t>
            </w:r>
          </w:p>
        </w:tc>
        <w:tc>
          <w:tcPr>
            <w:tcW w:type="dxa" w:w="2016"/>
            <w:shd w:fill="FFFFFF"/>
            <w:vAlign w:val="center"/>
          </w:tcPr>
          <w:p>
            <w:r/>
            <w:r>
              <w:rPr>
                <w:rFonts w:ascii="Aptos" w:hAnsi="Aptos"/>
                <w:b w:val="0"/>
                <w:color w:val="1F2937"/>
                <w:sz w:val="18"/>
              </w:rPr>
              <w:t>358</w:t>
            </w:r>
          </w:p>
        </w:tc>
      </w:tr>
      <w:tr>
        <w:tc>
          <w:tcPr>
            <w:tcW w:type="dxa" w:w="1872"/>
            <w:shd w:fill="F3F5F7"/>
            <w:vAlign w:val="center"/>
          </w:tcPr>
          <w:p>
            <w:r/>
            <w:r>
              <w:rPr>
                <w:rFonts w:ascii="Aptos" w:hAnsi="Aptos"/>
                <w:b w:val="0"/>
                <w:color w:val="1F2937"/>
                <w:sz w:val="18"/>
              </w:rPr>
              <w:t>10–12</w:t>
            </w:r>
          </w:p>
        </w:tc>
        <w:tc>
          <w:tcPr>
            <w:tcW w:type="dxa" w:w="4032"/>
            <w:shd w:fill="F3F5F7"/>
            <w:vAlign w:val="center"/>
          </w:tcPr>
          <w:p>
            <w:r/>
            <w:r>
              <w:rPr>
                <w:rFonts w:ascii="Aptos" w:hAnsi="Aptos"/>
                <w:b w:val="0"/>
                <w:color w:val="1F2937"/>
                <w:sz w:val="18"/>
              </w:rPr>
              <w:t>High Value</w:t>
            </w:r>
          </w:p>
        </w:tc>
        <w:tc>
          <w:tcPr>
            <w:tcW w:type="dxa" w:w="2016"/>
            <w:shd w:fill="F3F5F7"/>
            <w:vAlign w:val="center"/>
          </w:tcPr>
          <w:p>
            <w:r/>
            <w:r>
              <w:rPr>
                <w:rFonts w:ascii="Aptos" w:hAnsi="Aptos"/>
                <w:b w:val="0"/>
                <w:color w:val="1F2937"/>
                <w:sz w:val="18"/>
              </w:rPr>
              <w:t>419</w:t>
            </w:r>
          </w:p>
        </w:tc>
      </w:tr>
      <w:tr>
        <w:tc>
          <w:tcPr>
            <w:tcW w:type="dxa" w:w="1872"/>
            <w:shd w:fill="FFFFFF"/>
            <w:vAlign w:val="center"/>
          </w:tcPr>
          <w:p>
            <w:r/>
            <w:r>
              <w:rPr>
                <w:rFonts w:ascii="Aptos" w:hAnsi="Aptos"/>
                <w:b w:val="0"/>
                <w:color w:val="1F2937"/>
                <w:sz w:val="18"/>
              </w:rPr>
              <w:t>7–9</w:t>
            </w:r>
          </w:p>
        </w:tc>
        <w:tc>
          <w:tcPr>
            <w:tcW w:type="dxa" w:w="4032"/>
            <w:shd w:fill="FFFFFF"/>
            <w:vAlign w:val="center"/>
          </w:tcPr>
          <w:p>
            <w:r/>
            <w:r>
              <w:rPr>
                <w:rFonts w:ascii="Aptos" w:hAnsi="Aptos"/>
                <w:b w:val="0"/>
                <w:color w:val="1F2937"/>
                <w:sz w:val="18"/>
              </w:rPr>
              <w:t>Medium Value</w:t>
            </w:r>
          </w:p>
        </w:tc>
        <w:tc>
          <w:tcPr>
            <w:tcW w:type="dxa" w:w="2016"/>
            <w:shd w:fill="FFFFFF"/>
            <w:vAlign w:val="center"/>
          </w:tcPr>
          <w:p>
            <w:r/>
            <w:r>
              <w:rPr>
                <w:rFonts w:ascii="Aptos" w:hAnsi="Aptos"/>
                <w:b w:val="0"/>
                <w:color w:val="1F2937"/>
                <w:sz w:val="18"/>
              </w:rPr>
              <w:t>486</w:t>
            </w:r>
          </w:p>
        </w:tc>
      </w:tr>
      <w:tr>
        <w:tc>
          <w:tcPr>
            <w:tcW w:type="dxa" w:w="1872"/>
            <w:shd w:fill="F3F5F7"/>
            <w:vAlign w:val="center"/>
          </w:tcPr>
          <w:p>
            <w:r/>
            <w:r>
              <w:rPr>
                <w:rFonts w:ascii="Aptos" w:hAnsi="Aptos"/>
                <w:b w:val="0"/>
                <w:color w:val="1F2937"/>
                <w:sz w:val="18"/>
              </w:rPr>
              <w:t>3–6</w:t>
            </w:r>
          </w:p>
        </w:tc>
        <w:tc>
          <w:tcPr>
            <w:tcW w:type="dxa" w:w="4032"/>
            <w:shd w:fill="F3F5F7"/>
            <w:vAlign w:val="center"/>
          </w:tcPr>
          <w:p>
            <w:r/>
            <w:r>
              <w:rPr>
                <w:rFonts w:ascii="Aptos" w:hAnsi="Aptos"/>
                <w:b w:val="0"/>
                <w:color w:val="1F2937"/>
                <w:sz w:val="18"/>
              </w:rPr>
              <w:t>Lower Value</w:t>
            </w:r>
          </w:p>
        </w:tc>
        <w:tc>
          <w:tcPr>
            <w:tcW w:type="dxa" w:w="2016"/>
            <w:shd w:fill="F3F5F7"/>
            <w:vAlign w:val="center"/>
          </w:tcPr>
          <w:p>
            <w:r/>
            <w:r>
              <w:rPr>
                <w:rFonts w:ascii="Aptos" w:hAnsi="Aptos"/>
                <w:b w:val="0"/>
                <w:color w:val="1F2937"/>
                <w:sz w:val="18"/>
              </w:rPr>
              <w:t>502</w:t>
            </w:r>
          </w:p>
        </w:tc>
      </w:tr>
    </w:tbl>
    <w:p>
      <w:pPr>
        <w:spacing w:after="40"/>
      </w:pPr>
    </w:p>
    <w:p>
      <w:pPr>
        <w:pStyle w:val="BodyText"/>
        <w:spacing w:after="140" w:line="269" w:lineRule="auto"/>
      </w:pPr>
      <w:r>
        <w:rPr>
          <w:color w:val="1F2937"/>
        </w:rPr>
        <w:t>The project keeps descriptive RFM scoring separate from model preprocessing. RFM_Score and RFM_Segment are used for analytics and decision support rather than being treated as arbitrary predictive inputs.</w:t>
      </w:r>
    </w:p>
    <w:p>
      <w:pPr>
        <w:pStyle w:val="Heading2"/>
      </w:pPr>
      <w:r>
        <w:rPr>
          <w:rFonts w:ascii="Aptos" w:hAnsi="Aptos"/>
        </w:rPr>
        <w:t>7.1 Frequency Quartile Correction</w:t>
      </w:r>
    </w:p>
    <w:p>
      <w:pPr>
        <w:pStyle w:val="BodyText"/>
        <w:spacing w:after="140" w:line="269" w:lineRule="auto"/>
      </w:pPr>
      <w:r>
        <w:rPr>
          <w:color w:val="1F2937"/>
        </w:rPr>
        <w:t>The frequency distribution is discrete and heavily tied at lower order counts. A direct four-way pd.qcut implementation collapsed two quantile edges and initially produced only three groups. The dashboard implementation was corrected using deterministic ranking followed by four equal-population rank bins, yielding Q1–Q4 with 1,765 customers assigned exactly once.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7365D"/>
            <w:vAlign w:val="center"/>
          </w:tcPr>
          <w:p>
            <w:r/>
            <w:r>
              <w:rPr>
                <w:rFonts w:ascii="Aptos" w:hAnsi="Aptos"/>
                <w:b/>
                <w:color w:val="FFFFFF"/>
                <w:sz w:val="18"/>
              </w:rPr>
              <w:t>Frequency quartile</w:t>
            </w:r>
          </w:p>
        </w:tc>
        <w:tc>
          <w:tcPr>
            <w:tcW w:type="dxa" w:w="2016"/>
            <w:shd w:fill="17365D"/>
            <w:vAlign w:val="center"/>
          </w:tcPr>
          <w:p>
            <w:r/>
            <w:r>
              <w:rPr>
                <w:rFonts w:ascii="Aptos" w:hAnsi="Aptos"/>
                <w:b/>
                <w:color w:val="FFFFFF"/>
                <w:sz w:val="18"/>
              </w:rPr>
              <w:t>Customers</w:t>
            </w:r>
          </w:p>
        </w:tc>
        <w:tc>
          <w:tcPr>
            <w:tcW w:type="dxa" w:w="3456"/>
            <w:shd w:fill="17365D"/>
            <w:vAlign w:val="center"/>
          </w:tcPr>
          <w:p>
            <w:r/>
            <w:r>
              <w:rPr>
                <w:rFonts w:ascii="Aptos" w:hAnsi="Aptos"/>
                <w:b/>
                <w:color w:val="FFFFFF"/>
                <w:sz w:val="18"/>
              </w:rPr>
              <w:t>Observed future inactivity</w:t>
            </w:r>
          </w:p>
        </w:tc>
      </w:tr>
      <w:tr>
        <w:tc>
          <w:tcPr>
            <w:tcW w:type="dxa" w:w="2880"/>
            <w:shd w:fill="FFFFFF"/>
            <w:vAlign w:val="center"/>
          </w:tcPr>
          <w:p>
            <w:r/>
            <w:r>
              <w:rPr>
                <w:rFonts w:ascii="Aptos" w:hAnsi="Aptos"/>
                <w:b w:val="0"/>
                <w:color w:val="1F2937"/>
                <w:sz w:val="18"/>
              </w:rPr>
              <w:t>Q1</w:t>
            </w:r>
          </w:p>
        </w:tc>
        <w:tc>
          <w:tcPr>
            <w:tcW w:type="dxa" w:w="2016"/>
            <w:shd w:fill="FFFFFF"/>
            <w:vAlign w:val="center"/>
          </w:tcPr>
          <w:p>
            <w:r/>
            <w:r>
              <w:rPr>
                <w:rFonts w:ascii="Aptos" w:hAnsi="Aptos"/>
                <w:b w:val="0"/>
                <w:color w:val="1F2937"/>
                <w:sz w:val="18"/>
              </w:rPr>
              <w:t>442</w:t>
            </w:r>
          </w:p>
        </w:tc>
        <w:tc>
          <w:tcPr>
            <w:tcW w:type="dxa" w:w="3456"/>
            <w:shd w:fill="FFFFFF"/>
            <w:vAlign w:val="center"/>
          </w:tcPr>
          <w:p>
            <w:r/>
            <w:r>
              <w:rPr>
                <w:rFonts w:ascii="Aptos" w:hAnsi="Aptos"/>
                <w:b w:val="0"/>
                <w:color w:val="1F2937"/>
                <w:sz w:val="18"/>
              </w:rPr>
              <w:t>43.89%</w:t>
            </w:r>
          </w:p>
        </w:tc>
      </w:tr>
      <w:tr>
        <w:tc>
          <w:tcPr>
            <w:tcW w:type="dxa" w:w="2880"/>
            <w:shd w:fill="F3F5F7"/>
            <w:vAlign w:val="center"/>
          </w:tcPr>
          <w:p>
            <w:r/>
            <w:r>
              <w:rPr>
                <w:rFonts w:ascii="Aptos" w:hAnsi="Aptos"/>
                <w:b w:val="0"/>
                <w:color w:val="1F2937"/>
                <w:sz w:val="18"/>
              </w:rPr>
              <w:t>Q2</w:t>
            </w:r>
          </w:p>
        </w:tc>
        <w:tc>
          <w:tcPr>
            <w:tcW w:type="dxa" w:w="2016"/>
            <w:shd w:fill="F3F5F7"/>
            <w:vAlign w:val="center"/>
          </w:tcPr>
          <w:p>
            <w:r/>
            <w:r>
              <w:rPr>
                <w:rFonts w:ascii="Aptos" w:hAnsi="Aptos"/>
                <w:b w:val="0"/>
                <w:color w:val="1F2937"/>
                <w:sz w:val="18"/>
              </w:rPr>
              <w:t>441</w:t>
            </w:r>
          </w:p>
        </w:tc>
        <w:tc>
          <w:tcPr>
            <w:tcW w:type="dxa" w:w="3456"/>
            <w:shd w:fill="F3F5F7"/>
            <w:vAlign w:val="center"/>
          </w:tcPr>
          <w:p>
            <w:r/>
            <w:r>
              <w:rPr>
                <w:rFonts w:ascii="Aptos" w:hAnsi="Aptos"/>
                <w:b w:val="0"/>
                <w:color w:val="1F2937"/>
                <w:sz w:val="18"/>
              </w:rPr>
              <w:t>37.87%</w:t>
            </w:r>
          </w:p>
        </w:tc>
      </w:tr>
      <w:tr>
        <w:tc>
          <w:tcPr>
            <w:tcW w:type="dxa" w:w="2880"/>
            <w:shd w:fill="FFFFFF"/>
            <w:vAlign w:val="center"/>
          </w:tcPr>
          <w:p>
            <w:r/>
            <w:r>
              <w:rPr>
                <w:rFonts w:ascii="Aptos" w:hAnsi="Aptos"/>
                <w:b w:val="0"/>
                <w:color w:val="1F2937"/>
                <w:sz w:val="18"/>
              </w:rPr>
              <w:t>Q3</w:t>
            </w:r>
          </w:p>
        </w:tc>
        <w:tc>
          <w:tcPr>
            <w:tcW w:type="dxa" w:w="2016"/>
            <w:shd w:fill="FFFFFF"/>
            <w:vAlign w:val="center"/>
          </w:tcPr>
          <w:p>
            <w:r/>
            <w:r>
              <w:rPr>
                <w:rFonts w:ascii="Aptos" w:hAnsi="Aptos"/>
                <w:b w:val="0"/>
                <w:color w:val="1F2937"/>
                <w:sz w:val="18"/>
              </w:rPr>
              <w:t>441</w:t>
            </w:r>
          </w:p>
        </w:tc>
        <w:tc>
          <w:tcPr>
            <w:tcW w:type="dxa" w:w="3456"/>
            <w:shd w:fill="FFFFFF"/>
            <w:vAlign w:val="center"/>
          </w:tcPr>
          <w:p>
            <w:r/>
            <w:r>
              <w:rPr>
                <w:rFonts w:ascii="Aptos" w:hAnsi="Aptos"/>
                <w:b w:val="0"/>
                <w:color w:val="1F2937"/>
                <w:sz w:val="18"/>
              </w:rPr>
              <w:t>22.45%</w:t>
            </w:r>
          </w:p>
        </w:tc>
      </w:tr>
      <w:tr>
        <w:tc>
          <w:tcPr>
            <w:tcW w:type="dxa" w:w="2880"/>
            <w:shd w:fill="F3F5F7"/>
            <w:vAlign w:val="center"/>
          </w:tcPr>
          <w:p>
            <w:r/>
            <w:r>
              <w:rPr>
                <w:rFonts w:ascii="Aptos" w:hAnsi="Aptos"/>
                <w:b w:val="0"/>
                <w:color w:val="1F2937"/>
                <w:sz w:val="18"/>
              </w:rPr>
              <w:t>Q4</w:t>
            </w:r>
          </w:p>
        </w:tc>
        <w:tc>
          <w:tcPr>
            <w:tcW w:type="dxa" w:w="2016"/>
            <w:shd w:fill="F3F5F7"/>
            <w:vAlign w:val="center"/>
          </w:tcPr>
          <w:p>
            <w:r/>
            <w:r>
              <w:rPr>
                <w:rFonts w:ascii="Aptos" w:hAnsi="Aptos"/>
                <w:b w:val="0"/>
                <w:color w:val="1F2937"/>
                <w:sz w:val="18"/>
              </w:rPr>
              <w:t>441</w:t>
            </w:r>
          </w:p>
        </w:tc>
        <w:tc>
          <w:tcPr>
            <w:tcW w:type="dxa" w:w="3456"/>
            <w:shd w:fill="F3F5F7"/>
            <w:vAlign w:val="center"/>
          </w:tcPr>
          <w:p>
            <w:r/>
            <w:r>
              <w:rPr>
                <w:rFonts w:ascii="Aptos" w:hAnsi="Aptos"/>
                <w:b w:val="0"/>
                <w:color w:val="1F2937"/>
                <w:sz w:val="18"/>
              </w:rPr>
              <w:t>6.80%</w:t>
            </w:r>
          </w:p>
        </w:tc>
      </w:tr>
    </w:tbl>
    <w:p>
      <w:pPr>
        <w:spacing w:after="40"/>
      </w:pPr>
    </w:p>
    <w:p>
      <w:pPr>
        <w:pStyle w:val="BodyText"/>
        <w:spacing w:after="140" w:line="269" w:lineRule="auto"/>
      </w:pPr>
      <w:r>
        <w:rPr>
          <w:color w:val="1F2937"/>
        </w:rPr>
        <w:t>The quartile analysis is descriptive: Q1 and Q4 are population groups created from ranked frequency values. Because ties are common, raw frequency values can overlap across adjacent quartiles.</w:t>
      </w:r>
    </w:p>
    <w:p>
      <w:pPr>
        <w:pStyle w:val="Heading1"/>
      </w:pPr>
      <w:r>
        <w:rPr>
          <w:rFonts w:ascii="Aptos Display" w:hAnsi="Aptos Display"/>
        </w:rPr>
        <w:t>8. Exploratory Analysis</w:t>
      </w:r>
    </w:p>
    <w:p>
      <w:pPr>
        <w:pStyle w:val="BodyText"/>
        <w:spacing w:after="140" w:line="269" w:lineRule="auto"/>
      </w:pPr>
      <w:r>
        <w:rPr>
          <w:color w:val="1F2937"/>
        </w:rPr>
        <w:t>The exploratory analysis examined distributions and relationships among customer behavior metrics, including Recency, Frequency, Monetary, RFM scores, and customer-value groupings. The patterns shown in the dashboard are descriptive associations derived from the historical dataset and the project-defined future-inactivity target.</w:t>
      </w:r>
    </w:p>
    <w:p>
      <w:pPr>
        <w:jc w:val="center"/>
      </w:pPr>
      <w:r>
        <w:drawing>
          <wp:inline xmlns:a="http://schemas.openxmlformats.org/drawingml/2006/main" xmlns:pic="http://schemas.openxmlformats.org/drawingml/2006/picture">
            <wp:extent cx="5943600" cy="2824528"/>
            <wp:docPr id="1" name="Picture 1" descr="Figure 1. Customer and RFM Analytics dashboard showing Recency, Frequency, and Monetary distributions, RFM scoring and segmentation, and behavioral scatter plots." title="Customer and RFM Analytics dashboard showing Recency, Frequency, and Monetary distributions, RFM scoring and segmentation, and behavioral scatter plots."/>
            <wp:cNvGraphicFramePr>
              <a:graphicFrameLocks noChangeAspect="1"/>
            </wp:cNvGraphicFramePr>
            <a:graphic>
              <a:graphicData uri="http://schemas.openxmlformats.org/drawingml/2006/picture">
                <pic:pic>
                  <pic:nvPicPr>
                    <pic:cNvPr id="0" name="rfm.png"/>
                    <pic:cNvPicPr/>
                  </pic:nvPicPr>
                  <pic:blipFill>
                    <a:blip r:embed="rId11"/>
                    <a:stretch>
                      <a:fillRect/>
                    </a:stretch>
                  </pic:blipFill>
                  <pic:spPr>
                    <a:xfrm>
                      <a:off x="0" y="0"/>
                      <a:ext cx="5943600" cy="2824528"/>
                    </a:xfrm>
                    <a:prstGeom prst="rect"/>
                  </pic:spPr>
                </pic:pic>
              </a:graphicData>
            </a:graphic>
          </wp:inline>
        </w:drawing>
      </w:r>
    </w:p>
    <w:p>
      <w:pPr>
        <w:spacing w:before="60" w:after="200"/>
        <w:jc w:val="center"/>
      </w:pPr>
      <w:r>
        <w:rPr>
          <w:i/>
          <w:color w:val="6B7280"/>
          <w:sz w:val="18"/>
        </w:rPr>
        <w:t>Figure 1. Customer &amp; RFM Analytics dashboard — distributions, RFM scoring, and behavioral relationships.</w:t>
      </w:r>
    </w:p>
    <w:p>
      <w:pPr>
        <w:pStyle w:val="Heading2"/>
      </w:pPr>
      <w:r>
        <w:rPr>
          <w:rFonts w:ascii="Aptos" w:hAnsi="Aptos"/>
        </w:rPr>
        <w:t>8.1 Observed Inactivity by Customer Group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896"/>
            <w:shd w:fill="17365D"/>
            <w:vAlign w:val="center"/>
          </w:tcPr>
          <w:p>
            <w:r/>
            <w:r>
              <w:rPr>
                <w:rFonts w:ascii="Aptos" w:hAnsi="Aptos"/>
                <w:b/>
                <w:color w:val="FFFFFF"/>
                <w:sz w:val="18"/>
              </w:rPr>
              <w:t>Group</w:t>
            </w:r>
          </w:p>
        </w:tc>
        <w:tc>
          <w:tcPr>
            <w:tcW w:type="dxa" w:w="2880"/>
            <w:shd w:fill="17365D"/>
            <w:vAlign w:val="center"/>
          </w:tcPr>
          <w:p>
            <w:r/>
            <w:r>
              <w:rPr>
                <w:rFonts w:ascii="Aptos" w:hAnsi="Aptos"/>
                <w:b/>
                <w:color w:val="FFFFFF"/>
                <w:sz w:val="18"/>
              </w:rPr>
              <w:t>Observed inactivity rate</w:t>
            </w:r>
          </w:p>
        </w:tc>
      </w:tr>
      <w:tr>
        <w:tc>
          <w:tcPr>
            <w:tcW w:type="dxa" w:w="4896"/>
            <w:shd w:fill="FFFFFF"/>
            <w:vAlign w:val="center"/>
          </w:tcPr>
          <w:p>
            <w:r/>
            <w:r>
              <w:rPr>
                <w:rFonts w:ascii="Aptos" w:hAnsi="Aptos"/>
                <w:b w:val="0"/>
                <w:color w:val="1F2937"/>
                <w:sz w:val="18"/>
              </w:rPr>
              <w:t>Recency ≤30 days</w:t>
            </w:r>
          </w:p>
        </w:tc>
        <w:tc>
          <w:tcPr>
            <w:tcW w:type="dxa" w:w="2880"/>
            <w:shd w:fill="FFFFFF"/>
            <w:vAlign w:val="center"/>
          </w:tcPr>
          <w:p>
            <w:r/>
            <w:r>
              <w:rPr>
                <w:rFonts w:ascii="Aptos" w:hAnsi="Aptos"/>
                <w:b w:val="0"/>
                <w:color w:val="1F2937"/>
                <w:sz w:val="18"/>
              </w:rPr>
              <w:t>18.4%</w:t>
            </w:r>
          </w:p>
        </w:tc>
      </w:tr>
      <w:tr>
        <w:tc>
          <w:tcPr>
            <w:tcW w:type="dxa" w:w="4896"/>
            <w:shd w:fill="F3F5F7"/>
            <w:vAlign w:val="center"/>
          </w:tcPr>
          <w:p>
            <w:r/>
            <w:r>
              <w:rPr>
                <w:rFonts w:ascii="Aptos" w:hAnsi="Aptos"/>
                <w:b w:val="0"/>
                <w:color w:val="1F2937"/>
                <w:sz w:val="18"/>
              </w:rPr>
              <w:t>31–60 days</w:t>
            </w:r>
          </w:p>
        </w:tc>
        <w:tc>
          <w:tcPr>
            <w:tcW w:type="dxa" w:w="2880"/>
            <w:shd w:fill="F3F5F7"/>
            <w:vAlign w:val="center"/>
          </w:tcPr>
          <w:p>
            <w:r/>
            <w:r>
              <w:rPr>
                <w:rFonts w:ascii="Aptos" w:hAnsi="Aptos"/>
                <w:b w:val="0"/>
                <w:color w:val="1F2937"/>
                <w:sz w:val="18"/>
              </w:rPr>
              <w:t>24.9%</w:t>
            </w:r>
          </w:p>
        </w:tc>
      </w:tr>
      <w:tr>
        <w:tc>
          <w:tcPr>
            <w:tcW w:type="dxa" w:w="4896"/>
            <w:shd w:fill="FFFFFF"/>
            <w:vAlign w:val="center"/>
          </w:tcPr>
          <w:p>
            <w:r/>
            <w:r>
              <w:rPr>
                <w:rFonts w:ascii="Aptos" w:hAnsi="Aptos"/>
                <w:b w:val="0"/>
                <w:color w:val="1F2937"/>
                <w:sz w:val="18"/>
              </w:rPr>
              <w:t>61–90 days</w:t>
            </w:r>
          </w:p>
        </w:tc>
        <w:tc>
          <w:tcPr>
            <w:tcW w:type="dxa" w:w="2880"/>
            <w:shd w:fill="FFFFFF"/>
            <w:vAlign w:val="center"/>
          </w:tcPr>
          <w:p>
            <w:r/>
            <w:r>
              <w:rPr>
                <w:rFonts w:ascii="Aptos" w:hAnsi="Aptos"/>
                <w:b w:val="0"/>
                <w:color w:val="1F2937"/>
                <w:sz w:val="18"/>
              </w:rPr>
              <w:t>32.7%</w:t>
            </w:r>
          </w:p>
        </w:tc>
      </w:tr>
      <w:tr>
        <w:tc>
          <w:tcPr>
            <w:tcW w:type="dxa" w:w="4896"/>
            <w:shd w:fill="F3F5F7"/>
            <w:vAlign w:val="center"/>
          </w:tcPr>
          <w:p>
            <w:r/>
            <w:r>
              <w:rPr>
                <w:rFonts w:ascii="Aptos" w:hAnsi="Aptos"/>
                <w:b w:val="0"/>
                <w:color w:val="1F2937"/>
                <w:sz w:val="18"/>
              </w:rPr>
              <w:t>91–120 days</w:t>
            </w:r>
          </w:p>
        </w:tc>
        <w:tc>
          <w:tcPr>
            <w:tcW w:type="dxa" w:w="2880"/>
            <w:shd w:fill="F3F5F7"/>
            <w:vAlign w:val="center"/>
          </w:tcPr>
          <w:p>
            <w:r/>
            <w:r>
              <w:rPr>
                <w:rFonts w:ascii="Aptos" w:hAnsi="Aptos"/>
                <w:b w:val="0"/>
                <w:color w:val="1F2937"/>
                <w:sz w:val="18"/>
              </w:rPr>
              <w:t>39.8%</w:t>
            </w:r>
          </w:p>
        </w:tc>
      </w:tr>
      <w:tr>
        <w:tc>
          <w:tcPr>
            <w:tcW w:type="dxa" w:w="4896"/>
            <w:shd w:fill="FFFFFF"/>
            <w:vAlign w:val="center"/>
          </w:tcPr>
          <w:p>
            <w:r/>
            <w:r>
              <w:rPr>
                <w:rFonts w:ascii="Aptos" w:hAnsi="Aptos"/>
                <w:b w:val="0"/>
                <w:color w:val="1F2937"/>
                <w:sz w:val="18"/>
              </w:rPr>
              <w:t>121–180 days</w:t>
            </w:r>
          </w:p>
        </w:tc>
        <w:tc>
          <w:tcPr>
            <w:tcW w:type="dxa" w:w="2880"/>
            <w:shd w:fill="FFFFFF"/>
            <w:vAlign w:val="center"/>
          </w:tcPr>
          <w:p>
            <w:r/>
            <w:r>
              <w:rPr>
                <w:rFonts w:ascii="Aptos" w:hAnsi="Aptos"/>
                <w:b w:val="0"/>
                <w:color w:val="1F2937"/>
                <w:sz w:val="18"/>
              </w:rPr>
              <w:t>46.6%</w:t>
            </w:r>
          </w:p>
        </w:tc>
      </w:tr>
      <w:tr>
        <w:tc>
          <w:tcPr>
            <w:tcW w:type="dxa" w:w="4896"/>
            <w:shd w:fill="F3F5F7"/>
            <w:vAlign w:val="center"/>
          </w:tcPr>
          <w:p>
            <w:r/>
            <w:r>
              <w:rPr>
                <w:rFonts w:ascii="Aptos" w:hAnsi="Aptos"/>
                <w:b w:val="0"/>
                <w:color w:val="1F2937"/>
                <w:sz w:val="18"/>
              </w:rPr>
              <w:t>&gt;180 days</w:t>
            </w:r>
          </w:p>
        </w:tc>
        <w:tc>
          <w:tcPr>
            <w:tcW w:type="dxa" w:w="2880"/>
            <w:shd w:fill="F3F5F7"/>
            <w:vAlign w:val="center"/>
          </w:tcPr>
          <w:p>
            <w:r/>
            <w:r>
              <w:rPr>
                <w:rFonts w:ascii="Aptos" w:hAnsi="Aptos"/>
                <w:b w:val="0"/>
                <w:color w:val="1F2937"/>
                <w:sz w:val="18"/>
              </w:rPr>
              <w:t>59.6%</w:t>
            </w:r>
          </w:p>
        </w:tc>
      </w:tr>
    </w:tbl>
    <w:p>
      <w:pPr>
        <w:spacing w:after="4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896"/>
            <w:shd w:fill="17365D"/>
            <w:vAlign w:val="center"/>
          </w:tcPr>
          <w:p>
            <w:r/>
            <w:r>
              <w:rPr>
                <w:rFonts w:ascii="Aptos" w:hAnsi="Aptos"/>
                <w:b/>
                <w:color w:val="FFFFFF"/>
                <w:sz w:val="18"/>
              </w:rPr>
              <w:t>Customer-value quartile</w:t>
            </w:r>
          </w:p>
        </w:tc>
        <w:tc>
          <w:tcPr>
            <w:tcW w:type="dxa" w:w="2880"/>
            <w:shd w:fill="17365D"/>
            <w:vAlign w:val="center"/>
          </w:tcPr>
          <w:p>
            <w:r/>
            <w:r>
              <w:rPr>
                <w:rFonts w:ascii="Aptos" w:hAnsi="Aptos"/>
                <w:b/>
                <w:color w:val="FFFFFF"/>
                <w:sz w:val="18"/>
              </w:rPr>
              <w:t>Observed inactivity rate</w:t>
            </w:r>
          </w:p>
        </w:tc>
      </w:tr>
      <w:tr>
        <w:tc>
          <w:tcPr>
            <w:tcW w:type="dxa" w:w="4896"/>
            <w:shd w:fill="FFFFFF"/>
            <w:vAlign w:val="center"/>
          </w:tcPr>
          <w:p>
            <w:r/>
            <w:r>
              <w:rPr>
                <w:rFonts w:ascii="Aptos" w:hAnsi="Aptos"/>
                <w:b w:val="0"/>
                <w:color w:val="1F2937"/>
                <w:sz w:val="18"/>
              </w:rPr>
              <w:t>Bottom 25%</w:t>
            </w:r>
          </w:p>
        </w:tc>
        <w:tc>
          <w:tcPr>
            <w:tcW w:type="dxa" w:w="2880"/>
            <w:shd w:fill="FFFFFF"/>
            <w:vAlign w:val="center"/>
          </w:tcPr>
          <w:p>
            <w:r/>
            <w:r>
              <w:rPr>
                <w:rFonts w:ascii="Aptos" w:hAnsi="Aptos"/>
                <w:b w:val="0"/>
                <w:color w:val="1F2937"/>
                <w:sz w:val="18"/>
              </w:rPr>
              <w:t>47.1%</w:t>
            </w:r>
          </w:p>
        </w:tc>
      </w:tr>
      <w:tr>
        <w:tc>
          <w:tcPr>
            <w:tcW w:type="dxa" w:w="4896"/>
            <w:shd w:fill="F3F5F7"/>
            <w:vAlign w:val="center"/>
          </w:tcPr>
          <w:p>
            <w:r/>
            <w:r>
              <w:rPr>
                <w:rFonts w:ascii="Aptos" w:hAnsi="Aptos"/>
                <w:b w:val="0"/>
                <w:color w:val="1F2937"/>
                <w:sz w:val="18"/>
              </w:rPr>
              <w:t>25–50%</w:t>
            </w:r>
          </w:p>
        </w:tc>
        <w:tc>
          <w:tcPr>
            <w:tcW w:type="dxa" w:w="2880"/>
            <w:shd w:fill="F3F5F7"/>
            <w:vAlign w:val="center"/>
          </w:tcPr>
          <w:p>
            <w:r/>
            <w:r>
              <w:rPr>
                <w:rFonts w:ascii="Aptos" w:hAnsi="Aptos"/>
                <w:b w:val="0"/>
                <w:color w:val="1F2937"/>
                <w:sz w:val="18"/>
              </w:rPr>
              <w:t>33.1%</w:t>
            </w:r>
          </w:p>
        </w:tc>
      </w:tr>
      <w:tr>
        <w:tc>
          <w:tcPr>
            <w:tcW w:type="dxa" w:w="4896"/>
            <w:shd w:fill="FFFFFF"/>
            <w:vAlign w:val="center"/>
          </w:tcPr>
          <w:p>
            <w:r/>
            <w:r>
              <w:rPr>
                <w:rFonts w:ascii="Aptos" w:hAnsi="Aptos"/>
                <w:b w:val="0"/>
                <w:color w:val="1F2937"/>
                <w:sz w:val="18"/>
              </w:rPr>
              <w:t>50–75%</w:t>
            </w:r>
          </w:p>
        </w:tc>
        <w:tc>
          <w:tcPr>
            <w:tcW w:type="dxa" w:w="2880"/>
            <w:shd w:fill="FFFFFF"/>
            <w:vAlign w:val="center"/>
          </w:tcPr>
          <w:p>
            <w:r/>
            <w:r>
              <w:rPr>
                <w:rFonts w:ascii="Aptos" w:hAnsi="Aptos"/>
                <w:b w:val="0"/>
                <w:color w:val="1F2937"/>
                <w:sz w:val="18"/>
              </w:rPr>
              <w:t>21.5%</w:t>
            </w:r>
          </w:p>
        </w:tc>
      </w:tr>
      <w:tr>
        <w:tc>
          <w:tcPr>
            <w:tcW w:type="dxa" w:w="4896"/>
            <w:shd w:fill="F3F5F7"/>
            <w:vAlign w:val="center"/>
          </w:tcPr>
          <w:p>
            <w:r/>
            <w:r>
              <w:rPr>
                <w:rFonts w:ascii="Aptos" w:hAnsi="Aptos"/>
                <w:b w:val="0"/>
                <w:color w:val="1F2937"/>
                <w:sz w:val="18"/>
              </w:rPr>
              <w:t>Top 25%</w:t>
            </w:r>
          </w:p>
        </w:tc>
        <w:tc>
          <w:tcPr>
            <w:tcW w:type="dxa" w:w="2880"/>
            <w:shd w:fill="F3F5F7"/>
            <w:vAlign w:val="center"/>
          </w:tcPr>
          <w:p>
            <w:r/>
            <w:r>
              <w:rPr>
                <w:rFonts w:ascii="Aptos" w:hAnsi="Aptos"/>
                <w:b w:val="0"/>
                <w:color w:val="1F2937"/>
                <w:sz w:val="18"/>
              </w:rPr>
              <w:t>9.3%</w:t>
            </w:r>
          </w:p>
        </w:tc>
      </w:tr>
    </w:tbl>
    <w:p>
      <w:pPr>
        <w:spacing w:after="40"/>
      </w:pPr>
    </w:p>
    <w:p>
      <w:pPr>
        <w:pStyle w:val="BodyText"/>
        <w:spacing w:after="140" w:line="269" w:lineRule="auto"/>
      </w:pPr>
      <w:r>
        <w:rPr>
          <w:color w:val="1F2937"/>
        </w:rPr>
        <w:t>These group comparisons support the analytical observation that customer inactivity varies systematically across historical recency and value bands. They do not, by themselves, establish causal effects.</w:t>
      </w:r>
    </w:p>
    <w:p>
      <w:pPr>
        <w:pStyle w:val="Heading1"/>
      </w:pPr>
      <w:r>
        <w:rPr>
          <w:rFonts w:ascii="Aptos Display" w:hAnsi="Aptos Display"/>
        </w:rPr>
        <w:t>9. Machine Learning Methodology</w:t>
      </w:r>
    </w:p>
    <w:p>
      <w:pPr>
        <w:pStyle w:val="Heading2"/>
      </w:pPr>
      <w:r>
        <w:rPr>
          <w:rFonts w:ascii="Aptos" w:hAnsi="Aptos"/>
        </w:rPr>
        <w:t>9.1 Predictive Feature Set</w:t>
      </w:r>
    </w:p>
    <w:p>
      <w:pPr>
        <w:pStyle w:val="ListBullet"/>
        <w:spacing w:after="60"/>
        <w:ind w:left="259"/>
      </w:pPr>
      <w:r>
        <w:rPr>
          <w:rFonts w:ascii="Aptos" w:hAnsi="Aptos"/>
          <w:color w:val="1F2937"/>
          <w:sz w:val="21"/>
        </w:rPr>
        <w:t>Recency</w:t>
      </w:r>
    </w:p>
    <w:p>
      <w:pPr>
        <w:pStyle w:val="ListBullet"/>
        <w:spacing w:after="60"/>
        <w:ind w:left="259"/>
      </w:pPr>
      <w:r>
        <w:rPr>
          <w:rFonts w:ascii="Aptos" w:hAnsi="Aptos"/>
          <w:color w:val="1F2937"/>
          <w:sz w:val="21"/>
        </w:rPr>
        <w:t>Frequency</w:t>
      </w:r>
    </w:p>
    <w:p>
      <w:pPr>
        <w:pStyle w:val="ListBullet"/>
        <w:spacing w:after="60"/>
        <w:ind w:left="259"/>
      </w:pPr>
      <w:r>
        <w:rPr>
          <w:rFonts w:ascii="Aptos" w:hAnsi="Aptos"/>
          <w:color w:val="1F2937"/>
          <w:sz w:val="21"/>
        </w:rPr>
        <w:t>Monetary</w:t>
      </w:r>
    </w:p>
    <w:p>
      <w:pPr>
        <w:pStyle w:val="ListBullet"/>
        <w:spacing w:after="60"/>
        <w:ind w:left="259"/>
      </w:pPr>
      <w:r>
        <w:rPr>
          <w:rFonts w:ascii="Aptos" w:hAnsi="Aptos"/>
          <w:color w:val="1F2937"/>
          <w:sz w:val="21"/>
        </w:rPr>
        <w:t>AvgOrderValue</w:t>
      </w:r>
    </w:p>
    <w:p>
      <w:pPr>
        <w:pStyle w:val="ListBullet"/>
        <w:spacing w:after="60"/>
        <w:ind w:left="259"/>
      </w:pPr>
      <w:r>
        <w:rPr>
          <w:rFonts w:ascii="Aptos" w:hAnsi="Aptos"/>
          <w:color w:val="1F2937"/>
          <w:sz w:val="21"/>
        </w:rPr>
        <w:t>UniqueProducts</w:t>
      </w:r>
    </w:p>
    <w:p>
      <w:pPr>
        <w:pStyle w:val="ListBullet"/>
        <w:spacing w:after="60"/>
        <w:ind w:left="259"/>
      </w:pPr>
      <w:r>
        <w:rPr>
          <w:rFonts w:ascii="Aptos" w:hAnsi="Aptos"/>
          <w:color w:val="1F2937"/>
          <w:sz w:val="21"/>
        </w:rPr>
        <w:t>TotalItems</w:t>
      </w:r>
    </w:p>
    <w:p>
      <w:pPr>
        <w:pStyle w:val="ListBullet"/>
        <w:spacing w:after="60"/>
        <w:ind w:left="259"/>
      </w:pPr>
      <w:r>
        <w:rPr>
          <w:rFonts w:ascii="Aptos" w:hAnsi="Aptos"/>
          <w:color w:val="1F2937"/>
          <w:sz w:val="21"/>
        </w:rPr>
        <w:t>ActiveMonths</w:t>
      </w:r>
    </w:p>
    <w:p>
      <w:pPr>
        <w:pStyle w:val="ListBullet"/>
        <w:spacing w:after="60"/>
        <w:ind w:left="259"/>
      </w:pPr>
      <w:r>
        <w:rPr>
          <w:rFonts w:ascii="Aptos" w:hAnsi="Aptos"/>
          <w:color w:val="1F2937"/>
          <w:sz w:val="21"/>
        </w:rPr>
        <w:t>TenureDays</w:t>
      </w:r>
    </w:p>
    <w:p>
      <w:pPr>
        <w:pStyle w:val="ListBullet"/>
        <w:spacing w:after="60"/>
        <w:ind w:left="259"/>
      </w:pPr>
      <w:r>
        <w:rPr>
          <w:rFonts w:ascii="Aptos" w:hAnsi="Aptos"/>
          <w:color w:val="1F2937"/>
          <w:sz w:val="21"/>
        </w:rPr>
        <w:t>PurchaseSpanDays</w:t>
      </w:r>
    </w:p>
    <w:p>
      <w:pPr>
        <w:pStyle w:val="BodyText"/>
        <w:spacing w:after="140" w:line="269" w:lineRule="auto"/>
      </w:pPr>
      <w:r>
        <w:rPr>
          <w:color w:val="1F2937"/>
        </w:rPr>
        <w:t>CustomerID, Churn_90D, R/F/M labels, RFM_Score, and RFM_Segment were excluded from the predictive feature matrix. The primary model used the nine approved numeric behavioral features. No future-derived predictor was included.</w:t>
      </w:r>
    </w:p>
    <w:p>
      <w:pPr>
        <w:pStyle w:val="Heading2"/>
      </w:pPr>
      <w:r>
        <w:rPr>
          <w:rFonts w:ascii="Aptos" w:hAnsi="Aptos"/>
        </w:rPr>
        <w:t>9.2 Train/Test Design</w:t>
      </w:r>
    </w:p>
    <w:p>
      <w:pPr>
        <w:pStyle w:val="BodyText"/>
        <w:spacing w:after="140" w:line="269" w:lineRule="auto"/>
      </w:pPr>
      <w:r>
        <w:rPr>
          <w:color w:val="1F2937"/>
        </w:rPr>
        <w:t>The final customer feature table was split at the customer level into 80% training and 20% testing with stratification on Churn_90D and random_state = 42. The split produced 1,412 training customers and 353 test customers while preserving the 27.76% target prevalence in both partitions.</w:t>
      </w:r>
    </w:p>
    <w:p>
      <w:pPr>
        <w:pStyle w:val="Heading2"/>
      </w:pPr>
      <w:r>
        <w:rPr>
          <w:rFonts w:ascii="Aptos" w:hAnsi="Aptos"/>
        </w:rPr>
        <w:t>9.3 Logistic Regression Pipeline</w:t>
      </w:r>
    </w:p>
    <w:p>
      <w:pPr>
        <w:pStyle w:val="BodyText"/>
        <w:spacing w:after="140" w:line="269" w:lineRule="auto"/>
      </w:pPr>
      <w:r>
        <w:rPr>
          <w:color w:val="1F2937"/>
        </w:rPr>
        <w:t>The primary model uses a scikit-learn Pipeline containing StandardScaler followed by LogisticRegression(class_weight="balanced", max_iter=1000, random_state=42). The preprocessing is fitted only on the training data and serialized together with the model using Joblib.</w:t>
      </w:r>
    </w:p>
    <w:tbl>
      <w:tblPr>
        <w:tblW w:type="auto" w:w="0"/>
        <w:jc w:val="center"/>
        <w:tblLook w:firstColumn="1" w:firstRow="1" w:lastColumn="0" w:lastRow="0" w:noHBand="0" w:noVBand="1" w:val="04A0"/>
      </w:tblPr>
      <w:tblGrid>
        <w:gridCol w:w="9994"/>
      </w:tblGrid>
      <w:tr>
        <w:tc>
          <w:tcPr>
            <w:tcW w:type="dxa" w:w="9994"/>
            <w:shd w:fill="EAF2F8"/>
            <w:tcBorders>
              <w:top w:val="single" w:sz="8" w:color="17365D"/>
              <w:left w:val="single" w:sz="4" w:color="D9E1F2"/>
              <w:bottom w:val="single" w:sz="4" w:color="D9E1F2"/>
              <w:right w:val="single" w:sz="4" w:color="D9E1F2"/>
            </w:tcBorders>
          </w:tcPr>
          <w:p>
            <w:r/>
            <w:r>
              <w:rPr>
                <w:b/>
                <w:color w:val="17365D"/>
                <w:sz w:val="21"/>
              </w:rPr>
              <w:t>Why Logistic Regression</w:t>
            </w:r>
          </w:p>
          <w:p>
            <w:r>
              <w:rPr>
                <w:color w:val="1F2937"/>
                <w:sz w:val="20"/>
              </w:rPr>
              <w:t>The project prioritizes interpretability, reproducibility, probability output, and a transparent coefficient-based explanation of model associations. The model is used for risk estimation rather than causal inference.</w:t>
            </w:r>
          </w:p>
        </w:tc>
      </w:tr>
    </w:tbl>
    <w:p>
      <w:pPr>
        <w:spacing w:after="60"/>
      </w:pPr>
    </w:p>
    <w:p>
      <w:pPr>
        <w:pStyle w:val="Heading1"/>
      </w:pPr>
      <w:r>
        <w:rPr>
          <w:rFonts w:ascii="Aptos Display" w:hAnsi="Aptos Display"/>
        </w:rPr>
        <w:t>10. Model Evaluation</w:t>
      </w:r>
    </w:p>
    <w:p>
      <w:pPr>
        <w:pStyle w:val="BodyText"/>
        <w:spacing w:after="140" w:line="269" w:lineRule="auto"/>
      </w:pPr>
      <w:r>
        <w:rPr>
          <w:color w:val="1F2937"/>
        </w:rPr>
        <w:t>Evaluation is based exclusively on the held-out 20% test set containing 353 eligible customers. The test set was not used to fit preprocessing or the model.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896"/>
            <w:shd w:fill="17365D"/>
            <w:vAlign w:val="center"/>
          </w:tcPr>
          <w:p>
            <w:r/>
            <w:r>
              <w:rPr>
                <w:rFonts w:ascii="Aptos" w:hAnsi="Aptos"/>
                <w:b/>
                <w:color w:val="FFFFFF"/>
                <w:sz w:val="18"/>
              </w:rPr>
              <w:t>Metric</w:t>
            </w:r>
          </w:p>
        </w:tc>
        <w:tc>
          <w:tcPr>
            <w:tcW w:type="dxa" w:w="2880"/>
            <w:shd w:fill="17365D"/>
            <w:vAlign w:val="center"/>
          </w:tcPr>
          <w:p>
            <w:r/>
            <w:r>
              <w:rPr>
                <w:rFonts w:ascii="Aptos" w:hAnsi="Aptos"/>
                <w:b/>
                <w:color w:val="FFFFFF"/>
                <w:sz w:val="18"/>
              </w:rPr>
              <w:t>Held-out test result</w:t>
            </w:r>
          </w:p>
        </w:tc>
      </w:tr>
      <w:tr>
        <w:tc>
          <w:tcPr>
            <w:tcW w:type="dxa" w:w="4896"/>
            <w:shd w:fill="FFFFFF"/>
            <w:vAlign w:val="center"/>
          </w:tcPr>
          <w:p>
            <w:r/>
            <w:r>
              <w:rPr>
                <w:rFonts w:ascii="Aptos" w:hAnsi="Aptos"/>
                <w:b w:val="0"/>
                <w:color w:val="1F2937"/>
                <w:sz w:val="18"/>
              </w:rPr>
              <w:t>Accuracy</w:t>
            </w:r>
          </w:p>
        </w:tc>
        <w:tc>
          <w:tcPr>
            <w:tcW w:type="dxa" w:w="2880"/>
            <w:shd w:fill="FFFFFF"/>
            <w:vAlign w:val="center"/>
          </w:tcPr>
          <w:p>
            <w:r/>
            <w:r>
              <w:rPr>
                <w:rFonts w:ascii="Aptos" w:hAnsi="Aptos"/>
                <w:b w:val="0"/>
                <w:color w:val="1F2937"/>
                <w:sz w:val="18"/>
              </w:rPr>
              <w:t>0.5864</w:t>
            </w:r>
          </w:p>
        </w:tc>
      </w:tr>
      <w:tr>
        <w:tc>
          <w:tcPr>
            <w:tcW w:type="dxa" w:w="4896"/>
            <w:shd w:fill="F3F5F7"/>
            <w:vAlign w:val="center"/>
          </w:tcPr>
          <w:p>
            <w:r/>
            <w:r>
              <w:rPr>
                <w:rFonts w:ascii="Aptos" w:hAnsi="Aptos"/>
                <w:b w:val="0"/>
                <w:color w:val="1F2937"/>
                <w:sz w:val="18"/>
              </w:rPr>
              <w:t>Precision</w:t>
            </w:r>
          </w:p>
        </w:tc>
        <w:tc>
          <w:tcPr>
            <w:tcW w:type="dxa" w:w="2880"/>
            <w:shd w:fill="F3F5F7"/>
            <w:vAlign w:val="center"/>
          </w:tcPr>
          <w:p>
            <w:r/>
            <w:r>
              <w:rPr>
                <w:rFonts w:ascii="Aptos" w:hAnsi="Aptos"/>
                <w:b w:val="0"/>
                <w:color w:val="1F2937"/>
                <w:sz w:val="18"/>
              </w:rPr>
              <w:t>0.3723</w:t>
            </w:r>
          </w:p>
        </w:tc>
      </w:tr>
      <w:tr>
        <w:tc>
          <w:tcPr>
            <w:tcW w:type="dxa" w:w="4896"/>
            <w:shd w:fill="FFFFFF"/>
            <w:vAlign w:val="center"/>
          </w:tcPr>
          <w:p>
            <w:r/>
            <w:r>
              <w:rPr>
                <w:rFonts w:ascii="Aptos" w:hAnsi="Aptos"/>
                <w:b w:val="0"/>
                <w:color w:val="1F2937"/>
                <w:sz w:val="18"/>
              </w:rPr>
              <w:t>Recall</w:t>
            </w:r>
          </w:p>
        </w:tc>
        <w:tc>
          <w:tcPr>
            <w:tcW w:type="dxa" w:w="2880"/>
            <w:shd w:fill="FFFFFF"/>
            <w:vAlign w:val="center"/>
          </w:tcPr>
          <w:p>
            <w:r/>
            <w:r>
              <w:rPr>
                <w:rFonts w:ascii="Aptos" w:hAnsi="Aptos"/>
                <w:b w:val="0"/>
                <w:color w:val="1F2937"/>
                <w:sz w:val="18"/>
              </w:rPr>
              <w:t>0.7143</w:t>
            </w:r>
          </w:p>
        </w:tc>
      </w:tr>
      <w:tr>
        <w:tc>
          <w:tcPr>
            <w:tcW w:type="dxa" w:w="4896"/>
            <w:shd w:fill="F3F5F7"/>
            <w:vAlign w:val="center"/>
          </w:tcPr>
          <w:p>
            <w:r/>
            <w:r>
              <w:rPr>
                <w:rFonts w:ascii="Aptos" w:hAnsi="Aptos"/>
                <w:b w:val="0"/>
                <w:color w:val="1F2937"/>
                <w:sz w:val="18"/>
              </w:rPr>
              <w:t>F1</w:t>
            </w:r>
          </w:p>
        </w:tc>
        <w:tc>
          <w:tcPr>
            <w:tcW w:type="dxa" w:w="2880"/>
            <w:shd w:fill="F3F5F7"/>
            <w:vAlign w:val="center"/>
          </w:tcPr>
          <w:p>
            <w:r/>
            <w:r>
              <w:rPr>
                <w:rFonts w:ascii="Aptos" w:hAnsi="Aptos"/>
                <w:b w:val="0"/>
                <w:color w:val="1F2937"/>
                <w:sz w:val="18"/>
              </w:rPr>
              <w:t>0.4895</w:t>
            </w:r>
          </w:p>
        </w:tc>
      </w:tr>
      <w:tr>
        <w:tc>
          <w:tcPr>
            <w:tcW w:type="dxa" w:w="4896"/>
            <w:shd w:fill="FFFFFF"/>
            <w:vAlign w:val="center"/>
          </w:tcPr>
          <w:p>
            <w:r/>
            <w:r>
              <w:rPr>
                <w:rFonts w:ascii="Aptos" w:hAnsi="Aptos"/>
                <w:b w:val="0"/>
                <w:color w:val="1F2937"/>
                <w:sz w:val="18"/>
              </w:rPr>
              <w:t>ROC-AUC</w:t>
            </w:r>
          </w:p>
        </w:tc>
        <w:tc>
          <w:tcPr>
            <w:tcW w:type="dxa" w:w="2880"/>
            <w:shd w:fill="FFFFFF"/>
            <w:vAlign w:val="center"/>
          </w:tcPr>
          <w:p>
            <w:r/>
            <w:r>
              <w:rPr>
                <w:rFonts w:ascii="Aptos" w:hAnsi="Aptos"/>
                <w:b w:val="0"/>
                <w:color w:val="1F2937"/>
                <w:sz w:val="18"/>
              </w:rPr>
              <w:t>0.7063</w:t>
            </w:r>
          </w:p>
        </w:tc>
      </w:tr>
      <w:tr>
        <w:tc>
          <w:tcPr>
            <w:tcW w:type="dxa" w:w="4896"/>
            <w:shd w:fill="F3F5F7"/>
            <w:vAlign w:val="center"/>
          </w:tcPr>
          <w:p>
            <w:r/>
            <w:r>
              <w:rPr>
                <w:rFonts w:ascii="Aptos" w:hAnsi="Aptos"/>
                <w:b w:val="0"/>
                <w:color w:val="1F2937"/>
                <w:sz w:val="18"/>
              </w:rPr>
              <w:t>PR-AUC</w:t>
            </w:r>
          </w:p>
        </w:tc>
        <w:tc>
          <w:tcPr>
            <w:tcW w:type="dxa" w:w="2880"/>
            <w:shd w:fill="F3F5F7"/>
            <w:vAlign w:val="center"/>
          </w:tcPr>
          <w:p>
            <w:r/>
            <w:r>
              <w:rPr>
                <w:rFonts w:ascii="Aptos" w:hAnsi="Aptos"/>
                <w:b w:val="0"/>
                <w:color w:val="1F2937"/>
                <w:sz w:val="18"/>
              </w:rPr>
              <w:t>0.4686</w:t>
            </w:r>
          </w:p>
        </w:tc>
      </w:tr>
    </w:tbl>
    <w:p>
      <w:pPr>
        <w:spacing w:after="40"/>
      </w:pPr>
    </w:p>
    <w:p>
      <w:pPr>
        <w:jc w:val="center"/>
      </w:pPr>
      <w:r>
        <w:drawing>
          <wp:inline xmlns:a="http://schemas.openxmlformats.org/drawingml/2006/main" xmlns:pic="http://schemas.openxmlformats.org/drawingml/2006/picture">
            <wp:extent cx="5943600" cy="2812126"/>
            <wp:docPr id="2" name="Picture 2" descr="Figure 2. Churn and Risk Analytics dashboard showing churn class distribution, predicted inactivity probability distribution, and model evaluation charts." title="Churn and Risk Analytics dashboard showing churn class distribution, predicted inactivity probability distribution, and model evaluation charts."/>
            <wp:cNvGraphicFramePr>
              <a:graphicFrameLocks noChangeAspect="1"/>
            </wp:cNvGraphicFramePr>
            <a:graphic>
              <a:graphicData uri="http://schemas.openxmlformats.org/drawingml/2006/picture">
                <pic:pic>
                  <pic:nvPicPr>
                    <pic:cNvPr id="0" name="churn_model.png"/>
                    <pic:cNvPicPr/>
                  </pic:nvPicPr>
                  <pic:blipFill>
                    <a:blip r:embed="rId12"/>
                    <a:stretch>
                      <a:fillRect/>
                    </a:stretch>
                  </pic:blipFill>
                  <pic:spPr>
                    <a:xfrm>
                      <a:off x="0" y="0"/>
                      <a:ext cx="5943600" cy="2812126"/>
                    </a:xfrm>
                    <a:prstGeom prst="rect"/>
                  </pic:spPr>
                </pic:pic>
              </a:graphicData>
            </a:graphic>
          </wp:inline>
        </w:drawing>
      </w:r>
    </w:p>
    <w:p>
      <w:pPr>
        <w:spacing w:before="60" w:after="200"/>
        <w:jc w:val="center"/>
      </w:pPr>
      <w:r>
        <w:rPr>
          <w:i/>
          <w:color w:val="6B7280"/>
          <w:sz w:val="18"/>
        </w:rPr>
        <w:t>Figure 2. Churn / Risk Analytics dashboard — model metrics, confusion matrix, ROC curve, and precision-recall curve.</w:t>
      </w:r>
    </w:p>
    <w:p>
      <w:pPr>
        <w:pStyle w:val="Heading2"/>
      </w:pPr>
      <w:r>
        <w:rPr>
          <w:rFonts w:ascii="Aptos" w:hAnsi="Aptos"/>
        </w:rPr>
        <w:t>10.1 Confusion Matrix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17365D"/>
            <w:vAlign w:val="center"/>
          </w:tcPr>
          <w:p>
            <w:r/>
            <w:r>
              <w:rPr>
                <w:rFonts w:ascii="Aptos" w:hAnsi="Aptos"/>
                <w:b/>
                <w:color w:val="FFFFFF"/>
                <w:sz w:val="18"/>
              </w:rPr>
            </w:r>
          </w:p>
        </w:tc>
        <w:tc>
          <w:tcPr>
            <w:tcW w:type="dxa" w:w="2880"/>
            <w:shd w:fill="17365D"/>
            <w:vAlign w:val="center"/>
          </w:tcPr>
          <w:p>
            <w:r/>
            <w:r>
              <w:rPr>
                <w:rFonts w:ascii="Aptos" w:hAnsi="Aptos"/>
                <w:b/>
                <w:color w:val="FFFFFF"/>
                <w:sz w:val="18"/>
              </w:rPr>
              <w:t>Predicted Active (0)</w:t>
            </w:r>
          </w:p>
        </w:tc>
        <w:tc>
          <w:tcPr>
            <w:tcW w:type="dxa" w:w="2880"/>
            <w:shd w:fill="17365D"/>
            <w:vAlign w:val="center"/>
          </w:tcPr>
          <w:p>
            <w:r/>
            <w:r>
              <w:rPr>
                <w:rFonts w:ascii="Aptos" w:hAnsi="Aptos"/>
                <w:b/>
                <w:color w:val="FFFFFF"/>
                <w:sz w:val="18"/>
              </w:rPr>
              <w:t>Predicted Inactive (1)</w:t>
            </w:r>
          </w:p>
        </w:tc>
      </w:tr>
      <w:tr>
        <w:tc>
          <w:tcPr>
            <w:tcW w:type="dxa" w:w="3024"/>
            <w:shd w:fill="FFFFFF"/>
            <w:vAlign w:val="center"/>
          </w:tcPr>
          <w:p>
            <w:r/>
            <w:r>
              <w:rPr>
                <w:rFonts w:ascii="Aptos" w:hAnsi="Aptos"/>
                <w:b w:val="0"/>
                <w:color w:val="1F2937"/>
                <w:sz w:val="18"/>
              </w:rPr>
              <w:t>True Active (0)</w:t>
            </w:r>
          </w:p>
        </w:tc>
        <w:tc>
          <w:tcPr>
            <w:tcW w:type="dxa" w:w="2880"/>
            <w:shd w:fill="FFFFFF"/>
            <w:vAlign w:val="center"/>
          </w:tcPr>
          <w:p>
            <w:r/>
            <w:r>
              <w:rPr>
                <w:rFonts w:ascii="Aptos" w:hAnsi="Aptos"/>
                <w:b w:val="0"/>
                <w:color w:val="1F2937"/>
                <w:sz w:val="18"/>
              </w:rPr>
              <w:t>137</w:t>
            </w:r>
          </w:p>
        </w:tc>
        <w:tc>
          <w:tcPr>
            <w:tcW w:type="dxa" w:w="2880"/>
            <w:shd w:fill="FFFFFF"/>
            <w:vAlign w:val="center"/>
          </w:tcPr>
          <w:p>
            <w:r/>
            <w:r>
              <w:rPr>
                <w:rFonts w:ascii="Aptos" w:hAnsi="Aptos"/>
                <w:b w:val="0"/>
                <w:color w:val="1F2937"/>
                <w:sz w:val="18"/>
              </w:rPr>
              <w:t>118</w:t>
            </w:r>
          </w:p>
        </w:tc>
      </w:tr>
      <w:tr>
        <w:tc>
          <w:tcPr>
            <w:tcW w:type="dxa" w:w="3024"/>
            <w:shd w:fill="F3F5F7"/>
            <w:vAlign w:val="center"/>
          </w:tcPr>
          <w:p>
            <w:r/>
            <w:r>
              <w:rPr>
                <w:rFonts w:ascii="Aptos" w:hAnsi="Aptos"/>
                <w:b w:val="0"/>
                <w:color w:val="1F2937"/>
                <w:sz w:val="18"/>
              </w:rPr>
              <w:t>True Inactive (1)</w:t>
            </w:r>
          </w:p>
        </w:tc>
        <w:tc>
          <w:tcPr>
            <w:tcW w:type="dxa" w:w="2880"/>
            <w:shd w:fill="F3F5F7"/>
            <w:vAlign w:val="center"/>
          </w:tcPr>
          <w:p>
            <w:r/>
            <w:r>
              <w:rPr>
                <w:rFonts w:ascii="Aptos" w:hAnsi="Aptos"/>
                <w:b w:val="0"/>
                <w:color w:val="1F2937"/>
                <w:sz w:val="18"/>
              </w:rPr>
              <w:t>28</w:t>
            </w:r>
          </w:p>
        </w:tc>
        <w:tc>
          <w:tcPr>
            <w:tcW w:type="dxa" w:w="2880"/>
            <w:shd w:fill="F3F5F7"/>
            <w:vAlign w:val="center"/>
          </w:tcPr>
          <w:p>
            <w:r/>
            <w:r>
              <w:rPr>
                <w:rFonts w:ascii="Aptos" w:hAnsi="Aptos"/>
                <w:b w:val="0"/>
                <w:color w:val="1F2937"/>
                <w:sz w:val="18"/>
              </w:rPr>
              <w:t>70</w:t>
            </w:r>
          </w:p>
        </w:tc>
      </w:tr>
    </w:tbl>
    <w:p>
      <w:pPr>
        <w:spacing w:after="40"/>
      </w:pPr>
    </w:p>
    <w:p>
      <w:pPr>
        <w:pStyle w:val="BodyText"/>
        <w:spacing w:after="140" w:line="269" w:lineRule="auto"/>
      </w:pPr>
      <w:r>
        <w:rPr>
          <w:color w:val="1F2937"/>
        </w:rPr>
        <w:t>At the default 0.50 threshold, the model identifies 70 of the 98 future-inactive test customers and misses 28. It also classifies 118 future-active customers as inactive. This reflects the trade-off created by balanced class weighting and the chosen threshold.</w:t>
      </w:r>
    </w:p>
    <w:p>
      <w:pPr>
        <w:pStyle w:val="Heading2"/>
      </w:pPr>
      <w:r>
        <w:rPr>
          <w:rFonts w:ascii="Aptos" w:hAnsi="Aptos"/>
        </w:rPr>
        <w:t>10.2 Threshold Analysis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16"/>
            <w:shd w:fill="17365D"/>
            <w:vAlign w:val="center"/>
          </w:tcPr>
          <w:p>
            <w:r/>
            <w:r>
              <w:rPr>
                <w:rFonts w:ascii="Aptos" w:hAnsi="Aptos"/>
                <w:b/>
                <w:color w:val="FFFFFF"/>
                <w:sz w:val="18"/>
              </w:rPr>
              <w:t>Threshold</w:t>
            </w:r>
          </w:p>
        </w:tc>
        <w:tc>
          <w:tcPr>
            <w:tcW w:type="dxa" w:w="2160"/>
            <w:shd w:fill="17365D"/>
            <w:vAlign w:val="center"/>
          </w:tcPr>
          <w:p>
            <w:r/>
            <w:r>
              <w:rPr>
                <w:rFonts w:ascii="Aptos" w:hAnsi="Aptos"/>
                <w:b/>
                <w:color w:val="FFFFFF"/>
                <w:sz w:val="18"/>
              </w:rPr>
              <w:t>Precision</w:t>
            </w:r>
          </w:p>
        </w:tc>
        <w:tc>
          <w:tcPr>
            <w:tcW w:type="dxa" w:w="2160"/>
            <w:shd w:fill="17365D"/>
            <w:vAlign w:val="center"/>
          </w:tcPr>
          <w:p>
            <w:r/>
            <w:r>
              <w:rPr>
                <w:rFonts w:ascii="Aptos" w:hAnsi="Aptos"/>
                <w:b/>
                <w:color w:val="FFFFFF"/>
                <w:sz w:val="18"/>
              </w:rPr>
              <w:t>Recall</w:t>
            </w:r>
          </w:p>
        </w:tc>
        <w:tc>
          <w:tcPr>
            <w:tcW w:type="dxa" w:w="2160"/>
            <w:shd w:fill="17365D"/>
            <w:vAlign w:val="center"/>
          </w:tcPr>
          <w:p>
            <w:r/>
            <w:r>
              <w:rPr>
                <w:rFonts w:ascii="Aptos" w:hAnsi="Aptos"/>
                <w:b/>
                <w:color w:val="FFFFFF"/>
                <w:sz w:val="18"/>
              </w:rPr>
              <w:t>F1</w:t>
            </w:r>
          </w:p>
        </w:tc>
      </w:tr>
      <w:tr>
        <w:tc>
          <w:tcPr>
            <w:tcW w:type="dxa" w:w="2016"/>
            <w:shd w:fill="FFFFFF"/>
            <w:vAlign w:val="center"/>
          </w:tcPr>
          <w:p>
            <w:r/>
            <w:r>
              <w:rPr>
                <w:rFonts w:ascii="Aptos" w:hAnsi="Aptos"/>
                <w:b w:val="0"/>
                <w:color w:val="1F2937"/>
                <w:sz w:val="18"/>
              </w:rPr>
              <w:t>0.20</w:t>
            </w:r>
          </w:p>
        </w:tc>
        <w:tc>
          <w:tcPr>
            <w:tcW w:type="dxa" w:w="2160"/>
            <w:shd w:fill="FFFFFF"/>
            <w:vAlign w:val="center"/>
          </w:tcPr>
          <w:p>
            <w:r/>
            <w:r>
              <w:rPr>
                <w:rFonts w:ascii="Aptos" w:hAnsi="Aptos"/>
                <w:b w:val="0"/>
                <w:color w:val="1F2937"/>
                <w:sz w:val="18"/>
              </w:rPr>
              <w:t>0.3297</w:t>
            </w:r>
          </w:p>
        </w:tc>
        <w:tc>
          <w:tcPr>
            <w:tcW w:type="dxa" w:w="2160"/>
            <w:shd w:fill="FFFFFF"/>
            <w:vAlign w:val="center"/>
          </w:tcPr>
          <w:p>
            <w:r/>
            <w:r>
              <w:rPr>
                <w:rFonts w:ascii="Aptos" w:hAnsi="Aptos"/>
                <w:b w:val="0"/>
                <w:color w:val="1F2937"/>
                <w:sz w:val="18"/>
              </w:rPr>
              <w:t>0.9286</w:t>
            </w:r>
          </w:p>
        </w:tc>
        <w:tc>
          <w:tcPr>
            <w:tcW w:type="dxa" w:w="2160"/>
            <w:shd w:fill="FFFFFF"/>
            <w:vAlign w:val="center"/>
          </w:tcPr>
          <w:p>
            <w:r/>
            <w:r>
              <w:rPr>
                <w:rFonts w:ascii="Aptos" w:hAnsi="Aptos"/>
                <w:b w:val="0"/>
                <w:color w:val="1F2937"/>
                <w:sz w:val="18"/>
              </w:rPr>
              <w:t>0.4866</w:t>
            </w:r>
          </w:p>
        </w:tc>
      </w:tr>
      <w:tr>
        <w:tc>
          <w:tcPr>
            <w:tcW w:type="dxa" w:w="2016"/>
            <w:shd w:fill="F3F5F7"/>
            <w:vAlign w:val="center"/>
          </w:tcPr>
          <w:p>
            <w:r/>
            <w:r>
              <w:rPr>
                <w:rFonts w:ascii="Aptos" w:hAnsi="Aptos"/>
                <w:b w:val="0"/>
                <w:color w:val="1F2937"/>
                <w:sz w:val="18"/>
              </w:rPr>
              <w:t>0.25</w:t>
            </w:r>
          </w:p>
        </w:tc>
        <w:tc>
          <w:tcPr>
            <w:tcW w:type="dxa" w:w="2160"/>
            <w:shd w:fill="F3F5F7"/>
            <w:vAlign w:val="center"/>
          </w:tcPr>
          <w:p>
            <w:r/>
            <w:r>
              <w:rPr>
                <w:rFonts w:ascii="Aptos" w:hAnsi="Aptos"/>
                <w:b w:val="0"/>
                <w:color w:val="1F2937"/>
                <w:sz w:val="18"/>
              </w:rPr>
              <w:t>0.3308</w:t>
            </w:r>
          </w:p>
        </w:tc>
        <w:tc>
          <w:tcPr>
            <w:tcW w:type="dxa" w:w="2160"/>
            <w:shd w:fill="F3F5F7"/>
            <w:vAlign w:val="center"/>
          </w:tcPr>
          <w:p>
            <w:r/>
            <w:r>
              <w:rPr>
                <w:rFonts w:ascii="Aptos" w:hAnsi="Aptos"/>
                <w:b w:val="0"/>
                <w:color w:val="1F2937"/>
                <w:sz w:val="18"/>
              </w:rPr>
              <w:t>0.8878</w:t>
            </w:r>
          </w:p>
        </w:tc>
        <w:tc>
          <w:tcPr>
            <w:tcW w:type="dxa" w:w="2160"/>
            <w:shd w:fill="F3F5F7"/>
            <w:vAlign w:val="center"/>
          </w:tcPr>
          <w:p>
            <w:r/>
            <w:r>
              <w:rPr>
                <w:rFonts w:ascii="Aptos" w:hAnsi="Aptos"/>
                <w:b w:val="0"/>
                <w:color w:val="1F2937"/>
                <w:sz w:val="18"/>
              </w:rPr>
              <w:t>0.4820</w:t>
            </w:r>
          </w:p>
        </w:tc>
      </w:tr>
      <w:tr>
        <w:tc>
          <w:tcPr>
            <w:tcW w:type="dxa" w:w="2016"/>
            <w:shd w:fill="FFFFFF"/>
            <w:vAlign w:val="center"/>
          </w:tcPr>
          <w:p>
            <w:r/>
            <w:r>
              <w:rPr>
                <w:rFonts w:ascii="Aptos" w:hAnsi="Aptos"/>
                <w:b w:val="0"/>
                <w:color w:val="1F2937"/>
                <w:sz w:val="18"/>
              </w:rPr>
              <w:t>0.30</w:t>
            </w:r>
          </w:p>
        </w:tc>
        <w:tc>
          <w:tcPr>
            <w:tcW w:type="dxa" w:w="2160"/>
            <w:shd w:fill="FFFFFF"/>
            <w:vAlign w:val="center"/>
          </w:tcPr>
          <w:p>
            <w:r/>
            <w:r>
              <w:rPr>
                <w:rFonts w:ascii="Aptos" w:hAnsi="Aptos"/>
                <w:b w:val="0"/>
                <w:color w:val="1F2937"/>
                <w:sz w:val="18"/>
              </w:rPr>
              <w:t>0.3386</w:t>
            </w:r>
          </w:p>
        </w:tc>
        <w:tc>
          <w:tcPr>
            <w:tcW w:type="dxa" w:w="2160"/>
            <w:shd w:fill="FFFFFF"/>
            <w:vAlign w:val="center"/>
          </w:tcPr>
          <w:p>
            <w:r/>
            <w:r>
              <w:rPr>
                <w:rFonts w:ascii="Aptos" w:hAnsi="Aptos"/>
                <w:b w:val="0"/>
                <w:color w:val="1F2937"/>
                <w:sz w:val="18"/>
              </w:rPr>
              <w:t>0.8776</w:t>
            </w:r>
          </w:p>
        </w:tc>
        <w:tc>
          <w:tcPr>
            <w:tcW w:type="dxa" w:w="2160"/>
            <w:shd w:fill="FFFFFF"/>
            <w:vAlign w:val="center"/>
          </w:tcPr>
          <w:p>
            <w:r/>
            <w:r>
              <w:rPr>
                <w:rFonts w:ascii="Aptos" w:hAnsi="Aptos"/>
                <w:b w:val="0"/>
                <w:color w:val="1F2937"/>
                <w:sz w:val="18"/>
              </w:rPr>
              <w:t>0.4886</w:t>
            </w:r>
          </w:p>
        </w:tc>
      </w:tr>
      <w:tr>
        <w:tc>
          <w:tcPr>
            <w:tcW w:type="dxa" w:w="2016"/>
            <w:shd w:fill="F3F5F7"/>
            <w:vAlign w:val="center"/>
          </w:tcPr>
          <w:p>
            <w:r/>
            <w:r>
              <w:rPr>
                <w:rFonts w:ascii="Aptos" w:hAnsi="Aptos"/>
                <w:b w:val="0"/>
                <w:color w:val="1F2937"/>
                <w:sz w:val="18"/>
              </w:rPr>
              <w:t>0.35</w:t>
            </w:r>
          </w:p>
        </w:tc>
        <w:tc>
          <w:tcPr>
            <w:tcW w:type="dxa" w:w="2160"/>
            <w:shd w:fill="F3F5F7"/>
            <w:vAlign w:val="center"/>
          </w:tcPr>
          <w:p>
            <w:r/>
            <w:r>
              <w:rPr>
                <w:rFonts w:ascii="Aptos" w:hAnsi="Aptos"/>
                <w:b w:val="0"/>
                <w:color w:val="1F2937"/>
                <w:sz w:val="18"/>
              </w:rPr>
              <w:t>0.3529</w:t>
            </w:r>
          </w:p>
        </w:tc>
        <w:tc>
          <w:tcPr>
            <w:tcW w:type="dxa" w:w="2160"/>
            <w:shd w:fill="F3F5F7"/>
            <w:vAlign w:val="center"/>
          </w:tcPr>
          <w:p>
            <w:r/>
            <w:r>
              <w:rPr>
                <w:rFonts w:ascii="Aptos" w:hAnsi="Aptos"/>
                <w:b w:val="0"/>
                <w:color w:val="1F2937"/>
                <w:sz w:val="18"/>
              </w:rPr>
              <w:t>0.8571</w:t>
            </w:r>
          </w:p>
        </w:tc>
        <w:tc>
          <w:tcPr>
            <w:tcW w:type="dxa" w:w="2160"/>
            <w:shd w:fill="F3F5F7"/>
            <w:vAlign w:val="center"/>
          </w:tcPr>
          <w:p>
            <w:r/>
            <w:r>
              <w:rPr>
                <w:rFonts w:ascii="Aptos" w:hAnsi="Aptos"/>
                <w:b w:val="0"/>
                <w:color w:val="1F2937"/>
                <w:sz w:val="18"/>
              </w:rPr>
              <w:t>0.5000</w:t>
            </w:r>
          </w:p>
        </w:tc>
      </w:tr>
      <w:tr>
        <w:tc>
          <w:tcPr>
            <w:tcW w:type="dxa" w:w="2016"/>
            <w:shd w:fill="FFFFFF"/>
            <w:vAlign w:val="center"/>
          </w:tcPr>
          <w:p>
            <w:r/>
            <w:r>
              <w:rPr>
                <w:rFonts w:ascii="Aptos" w:hAnsi="Aptos"/>
                <w:b w:val="0"/>
                <w:color w:val="1F2937"/>
                <w:sz w:val="18"/>
              </w:rPr>
              <w:t>0.40</w:t>
            </w:r>
          </w:p>
        </w:tc>
        <w:tc>
          <w:tcPr>
            <w:tcW w:type="dxa" w:w="2160"/>
            <w:shd w:fill="FFFFFF"/>
            <w:vAlign w:val="center"/>
          </w:tcPr>
          <w:p>
            <w:r/>
            <w:r>
              <w:rPr>
                <w:rFonts w:ascii="Aptos" w:hAnsi="Aptos"/>
                <w:b w:val="0"/>
                <w:color w:val="1F2937"/>
                <w:sz w:val="18"/>
              </w:rPr>
              <w:t>0.3511</w:t>
            </w:r>
          </w:p>
        </w:tc>
        <w:tc>
          <w:tcPr>
            <w:tcW w:type="dxa" w:w="2160"/>
            <w:shd w:fill="FFFFFF"/>
            <w:vAlign w:val="center"/>
          </w:tcPr>
          <w:p>
            <w:r/>
            <w:r>
              <w:rPr>
                <w:rFonts w:ascii="Aptos" w:hAnsi="Aptos"/>
                <w:b w:val="0"/>
                <w:color w:val="1F2937"/>
                <w:sz w:val="18"/>
              </w:rPr>
              <w:t>0.8061</w:t>
            </w:r>
          </w:p>
        </w:tc>
        <w:tc>
          <w:tcPr>
            <w:tcW w:type="dxa" w:w="2160"/>
            <w:shd w:fill="FFFFFF"/>
            <w:vAlign w:val="center"/>
          </w:tcPr>
          <w:p>
            <w:r/>
            <w:r>
              <w:rPr>
                <w:rFonts w:ascii="Aptos" w:hAnsi="Aptos"/>
                <w:b w:val="0"/>
                <w:color w:val="1F2937"/>
                <w:sz w:val="18"/>
              </w:rPr>
              <w:t>0.4892</w:t>
            </w:r>
          </w:p>
        </w:tc>
      </w:tr>
      <w:tr>
        <w:tc>
          <w:tcPr>
            <w:tcW w:type="dxa" w:w="2016"/>
            <w:shd w:fill="F3F5F7"/>
            <w:vAlign w:val="center"/>
          </w:tcPr>
          <w:p>
            <w:r/>
            <w:r>
              <w:rPr>
                <w:rFonts w:ascii="Aptos" w:hAnsi="Aptos"/>
                <w:b w:val="0"/>
                <w:color w:val="1F2937"/>
                <w:sz w:val="18"/>
              </w:rPr>
              <w:t>0.45</w:t>
            </w:r>
          </w:p>
        </w:tc>
        <w:tc>
          <w:tcPr>
            <w:tcW w:type="dxa" w:w="2160"/>
            <w:shd w:fill="F3F5F7"/>
            <w:vAlign w:val="center"/>
          </w:tcPr>
          <w:p>
            <w:r/>
            <w:r>
              <w:rPr>
                <w:rFonts w:ascii="Aptos" w:hAnsi="Aptos"/>
                <w:b w:val="0"/>
                <w:color w:val="1F2937"/>
                <w:sz w:val="18"/>
              </w:rPr>
              <w:t>0.3623</w:t>
            </w:r>
          </w:p>
        </w:tc>
        <w:tc>
          <w:tcPr>
            <w:tcW w:type="dxa" w:w="2160"/>
            <w:shd w:fill="F3F5F7"/>
            <w:vAlign w:val="center"/>
          </w:tcPr>
          <w:p>
            <w:r/>
            <w:r>
              <w:rPr>
                <w:rFonts w:ascii="Aptos" w:hAnsi="Aptos"/>
                <w:b w:val="0"/>
                <w:color w:val="1F2937"/>
                <w:sz w:val="18"/>
              </w:rPr>
              <w:t>0.7653</w:t>
            </w:r>
          </w:p>
        </w:tc>
        <w:tc>
          <w:tcPr>
            <w:tcW w:type="dxa" w:w="2160"/>
            <w:shd w:fill="F3F5F7"/>
            <w:vAlign w:val="center"/>
          </w:tcPr>
          <w:p>
            <w:r/>
            <w:r>
              <w:rPr>
                <w:rFonts w:ascii="Aptos" w:hAnsi="Aptos"/>
                <w:b w:val="0"/>
                <w:color w:val="1F2937"/>
                <w:sz w:val="18"/>
              </w:rPr>
              <w:t>0.4918</w:t>
            </w:r>
          </w:p>
        </w:tc>
      </w:tr>
      <w:tr>
        <w:tc>
          <w:tcPr>
            <w:tcW w:type="dxa" w:w="2016"/>
            <w:shd w:fill="FFFFFF"/>
            <w:vAlign w:val="center"/>
          </w:tcPr>
          <w:p>
            <w:r/>
            <w:r>
              <w:rPr>
                <w:rFonts w:ascii="Aptos" w:hAnsi="Aptos"/>
                <w:b w:val="0"/>
                <w:color w:val="1F2937"/>
                <w:sz w:val="18"/>
              </w:rPr>
              <w:t>0.50</w:t>
            </w:r>
          </w:p>
        </w:tc>
        <w:tc>
          <w:tcPr>
            <w:tcW w:type="dxa" w:w="2160"/>
            <w:shd w:fill="FFFFFF"/>
            <w:vAlign w:val="center"/>
          </w:tcPr>
          <w:p>
            <w:r/>
            <w:r>
              <w:rPr>
                <w:rFonts w:ascii="Aptos" w:hAnsi="Aptos"/>
                <w:b w:val="0"/>
                <w:color w:val="1F2937"/>
                <w:sz w:val="18"/>
              </w:rPr>
              <w:t>0.3723</w:t>
            </w:r>
          </w:p>
        </w:tc>
        <w:tc>
          <w:tcPr>
            <w:tcW w:type="dxa" w:w="2160"/>
            <w:shd w:fill="FFFFFF"/>
            <w:vAlign w:val="center"/>
          </w:tcPr>
          <w:p>
            <w:r/>
            <w:r>
              <w:rPr>
                <w:rFonts w:ascii="Aptos" w:hAnsi="Aptos"/>
                <w:b w:val="0"/>
                <w:color w:val="1F2937"/>
                <w:sz w:val="18"/>
              </w:rPr>
              <w:t>0.7143</w:t>
            </w:r>
          </w:p>
        </w:tc>
        <w:tc>
          <w:tcPr>
            <w:tcW w:type="dxa" w:w="2160"/>
            <w:shd w:fill="FFFFFF"/>
            <w:vAlign w:val="center"/>
          </w:tcPr>
          <w:p>
            <w:r/>
            <w:r>
              <w:rPr>
                <w:rFonts w:ascii="Aptos" w:hAnsi="Aptos"/>
                <w:b w:val="0"/>
                <w:color w:val="1F2937"/>
                <w:sz w:val="18"/>
              </w:rPr>
              <w:t>0.4895</w:t>
            </w:r>
          </w:p>
        </w:tc>
      </w:tr>
      <w:tr>
        <w:tc>
          <w:tcPr>
            <w:tcW w:type="dxa" w:w="2016"/>
            <w:shd w:fill="F3F5F7"/>
            <w:vAlign w:val="center"/>
          </w:tcPr>
          <w:p>
            <w:r/>
            <w:r>
              <w:rPr>
                <w:rFonts w:ascii="Aptos" w:hAnsi="Aptos"/>
                <w:b w:val="0"/>
                <w:color w:val="1F2937"/>
                <w:sz w:val="18"/>
              </w:rPr>
              <w:t>0.55</w:t>
            </w:r>
          </w:p>
        </w:tc>
        <w:tc>
          <w:tcPr>
            <w:tcW w:type="dxa" w:w="2160"/>
            <w:shd w:fill="F3F5F7"/>
            <w:vAlign w:val="center"/>
          </w:tcPr>
          <w:p>
            <w:r/>
            <w:r>
              <w:rPr>
                <w:rFonts w:ascii="Aptos" w:hAnsi="Aptos"/>
                <w:b w:val="0"/>
                <w:color w:val="1F2937"/>
                <w:sz w:val="18"/>
              </w:rPr>
              <w:t>0.4061</w:t>
            </w:r>
          </w:p>
        </w:tc>
        <w:tc>
          <w:tcPr>
            <w:tcW w:type="dxa" w:w="2160"/>
            <w:shd w:fill="F3F5F7"/>
            <w:vAlign w:val="center"/>
          </w:tcPr>
          <w:p>
            <w:r/>
            <w:r>
              <w:rPr>
                <w:rFonts w:ascii="Aptos" w:hAnsi="Aptos"/>
                <w:b w:val="0"/>
                <w:color w:val="1F2937"/>
                <w:sz w:val="18"/>
              </w:rPr>
              <w:t>0.6837</w:t>
            </w:r>
          </w:p>
        </w:tc>
        <w:tc>
          <w:tcPr>
            <w:tcW w:type="dxa" w:w="2160"/>
            <w:shd w:fill="F3F5F7"/>
            <w:vAlign w:val="center"/>
          </w:tcPr>
          <w:p>
            <w:r/>
            <w:r>
              <w:rPr>
                <w:rFonts w:ascii="Aptos" w:hAnsi="Aptos"/>
                <w:b w:val="0"/>
                <w:color w:val="1F2937"/>
                <w:sz w:val="18"/>
              </w:rPr>
              <w:t>0.5095</w:t>
            </w:r>
          </w:p>
        </w:tc>
      </w:tr>
      <w:tr>
        <w:tc>
          <w:tcPr>
            <w:tcW w:type="dxa" w:w="2016"/>
            <w:shd w:fill="FFFFFF"/>
            <w:vAlign w:val="center"/>
          </w:tcPr>
          <w:p>
            <w:r/>
            <w:r>
              <w:rPr>
                <w:rFonts w:ascii="Aptos" w:hAnsi="Aptos"/>
                <w:b w:val="0"/>
                <w:color w:val="1F2937"/>
                <w:sz w:val="18"/>
              </w:rPr>
              <w:t>0.60</w:t>
            </w:r>
          </w:p>
        </w:tc>
        <w:tc>
          <w:tcPr>
            <w:tcW w:type="dxa" w:w="2160"/>
            <w:shd w:fill="FFFFFF"/>
            <w:vAlign w:val="center"/>
          </w:tcPr>
          <w:p>
            <w:r/>
            <w:r>
              <w:rPr>
                <w:rFonts w:ascii="Aptos" w:hAnsi="Aptos"/>
                <w:b w:val="0"/>
                <w:color w:val="1F2937"/>
                <w:sz w:val="18"/>
              </w:rPr>
              <w:t>0.4385</w:t>
            </w:r>
          </w:p>
        </w:tc>
        <w:tc>
          <w:tcPr>
            <w:tcW w:type="dxa" w:w="2160"/>
            <w:shd w:fill="FFFFFF"/>
            <w:vAlign w:val="center"/>
          </w:tcPr>
          <w:p>
            <w:r/>
            <w:r>
              <w:rPr>
                <w:rFonts w:ascii="Aptos" w:hAnsi="Aptos"/>
                <w:b w:val="0"/>
                <w:color w:val="1F2937"/>
                <w:sz w:val="18"/>
              </w:rPr>
              <w:t>0.5816</w:t>
            </w:r>
          </w:p>
        </w:tc>
        <w:tc>
          <w:tcPr>
            <w:tcW w:type="dxa" w:w="2160"/>
            <w:shd w:fill="FFFFFF"/>
            <w:vAlign w:val="center"/>
          </w:tcPr>
          <w:p>
            <w:r/>
            <w:r>
              <w:rPr>
                <w:rFonts w:ascii="Aptos" w:hAnsi="Aptos"/>
                <w:b w:val="0"/>
                <w:color w:val="1F2937"/>
                <w:sz w:val="18"/>
              </w:rPr>
              <w:t>0.5000</w:t>
            </w:r>
          </w:p>
        </w:tc>
      </w:tr>
    </w:tbl>
    <w:p>
      <w:pPr>
        <w:spacing w:after="40"/>
      </w:pPr>
    </w:p>
    <w:p>
      <w:pPr>
        <w:jc w:val="center"/>
      </w:pPr>
      <w:r>
        <w:drawing>
          <wp:inline xmlns:a="http://schemas.openxmlformats.org/drawingml/2006/main" xmlns:pic="http://schemas.openxmlformats.org/drawingml/2006/picture">
            <wp:extent cx="5943600" cy="2815226"/>
            <wp:docPr id="3" name="Picture 3" descr="Figure 3. Threshold analysis chart showing Precision, Recall, and F1 trade-offs across classification thresholds with the default 0.50 threshold marked." title="Threshold analysis chart showing Precision, Recall, and F1 trade-offs across classification thresholds with the default 0.50 threshold marked."/>
            <wp:cNvGraphicFramePr>
              <a:graphicFrameLocks noChangeAspect="1"/>
            </wp:cNvGraphicFramePr>
            <a:graphic>
              <a:graphicData uri="http://schemas.openxmlformats.org/drawingml/2006/picture">
                <pic:pic>
                  <pic:nvPicPr>
                    <pic:cNvPr id="0" name="churn_threshold.png"/>
                    <pic:cNvPicPr/>
                  </pic:nvPicPr>
                  <pic:blipFill>
                    <a:blip r:embed="rId13"/>
                    <a:stretch>
                      <a:fillRect/>
                    </a:stretch>
                  </pic:blipFill>
                  <pic:spPr>
                    <a:xfrm>
                      <a:off x="0" y="0"/>
                      <a:ext cx="5943600" cy="2815226"/>
                    </a:xfrm>
                    <a:prstGeom prst="rect"/>
                  </pic:spPr>
                </pic:pic>
              </a:graphicData>
            </a:graphic>
          </wp:inline>
        </w:drawing>
      </w:r>
    </w:p>
    <w:p>
      <w:pPr>
        <w:spacing w:before="60" w:after="200"/>
        <w:jc w:val="center"/>
      </w:pPr>
      <w:r>
        <w:rPr>
          <w:i/>
          <w:color w:val="6B7280"/>
          <w:sz w:val="18"/>
        </w:rPr>
        <w:t>Figure 3. Threshold analysis showing Precision, Recall, and F1 trade-offs across classification thresholds.</w:t>
      </w:r>
    </w:p>
    <w:p>
      <w:pPr>
        <w:pStyle w:val="BodyText"/>
        <w:spacing w:after="140" w:line="269" w:lineRule="auto"/>
      </w:pPr>
      <w:r>
        <w:rPr>
          <w:color w:val="1F2937"/>
        </w:rPr>
        <w:t>The default classification threshold remains 0.50. The dashboard uses the continuous Churn_Probability for operational risk tiers rather than silently replacing the binary threshold with a different cutoff.</w:t>
      </w:r>
    </w:p>
    <w:p>
      <w:pPr>
        <w:pStyle w:val="Heading1"/>
      </w:pPr>
      <w:r>
        <w:rPr>
          <w:rFonts w:ascii="Aptos Display" w:hAnsi="Aptos Display"/>
        </w:rPr>
        <w:t>11. Model Coefficient Associations</w:t>
      </w:r>
    </w:p>
    <w:p>
      <w:pPr>
        <w:pStyle w:val="BodyText"/>
        <w:spacing w:after="140" w:line="269" w:lineRule="auto"/>
      </w:pPr>
      <w:r>
        <w:rPr>
          <w:color w:val="1F2937"/>
        </w:rPr>
        <w:t>Because the model is standardized Logistic Regression, the coefficient signs and magnitudes can be inspected as associations with predicted inactivity risk. They should not be interpreted as independent causal effects, particularly because customer behavior measures such as Monetary, Frequency, and AvgOrderValue can be correlated.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7365D"/>
            <w:vAlign w:val="center"/>
          </w:tcPr>
          <w:p>
            <w:r/>
            <w:r>
              <w:rPr>
                <w:rFonts w:ascii="Aptos" w:hAnsi="Aptos"/>
                <w:b/>
                <w:color w:val="FFFFFF"/>
                <w:sz w:val="18"/>
              </w:rPr>
              <w:t>Feature</w:t>
            </w:r>
          </w:p>
        </w:tc>
        <w:tc>
          <w:tcPr>
            <w:tcW w:type="dxa" w:w="2016"/>
            <w:shd w:fill="17365D"/>
            <w:vAlign w:val="center"/>
          </w:tcPr>
          <w:p>
            <w:r/>
            <w:r>
              <w:rPr>
                <w:rFonts w:ascii="Aptos" w:hAnsi="Aptos"/>
                <w:b/>
                <w:color w:val="FFFFFF"/>
                <w:sz w:val="18"/>
              </w:rPr>
              <w:t>Coefficient</w:t>
            </w:r>
          </w:p>
        </w:tc>
        <w:tc>
          <w:tcPr>
            <w:tcW w:type="dxa" w:w="4320"/>
            <w:shd w:fill="17365D"/>
            <w:vAlign w:val="center"/>
          </w:tcPr>
          <w:p>
            <w:r/>
            <w:r>
              <w:rPr>
                <w:rFonts w:ascii="Aptos" w:hAnsi="Aptos"/>
                <w:b/>
                <w:color w:val="FFFFFF"/>
                <w:sz w:val="18"/>
              </w:rPr>
              <w:t>Direction in fitted model</w:t>
            </w:r>
          </w:p>
        </w:tc>
      </w:tr>
      <w:tr>
        <w:tc>
          <w:tcPr>
            <w:tcW w:type="dxa" w:w="2880"/>
            <w:shd w:fill="FFFFFF"/>
            <w:vAlign w:val="center"/>
          </w:tcPr>
          <w:p>
            <w:r/>
            <w:r>
              <w:rPr>
                <w:rFonts w:ascii="Aptos" w:hAnsi="Aptos"/>
                <w:b w:val="0"/>
                <w:color w:val="1F2937"/>
                <w:sz w:val="18"/>
              </w:rPr>
              <w:t>Monetary</w:t>
            </w:r>
          </w:p>
        </w:tc>
        <w:tc>
          <w:tcPr>
            <w:tcW w:type="dxa" w:w="2016"/>
            <w:shd w:fill="FFFFFF"/>
            <w:vAlign w:val="center"/>
          </w:tcPr>
          <w:p>
            <w:r/>
            <w:r>
              <w:rPr>
                <w:rFonts w:ascii="Aptos" w:hAnsi="Aptos"/>
                <w:b w:val="0"/>
                <w:color w:val="1F2937"/>
                <w:sz w:val="18"/>
              </w:rPr>
              <w:t>+0.374</w:t>
            </w:r>
          </w:p>
        </w:tc>
        <w:tc>
          <w:tcPr>
            <w:tcW w:type="dxa" w:w="4320"/>
            <w:shd w:fill="FFFFFF"/>
            <w:vAlign w:val="center"/>
          </w:tcPr>
          <w:p>
            <w:r/>
            <w:r>
              <w:rPr>
                <w:rFonts w:ascii="Aptos" w:hAnsi="Aptos"/>
                <w:b w:val="0"/>
                <w:color w:val="1F2937"/>
                <w:sz w:val="18"/>
              </w:rPr>
              <w:t>Associated with higher predicted inactivity risk</w:t>
            </w:r>
          </w:p>
        </w:tc>
      </w:tr>
      <w:tr>
        <w:tc>
          <w:tcPr>
            <w:tcW w:type="dxa" w:w="2880"/>
            <w:shd w:fill="F3F5F7"/>
            <w:vAlign w:val="center"/>
          </w:tcPr>
          <w:p>
            <w:r/>
            <w:r>
              <w:rPr>
                <w:rFonts w:ascii="Aptos" w:hAnsi="Aptos"/>
                <w:b w:val="0"/>
                <w:color w:val="1F2937"/>
                <w:sz w:val="18"/>
              </w:rPr>
              <w:t>Recency</w:t>
            </w:r>
          </w:p>
        </w:tc>
        <w:tc>
          <w:tcPr>
            <w:tcW w:type="dxa" w:w="2016"/>
            <w:shd w:fill="F3F5F7"/>
            <w:vAlign w:val="center"/>
          </w:tcPr>
          <w:p>
            <w:r/>
            <w:r>
              <w:rPr>
                <w:rFonts w:ascii="Aptos" w:hAnsi="Aptos"/>
                <w:b w:val="0"/>
                <w:color w:val="1F2937"/>
                <w:sz w:val="18"/>
              </w:rPr>
              <w:t>+0.132</w:t>
            </w:r>
          </w:p>
        </w:tc>
        <w:tc>
          <w:tcPr>
            <w:tcW w:type="dxa" w:w="4320"/>
            <w:shd w:fill="F3F5F7"/>
            <w:vAlign w:val="center"/>
          </w:tcPr>
          <w:p>
            <w:r/>
            <w:r>
              <w:rPr>
                <w:rFonts w:ascii="Aptos" w:hAnsi="Aptos"/>
                <w:b w:val="0"/>
                <w:color w:val="1F2937"/>
                <w:sz w:val="18"/>
              </w:rPr>
              <w:t>Associated with higher predicted inactivity risk</w:t>
            </w:r>
          </w:p>
        </w:tc>
      </w:tr>
      <w:tr>
        <w:tc>
          <w:tcPr>
            <w:tcW w:type="dxa" w:w="2880"/>
            <w:shd w:fill="FFFFFF"/>
            <w:vAlign w:val="center"/>
          </w:tcPr>
          <w:p>
            <w:r/>
            <w:r>
              <w:rPr>
                <w:rFonts w:ascii="Aptos" w:hAnsi="Aptos"/>
                <w:b w:val="0"/>
                <w:color w:val="1F2937"/>
                <w:sz w:val="18"/>
              </w:rPr>
              <w:t>TenureDays</w:t>
            </w:r>
          </w:p>
        </w:tc>
        <w:tc>
          <w:tcPr>
            <w:tcW w:type="dxa" w:w="2016"/>
            <w:shd w:fill="FFFFFF"/>
            <w:vAlign w:val="center"/>
          </w:tcPr>
          <w:p>
            <w:r/>
            <w:r>
              <w:rPr>
                <w:rFonts w:ascii="Aptos" w:hAnsi="Aptos"/>
                <w:b w:val="0"/>
                <w:color w:val="1F2937"/>
                <w:sz w:val="18"/>
              </w:rPr>
              <w:t>+0.123</w:t>
            </w:r>
          </w:p>
        </w:tc>
        <w:tc>
          <w:tcPr>
            <w:tcW w:type="dxa" w:w="4320"/>
            <w:shd w:fill="FFFFFF"/>
            <w:vAlign w:val="center"/>
          </w:tcPr>
          <w:p>
            <w:r/>
            <w:r>
              <w:rPr>
                <w:rFonts w:ascii="Aptos" w:hAnsi="Aptos"/>
                <w:b w:val="0"/>
                <w:color w:val="1F2937"/>
                <w:sz w:val="18"/>
              </w:rPr>
              <w:t>Associated with higher predicted inactivity risk</w:t>
            </w:r>
          </w:p>
        </w:tc>
      </w:tr>
      <w:tr>
        <w:tc>
          <w:tcPr>
            <w:tcW w:type="dxa" w:w="2880"/>
            <w:shd w:fill="F3F5F7"/>
            <w:vAlign w:val="center"/>
          </w:tcPr>
          <w:p>
            <w:r/>
            <w:r>
              <w:rPr>
                <w:rFonts w:ascii="Aptos" w:hAnsi="Aptos"/>
                <w:b w:val="0"/>
                <w:color w:val="1F2937"/>
                <w:sz w:val="18"/>
              </w:rPr>
              <w:t>ActiveMonths</w:t>
            </w:r>
          </w:p>
        </w:tc>
        <w:tc>
          <w:tcPr>
            <w:tcW w:type="dxa" w:w="2016"/>
            <w:shd w:fill="F3F5F7"/>
            <w:vAlign w:val="center"/>
          </w:tcPr>
          <w:p>
            <w:r/>
            <w:r>
              <w:rPr>
                <w:rFonts w:ascii="Aptos" w:hAnsi="Aptos"/>
                <w:b w:val="0"/>
                <w:color w:val="1F2937"/>
                <w:sz w:val="18"/>
              </w:rPr>
              <w:t>−0.790</w:t>
            </w:r>
          </w:p>
        </w:tc>
        <w:tc>
          <w:tcPr>
            <w:tcW w:type="dxa" w:w="4320"/>
            <w:shd w:fill="F3F5F7"/>
            <w:vAlign w:val="center"/>
          </w:tcPr>
          <w:p>
            <w:r/>
            <w:r>
              <w:rPr>
                <w:rFonts w:ascii="Aptos" w:hAnsi="Aptos"/>
                <w:b w:val="0"/>
                <w:color w:val="1F2937"/>
                <w:sz w:val="18"/>
              </w:rPr>
              <w:t>Associated with lower predicted inactivity risk</w:t>
            </w:r>
          </w:p>
        </w:tc>
      </w:tr>
      <w:tr>
        <w:tc>
          <w:tcPr>
            <w:tcW w:type="dxa" w:w="2880"/>
            <w:shd w:fill="FFFFFF"/>
            <w:vAlign w:val="center"/>
          </w:tcPr>
          <w:p>
            <w:r/>
            <w:r>
              <w:rPr>
                <w:rFonts w:ascii="Aptos" w:hAnsi="Aptos"/>
                <w:b w:val="0"/>
                <w:color w:val="1F2937"/>
                <w:sz w:val="18"/>
              </w:rPr>
              <w:t>Frequency</w:t>
            </w:r>
          </w:p>
        </w:tc>
        <w:tc>
          <w:tcPr>
            <w:tcW w:type="dxa" w:w="2016"/>
            <w:shd w:fill="FFFFFF"/>
            <w:vAlign w:val="center"/>
          </w:tcPr>
          <w:p>
            <w:r/>
            <w:r>
              <w:rPr>
                <w:rFonts w:ascii="Aptos" w:hAnsi="Aptos"/>
                <w:b w:val="0"/>
                <w:color w:val="1F2937"/>
                <w:sz w:val="18"/>
              </w:rPr>
              <w:t>−0.774</w:t>
            </w:r>
          </w:p>
        </w:tc>
        <w:tc>
          <w:tcPr>
            <w:tcW w:type="dxa" w:w="4320"/>
            <w:shd w:fill="FFFFFF"/>
            <w:vAlign w:val="center"/>
          </w:tcPr>
          <w:p>
            <w:r/>
            <w:r>
              <w:rPr>
                <w:rFonts w:ascii="Aptos" w:hAnsi="Aptos"/>
                <w:b w:val="0"/>
                <w:color w:val="1F2937"/>
                <w:sz w:val="18"/>
              </w:rPr>
              <w:t>Associated with lower predicted inactivity risk</w:t>
            </w:r>
          </w:p>
        </w:tc>
      </w:tr>
      <w:tr>
        <w:tc>
          <w:tcPr>
            <w:tcW w:type="dxa" w:w="2880"/>
            <w:shd w:fill="F3F5F7"/>
            <w:vAlign w:val="center"/>
          </w:tcPr>
          <w:p>
            <w:r/>
            <w:r>
              <w:rPr>
                <w:rFonts w:ascii="Aptos" w:hAnsi="Aptos"/>
                <w:b w:val="0"/>
                <w:color w:val="1F2937"/>
                <w:sz w:val="18"/>
              </w:rPr>
              <w:t>TotalItems</w:t>
            </w:r>
          </w:p>
        </w:tc>
        <w:tc>
          <w:tcPr>
            <w:tcW w:type="dxa" w:w="2016"/>
            <w:shd w:fill="F3F5F7"/>
            <w:vAlign w:val="center"/>
          </w:tcPr>
          <w:p>
            <w:r/>
            <w:r>
              <w:rPr>
                <w:rFonts w:ascii="Aptos" w:hAnsi="Aptos"/>
                <w:b w:val="0"/>
                <w:color w:val="1F2937"/>
                <w:sz w:val="18"/>
              </w:rPr>
              <w:t>−0.769</w:t>
            </w:r>
          </w:p>
        </w:tc>
        <w:tc>
          <w:tcPr>
            <w:tcW w:type="dxa" w:w="4320"/>
            <w:shd w:fill="F3F5F7"/>
            <w:vAlign w:val="center"/>
          </w:tcPr>
          <w:p>
            <w:r/>
            <w:r>
              <w:rPr>
                <w:rFonts w:ascii="Aptos" w:hAnsi="Aptos"/>
                <w:b w:val="0"/>
                <w:color w:val="1F2937"/>
                <w:sz w:val="18"/>
              </w:rPr>
              <w:t>Associated with lower predicted inactivity risk</w:t>
            </w:r>
          </w:p>
        </w:tc>
      </w:tr>
      <w:tr>
        <w:tc>
          <w:tcPr>
            <w:tcW w:type="dxa" w:w="2880"/>
            <w:shd w:fill="FFFFFF"/>
            <w:vAlign w:val="center"/>
          </w:tcPr>
          <w:p>
            <w:r/>
            <w:r>
              <w:rPr>
                <w:rFonts w:ascii="Aptos" w:hAnsi="Aptos"/>
                <w:b w:val="0"/>
                <w:color w:val="1F2937"/>
                <w:sz w:val="18"/>
              </w:rPr>
              <w:t>UniqueProducts</w:t>
            </w:r>
          </w:p>
        </w:tc>
        <w:tc>
          <w:tcPr>
            <w:tcW w:type="dxa" w:w="2016"/>
            <w:shd w:fill="FFFFFF"/>
            <w:vAlign w:val="center"/>
          </w:tcPr>
          <w:p>
            <w:r/>
            <w:r>
              <w:rPr>
                <w:rFonts w:ascii="Aptos" w:hAnsi="Aptos"/>
                <w:b w:val="0"/>
                <w:color w:val="1F2937"/>
                <w:sz w:val="18"/>
              </w:rPr>
              <w:t>−0.410</w:t>
            </w:r>
          </w:p>
        </w:tc>
        <w:tc>
          <w:tcPr>
            <w:tcW w:type="dxa" w:w="4320"/>
            <w:shd w:fill="FFFFFF"/>
            <w:vAlign w:val="center"/>
          </w:tcPr>
          <w:p>
            <w:r/>
            <w:r>
              <w:rPr>
                <w:rFonts w:ascii="Aptos" w:hAnsi="Aptos"/>
                <w:b w:val="0"/>
                <w:color w:val="1F2937"/>
                <w:sz w:val="18"/>
              </w:rPr>
              <w:t>Associated with lower predicted inactivity risk</w:t>
            </w:r>
          </w:p>
        </w:tc>
      </w:tr>
    </w:tbl>
    <w:p>
      <w:pPr>
        <w:spacing w:after="40"/>
      </w:pPr>
    </w:p>
    <w:p>
      <w:pPr>
        <w:jc w:val="center"/>
      </w:pPr>
      <w:r>
        <w:drawing>
          <wp:inline xmlns:a="http://schemas.openxmlformats.org/drawingml/2006/main" xmlns:pic="http://schemas.openxmlformats.org/drawingml/2006/picture">
            <wp:extent cx="5943600" cy="2998154"/>
            <wp:docPr id="4" name="Picture 4" descr="Figure 4. Logistic Regression model coefficient associations showing standardized positive and negative feature coefficients related to predicted inactivity risk." title="Logistic Regression model coefficient associations showing standardized positive and negative feature coefficients related to predicted inactivity risk."/>
            <wp:cNvGraphicFramePr>
              <a:graphicFrameLocks noChangeAspect="1"/>
            </wp:cNvGraphicFramePr>
            <a:graphic>
              <a:graphicData uri="http://schemas.openxmlformats.org/drawingml/2006/picture">
                <pic:pic>
                  <pic:nvPicPr>
                    <pic:cNvPr id="0" name="coefficient.png"/>
                    <pic:cNvPicPr/>
                  </pic:nvPicPr>
                  <pic:blipFill>
                    <a:blip r:embed="rId14"/>
                    <a:stretch>
                      <a:fillRect/>
                    </a:stretch>
                  </pic:blipFill>
                  <pic:spPr>
                    <a:xfrm>
                      <a:off x="0" y="0"/>
                      <a:ext cx="5943600" cy="2998154"/>
                    </a:xfrm>
                    <a:prstGeom prst="rect"/>
                  </pic:spPr>
                </pic:pic>
              </a:graphicData>
            </a:graphic>
          </wp:inline>
        </w:drawing>
      </w:r>
    </w:p>
    <w:p>
      <w:pPr>
        <w:spacing w:before="60" w:after="200"/>
        <w:jc w:val="center"/>
      </w:pPr>
      <w:r>
        <w:rPr>
          <w:i/>
          <w:color w:val="6B7280"/>
          <w:sz w:val="18"/>
        </w:rPr>
        <w:t>Figure 4. Model coefficient associations shown in the Churn / Risk Analytics dashboard.</w:t>
      </w:r>
    </w:p>
    <w:p>
      <w:pPr>
        <w:pStyle w:val="BodyText"/>
        <w:spacing w:after="140" w:line="269" w:lineRule="auto"/>
      </w:pPr>
      <w:r>
        <w:rPr>
          <w:color w:val="1F2937"/>
        </w:rPr>
        <w:t>The final interpretation emphasizes directional association rather than causality. In particular, the positive Monetary coefficient should be interpreted alongside correlated Frequency, TotalItems, and AvgOrderValue measures rather than as evidence that spending causes inactivity.</w:t>
      </w:r>
    </w:p>
    <w:p>
      <w:pPr>
        <w:pStyle w:val="Heading1"/>
      </w:pPr>
      <w:r>
        <w:rPr>
          <w:rFonts w:ascii="Aptos Display" w:hAnsi="Aptos Display"/>
        </w:rPr>
        <w:t>12. Customer Risk Segmentation and Retention Decision Support</w:t>
      </w:r>
    </w:p>
    <w:p>
      <w:pPr>
        <w:pStyle w:val="BodyText"/>
        <w:spacing w:after="140" w:line="269" w:lineRule="auto"/>
      </w:pPr>
      <w:r>
        <w:rPr>
          <w:color w:val="1F2937"/>
        </w:rPr>
        <w:t>The dashboard applies the saved model to the full set of 1,765 eligible customers to obtain continuous Churn_Probability values. Risk tiers are then assigned using the approved operational distribution rule: the bottom 40% are Low Risk, the middle 40% are Medium Risk, and the top 20% are High Risk.</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7365D"/>
            <w:vAlign w:val="center"/>
          </w:tcPr>
          <w:p>
            <w:r/>
            <w:r>
              <w:rPr>
                <w:rFonts w:ascii="Aptos" w:hAnsi="Aptos"/>
                <w:b/>
                <w:color w:val="FFFFFF"/>
                <w:sz w:val="18"/>
              </w:rPr>
              <w:t>Operational tier</w:t>
            </w:r>
          </w:p>
        </w:tc>
        <w:tc>
          <w:tcPr>
            <w:tcW w:type="dxa" w:w="4608"/>
            <w:shd w:fill="17365D"/>
            <w:vAlign w:val="center"/>
          </w:tcPr>
          <w:p>
            <w:r/>
            <w:r>
              <w:rPr>
                <w:rFonts w:ascii="Aptos" w:hAnsi="Aptos"/>
                <w:b/>
                <w:color w:val="FFFFFF"/>
                <w:sz w:val="18"/>
              </w:rPr>
              <w:t>Population rule</w:t>
            </w:r>
          </w:p>
        </w:tc>
        <w:tc>
          <w:tcPr>
            <w:tcW w:type="dxa" w:w="1728"/>
            <w:shd w:fill="17365D"/>
            <w:vAlign w:val="center"/>
          </w:tcPr>
          <w:p>
            <w:r/>
            <w:r>
              <w:rPr>
                <w:rFonts w:ascii="Aptos" w:hAnsi="Aptos"/>
                <w:b/>
                <w:color w:val="FFFFFF"/>
                <w:sz w:val="18"/>
              </w:rPr>
              <w:t>Customers</w:t>
            </w:r>
          </w:p>
        </w:tc>
      </w:tr>
      <w:tr>
        <w:tc>
          <w:tcPr>
            <w:tcW w:type="dxa" w:w="2880"/>
            <w:shd w:fill="FFFFFF"/>
            <w:vAlign w:val="center"/>
          </w:tcPr>
          <w:p>
            <w:r/>
            <w:r>
              <w:rPr>
                <w:rFonts w:ascii="Aptos" w:hAnsi="Aptos"/>
                <w:b w:val="0"/>
                <w:color w:val="1F2937"/>
                <w:sz w:val="18"/>
              </w:rPr>
              <w:t>Low Risk</w:t>
            </w:r>
          </w:p>
        </w:tc>
        <w:tc>
          <w:tcPr>
            <w:tcW w:type="dxa" w:w="4608"/>
            <w:shd w:fill="FFFFFF"/>
            <w:vAlign w:val="center"/>
          </w:tcPr>
          <w:p>
            <w:r/>
            <w:r>
              <w:rPr>
                <w:rFonts w:ascii="Aptos" w:hAnsi="Aptos"/>
                <w:b w:val="0"/>
                <w:color w:val="1F2937"/>
                <w:sz w:val="18"/>
              </w:rPr>
              <w:t>Bottom 40% of predicted probability</w:t>
            </w:r>
          </w:p>
        </w:tc>
        <w:tc>
          <w:tcPr>
            <w:tcW w:type="dxa" w:w="1728"/>
            <w:shd w:fill="FFFFFF"/>
            <w:vAlign w:val="center"/>
          </w:tcPr>
          <w:p>
            <w:r/>
            <w:r>
              <w:rPr>
                <w:rFonts w:ascii="Aptos" w:hAnsi="Aptos"/>
                <w:b w:val="0"/>
                <w:color w:val="1F2937"/>
                <w:sz w:val="18"/>
              </w:rPr>
              <w:t>706</w:t>
            </w:r>
          </w:p>
        </w:tc>
      </w:tr>
      <w:tr>
        <w:tc>
          <w:tcPr>
            <w:tcW w:type="dxa" w:w="2880"/>
            <w:shd w:fill="F3F5F7"/>
            <w:vAlign w:val="center"/>
          </w:tcPr>
          <w:p>
            <w:r/>
            <w:r>
              <w:rPr>
                <w:rFonts w:ascii="Aptos" w:hAnsi="Aptos"/>
                <w:b w:val="0"/>
                <w:color w:val="1F2937"/>
                <w:sz w:val="18"/>
              </w:rPr>
              <w:t>Medium Risk</w:t>
            </w:r>
          </w:p>
        </w:tc>
        <w:tc>
          <w:tcPr>
            <w:tcW w:type="dxa" w:w="4608"/>
            <w:shd w:fill="F3F5F7"/>
            <w:vAlign w:val="center"/>
          </w:tcPr>
          <w:p>
            <w:r/>
            <w:r>
              <w:rPr>
                <w:rFonts w:ascii="Aptos" w:hAnsi="Aptos"/>
                <w:b w:val="0"/>
                <w:color w:val="1F2937"/>
                <w:sz w:val="18"/>
              </w:rPr>
              <w:t>40th–80th percentile</w:t>
            </w:r>
          </w:p>
        </w:tc>
        <w:tc>
          <w:tcPr>
            <w:tcW w:type="dxa" w:w="1728"/>
            <w:shd w:fill="F3F5F7"/>
            <w:vAlign w:val="center"/>
          </w:tcPr>
          <w:p>
            <w:r/>
            <w:r>
              <w:rPr>
                <w:rFonts w:ascii="Aptos" w:hAnsi="Aptos"/>
                <w:b w:val="0"/>
                <w:color w:val="1F2937"/>
                <w:sz w:val="18"/>
              </w:rPr>
              <w:t>706</w:t>
            </w:r>
          </w:p>
        </w:tc>
      </w:tr>
      <w:tr>
        <w:tc>
          <w:tcPr>
            <w:tcW w:type="dxa" w:w="2880"/>
            <w:shd w:fill="FFFFFF"/>
            <w:vAlign w:val="center"/>
          </w:tcPr>
          <w:p>
            <w:r/>
            <w:r>
              <w:rPr>
                <w:rFonts w:ascii="Aptos" w:hAnsi="Aptos"/>
                <w:b w:val="0"/>
                <w:color w:val="1F2937"/>
                <w:sz w:val="18"/>
              </w:rPr>
              <w:t>High Risk</w:t>
            </w:r>
          </w:p>
        </w:tc>
        <w:tc>
          <w:tcPr>
            <w:tcW w:type="dxa" w:w="4608"/>
            <w:shd w:fill="FFFFFF"/>
            <w:vAlign w:val="center"/>
          </w:tcPr>
          <w:p>
            <w:r/>
            <w:r>
              <w:rPr>
                <w:rFonts w:ascii="Aptos" w:hAnsi="Aptos"/>
                <w:b w:val="0"/>
                <w:color w:val="1F2937"/>
                <w:sz w:val="18"/>
              </w:rPr>
              <w:t>Top 20% of predicted probability</w:t>
            </w:r>
          </w:p>
        </w:tc>
        <w:tc>
          <w:tcPr>
            <w:tcW w:type="dxa" w:w="1728"/>
            <w:shd w:fill="FFFFFF"/>
            <w:vAlign w:val="center"/>
          </w:tcPr>
          <w:p>
            <w:r/>
            <w:r>
              <w:rPr>
                <w:rFonts w:ascii="Aptos" w:hAnsi="Aptos"/>
                <w:b w:val="0"/>
                <w:color w:val="1F2937"/>
                <w:sz w:val="18"/>
              </w:rPr>
              <w:t>353</w:t>
            </w:r>
          </w:p>
        </w:tc>
      </w:tr>
    </w:tbl>
    <w:p>
      <w:pPr>
        <w:spacing w:after="40"/>
      </w:pPr>
    </w:p>
    <w:p>
      <w:pPr>
        <w:pStyle w:val="BodyText"/>
        <w:spacing w:after="140" w:line="269" w:lineRule="auto"/>
      </w:pPr>
      <w:r>
        <w:rPr>
          <w:color w:val="1F2937"/>
        </w:rPr>
        <w:t>Retention Priority combines predicted risk with historical customer-value segments. The matrix is a decision-support mechanism designed to help users interpret which combinations of risk and value warrant different levels of attention; it is not an experimentally validated intervention policy.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5040"/>
            <w:shd w:fill="17365D"/>
            <w:vAlign w:val="center"/>
          </w:tcPr>
          <w:p>
            <w:r/>
            <w:r>
              <w:rPr>
                <w:rFonts w:ascii="Aptos" w:hAnsi="Aptos"/>
                <w:b/>
                <w:color w:val="FFFFFF"/>
                <w:sz w:val="18"/>
              </w:rPr>
              <w:t>Risk × value context</w:t>
            </w:r>
          </w:p>
        </w:tc>
        <w:tc>
          <w:tcPr>
            <w:tcW w:type="dxa" w:w="4176"/>
            <w:shd w:fill="17365D"/>
            <w:vAlign w:val="center"/>
          </w:tcPr>
          <w:p>
            <w:r/>
            <w:r>
              <w:rPr>
                <w:rFonts w:ascii="Aptos" w:hAnsi="Aptos"/>
                <w:b/>
                <w:color w:val="FFFFFF"/>
                <w:sz w:val="18"/>
              </w:rPr>
              <w:t>Decision-support label</w:t>
            </w:r>
          </w:p>
        </w:tc>
      </w:tr>
      <w:tr>
        <w:tc>
          <w:tcPr>
            <w:tcW w:type="dxa" w:w="5040"/>
            <w:shd w:fill="FFFFFF"/>
            <w:vAlign w:val="center"/>
          </w:tcPr>
          <w:p>
            <w:r/>
            <w:r>
              <w:rPr>
                <w:rFonts w:ascii="Aptos" w:hAnsi="Aptos"/>
                <w:b w:val="0"/>
                <w:color w:val="1F2937"/>
                <w:sz w:val="18"/>
              </w:rPr>
              <w:t>High Risk + Very High / High Value</w:t>
            </w:r>
          </w:p>
        </w:tc>
        <w:tc>
          <w:tcPr>
            <w:tcW w:type="dxa" w:w="4176"/>
            <w:shd w:fill="FFFFFF"/>
            <w:vAlign w:val="center"/>
          </w:tcPr>
          <w:p>
            <w:r/>
            <w:r>
              <w:rPr>
                <w:rFonts w:ascii="Aptos" w:hAnsi="Aptos"/>
                <w:b w:val="0"/>
                <w:color w:val="1F2937"/>
                <w:sz w:val="18"/>
              </w:rPr>
              <w:t>Priority retention attention</w:t>
            </w:r>
          </w:p>
        </w:tc>
      </w:tr>
      <w:tr>
        <w:tc>
          <w:tcPr>
            <w:tcW w:type="dxa" w:w="5040"/>
            <w:shd w:fill="F3F5F7"/>
            <w:vAlign w:val="center"/>
          </w:tcPr>
          <w:p>
            <w:r/>
            <w:r>
              <w:rPr>
                <w:rFonts w:ascii="Aptos" w:hAnsi="Aptos"/>
                <w:b w:val="0"/>
                <w:color w:val="1F2937"/>
                <w:sz w:val="18"/>
              </w:rPr>
              <w:t>High Risk + Medium Value</w:t>
            </w:r>
          </w:p>
        </w:tc>
        <w:tc>
          <w:tcPr>
            <w:tcW w:type="dxa" w:w="4176"/>
            <w:shd w:fill="F3F5F7"/>
            <w:vAlign w:val="center"/>
          </w:tcPr>
          <w:p>
            <w:r/>
            <w:r>
              <w:rPr>
                <w:rFonts w:ascii="Aptos" w:hAnsi="Aptos"/>
                <w:b w:val="0"/>
                <w:color w:val="1F2937"/>
                <w:sz w:val="18"/>
              </w:rPr>
              <w:t>Targeted attention</w:t>
            </w:r>
          </w:p>
        </w:tc>
      </w:tr>
      <w:tr>
        <w:tc>
          <w:tcPr>
            <w:tcW w:type="dxa" w:w="5040"/>
            <w:shd w:fill="FFFFFF"/>
            <w:vAlign w:val="center"/>
          </w:tcPr>
          <w:p>
            <w:r/>
            <w:r>
              <w:rPr>
                <w:rFonts w:ascii="Aptos" w:hAnsi="Aptos"/>
                <w:b w:val="0"/>
                <w:color w:val="1F2937"/>
                <w:sz w:val="18"/>
              </w:rPr>
              <w:t>High Risk + Lower Value</w:t>
            </w:r>
          </w:p>
        </w:tc>
        <w:tc>
          <w:tcPr>
            <w:tcW w:type="dxa" w:w="4176"/>
            <w:shd w:fill="FFFFFF"/>
            <w:vAlign w:val="center"/>
          </w:tcPr>
          <w:p>
            <w:r/>
            <w:r>
              <w:rPr>
                <w:rFonts w:ascii="Aptos" w:hAnsi="Aptos"/>
                <w:b w:val="0"/>
                <w:color w:val="1F2937"/>
                <w:sz w:val="18"/>
              </w:rPr>
              <w:t>Lower-cost intervention</w:t>
            </w:r>
          </w:p>
        </w:tc>
      </w:tr>
      <w:tr>
        <w:tc>
          <w:tcPr>
            <w:tcW w:type="dxa" w:w="5040"/>
            <w:shd w:fill="F3F5F7"/>
            <w:vAlign w:val="center"/>
          </w:tcPr>
          <w:p>
            <w:r/>
            <w:r>
              <w:rPr>
                <w:rFonts w:ascii="Aptos" w:hAnsi="Aptos"/>
                <w:b w:val="0"/>
                <w:color w:val="1F2937"/>
                <w:sz w:val="18"/>
              </w:rPr>
              <w:t>Medium Risk + High Value</w:t>
            </w:r>
          </w:p>
        </w:tc>
        <w:tc>
          <w:tcPr>
            <w:tcW w:type="dxa" w:w="4176"/>
            <w:shd w:fill="F3F5F7"/>
            <w:vAlign w:val="center"/>
          </w:tcPr>
          <w:p>
            <w:r/>
            <w:r>
              <w:rPr>
                <w:rFonts w:ascii="Aptos" w:hAnsi="Aptos"/>
                <w:b w:val="0"/>
                <w:color w:val="1F2937"/>
                <w:sz w:val="18"/>
              </w:rPr>
              <w:t>Monitor / targeted engagement</w:t>
            </w:r>
          </w:p>
        </w:tc>
      </w:tr>
      <w:tr>
        <w:tc>
          <w:tcPr>
            <w:tcW w:type="dxa" w:w="5040"/>
            <w:shd w:fill="FFFFFF"/>
            <w:vAlign w:val="center"/>
          </w:tcPr>
          <w:p>
            <w:r/>
            <w:r>
              <w:rPr>
                <w:rFonts w:ascii="Aptos" w:hAnsi="Aptos"/>
                <w:b w:val="0"/>
                <w:color w:val="1F2937"/>
                <w:sz w:val="18"/>
              </w:rPr>
              <w:t>Low Risk + High Value</w:t>
            </w:r>
          </w:p>
        </w:tc>
        <w:tc>
          <w:tcPr>
            <w:tcW w:type="dxa" w:w="4176"/>
            <w:shd w:fill="FFFFFF"/>
            <w:vAlign w:val="center"/>
          </w:tcPr>
          <w:p>
            <w:r/>
            <w:r>
              <w:rPr>
                <w:rFonts w:ascii="Aptos" w:hAnsi="Aptos"/>
                <w:b w:val="0"/>
                <w:color w:val="1F2937"/>
                <w:sz w:val="18"/>
              </w:rPr>
              <w:t>Relationship / loyalty attention</w:t>
            </w:r>
          </w:p>
        </w:tc>
      </w:tr>
      <w:tr>
        <w:tc>
          <w:tcPr>
            <w:tcW w:type="dxa" w:w="5040"/>
            <w:shd w:fill="F3F5F7"/>
            <w:vAlign w:val="center"/>
          </w:tcPr>
          <w:p>
            <w:r/>
            <w:r>
              <w:rPr>
                <w:rFonts w:ascii="Aptos" w:hAnsi="Aptos"/>
                <w:b w:val="0"/>
                <w:color w:val="1F2937"/>
                <w:sz w:val="18"/>
              </w:rPr>
              <w:t>Low Risk + Lower Value</w:t>
            </w:r>
          </w:p>
        </w:tc>
        <w:tc>
          <w:tcPr>
            <w:tcW w:type="dxa" w:w="4176"/>
            <w:shd w:fill="F3F5F7"/>
            <w:vAlign w:val="center"/>
          </w:tcPr>
          <w:p>
            <w:r/>
            <w:r>
              <w:rPr>
                <w:rFonts w:ascii="Aptos" w:hAnsi="Aptos"/>
                <w:b w:val="0"/>
                <w:color w:val="1F2937"/>
                <w:sz w:val="18"/>
              </w:rPr>
              <w:t>Standard engagement</w:t>
            </w:r>
          </w:p>
        </w:tc>
      </w:tr>
    </w:tbl>
    <w:p>
      <w:pPr>
        <w:spacing w:after="40"/>
      </w:pPr>
    </w:p>
    <w:p>
      <w:pPr>
        <w:jc w:val="center"/>
      </w:pPr>
      <w:r>
        <w:drawing>
          <wp:inline xmlns:a="http://schemas.openxmlformats.org/drawingml/2006/main" xmlns:pic="http://schemas.openxmlformats.org/drawingml/2006/picture">
            <wp:extent cx="5943600" cy="2821427"/>
            <wp:docPr id="5" name="Picture 5" descr="Figure 5. Customer Risk Explorer individual customer profile for CustomerID 12347 showing behavioral metrics, RFM profile, predicted inactivity probability, risk tier, and retention priority." title="Customer Risk Explorer individual customer profile for CustomerID 12347 showing behavioral metrics, RFM profile, predicted inactivity probability, risk tier, and retention priority."/>
            <wp:cNvGraphicFramePr>
              <a:graphicFrameLocks noChangeAspect="1"/>
            </wp:cNvGraphicFramePr>
            <a:graphic>
              <a:graphicData uri="http://schemas.openxmlformats.org/drawingml/2006/picture">
                <pic:pic>
                  <pic:nvPicPr>
                    <pic:cNvPr id="0" name="risk_profile.png"/>
                    <pic:cNvPicPr/>
                  </pic:nvPicPr>
                  <pic:blipFill>
                    <a:blip r:embed="rId15"/>
                    <a:stretch>
                      <a:fillRect/>
                    </a:stretch>
                  </pic:blipFill>
                  <pic:spPr>
                    <a:xfrm>
                      <a:off x="0" y="0"/>
                      <a:ext cx="5943600" cy="2821427"/>
                    </a:xfrm>
                    <a:prstGeom prst="rect"/>
                  </pic:spPr>
                </pic:pic>
              </a:graphicData>
            </a:graphic>
          </wp:inline>
        </w:drawing>
      </w:r>
    </w:p>
    <w:p>
      <w:pPr>
        <w:spacing w:before="60" w:after="200"/>
        <w:jc w:val="center"/>
      </w:pPr>
      <w:r>
        <w:rPr>
          <w:i/>
          <w:color w:val="6B7280"/>
          <w:sz w:val="18"/>
        </w:rPr>
        <w:t>Figure 5. Customer Risk Explorer — individual customer behavioral profile, RFM profile, predicted inactivity probability, and retention priority.</w:t>
      </w:r>
    </w:p>
    <w:p>
      <w:pPr>
        <w:jc w:val="center"/>
      </w:pPr>
      <w:r>
        <w:drawing>
          <wp:inline xmlns:a="http://schemas.openxmlformats.org/drawingml/2006/main" xmlns:pic="http://schemas.openxmlformats.org/drawingml/2006/picture">
            <wp:extent cx="5943600" cy="2812126"/>
            <wp:docPr id="6" name="Picture 6" descr="Figure 6. Customer Risk Explorer customer table showing RFM score and segment, churn probability, risk tier, and retention priority for customers." title="Customer Risk Explorer customer table showing RFM score and segment, churn probability, risk tier, and retention priority for customers."/>
            <wp:cNvGraphicFramePr>
              <a:graphicFrameLocks noChangeAspect="1"/>
            </wp:cNvGraphicFramePr>
            <a:graphic>
              <a:graphicData uri="http://schemas.openxmlformats.org/drawingml/2006/picture">
                <pic:pic>
                  <pic:nvPicPr>
                    <pic:cNvPr id="0" name="risk_table.png"/>
                    <pic:cNvPicPr/>
                  </pic:nvPicPr>
                  <pic:blipFill>
                    <a:blip r:embed="rId16"/>
                    <a:stretch>
                      <a:fillRect/>
                    </a:stretch>
                  </pic:blipFill>
                  <pic:spPr>
                    <a:xfrm>
                      <a:off x="0" y="0"/>
                      <a:ext cx="5943600" cy="2812126"/>
                    </a:xfrm>
                    <a:prstGeom prst="rect"/>
                  </pic:spPr>
                </pic:pic>
              </a:graphicData>
            </a:graphic>
          </wp:inline>
        </w:drawing>
      </w:r>
    </w:p>
    <w:p>
      <w:pPr>
        <w:spacing w:before="60" w:after="200"/>
        <w:jc w:val="center"/>
      </w:pPr>
      <w:r>
        <w:rPr>
          <w:i/>
          <w:color w:val="6B7280"/>
          <w:sz w:val="18"/>
        </w:rPr>
        <w:t>Figure 6. Customer Risk Explorer — customer-level table with RFM score/segment, churn probability, risk tier, and retention priority.</w:t>
      </w:r>
    </w:p>
    <w:p>
      <w:pPr>
        <w:pStyle w:val="Heading1"/>
      </w:pPr>
      <w:r>
        <w:rPr>
          <w:rFonts w:ascii="Aptos Display" w:hAnsi="Aptos Display"/>
        </w:rPr>
        <w:t>13. Streamlit Dashboard</w:t>
      </w:r>
    </w:p>
    <w:p>
      <w:pPr>
        <w:pStyle w:val="BodyText"/>
        <w:spacing w:after="140" w:line="269" w:lineRule="auto"/>
      </w:pPr>
      <w:r>
        <w:rPr>
          <w:color w:val="1F2937"/>
        </w:rPr>
        <w:t>The final application is implemented as a Streamlit dashboard with four sections: Executive Dashboard, Customer &amp; RFM Analytics, Churn / Risk Analytics, and Customer Risk Explorer. The application loads the processed customer table, saved model pipeline, and saved evaluation outputs without retraining the model during normal use.</w:t>
      </w:r>
    </w:p>
    <w:p>
      <w:pPr>
        <w:jc w:val="center"/>
      </w:pPr>
      <w:r>
        <w:drawing>
          <wp:inline xmlns:a="http://schemas.openxmlformats.org/drawingml/2006/main" xmlns:pic="http://schemas.openxmlformats.org/drawingml/2006/picture">
            <wp:extent cx="5943600" cy="2812126"/>
            <wp:docPr id="7" name="Picture 7" descr="Figure 7. Executive Dashboard showing snapshot KPIs, monthly revenue trend, RFM segment distribution, risk-tier distribution, country revenue, and key insights." title="Executive Dashboard showing snapshot KPIs, monthly revenue trend, RFM segment distribution, risk-tier distribution, country revenue, and key insights."/>
            <wp:cNvGraphicFramePr>
              <a:graphicFrameLocks noChangeAspect="1"/>
            </wp:cNvGraphicFramePr>
            <a:graphic>
              <a:graphicData uri="http://schemas.openxmlformats.org/drawingml/2006/picture">
                <pic:pic>
                  <pic:nvPicPr>
                    <pic:cNvPr id="0" name="executive.png"/>
                    <pic:cNvPicPr/>
                  </pic:nvPicPr>
                  <pic:blipFill>
                    <a:blip r:embed="rId17"/>
                    <a:stretch>
                      <a:fillRect/>
                    </a:stretch>
                  </pic:blipFill>
                  <pic:spPr>
                    <a:xfrm>
                      <a:off x="0" y="0"/>
                      <a:ext cx="5943600" cy="2812126"/>
                    </a:xfrm>
                    <a:prstGeom prst="rect"/>
                  </pic:spPr>
                </pic:pic>
              </a:graphicData>
            </a:graphic>
          </wp:inline>
        </w:drawing>
      </w:r>
    </w:p>
    <w:p>
      <w:pPr>
        <w:spacing w:before="60" w:after="200"/>
        <w:jc w:val="center"/>
      </w:pPr>
      <w:r>
        <w:rPr>
          <w:i/>
          <w:color w:val="6B7280"/>
          <w:sz w:val="18"/>
        </w:rPr>
        <w:t>Figure 7. Executive Dashboard — snapshot KPIs, revenue trend, RFM segments, risk tiers, country revenue, and key insights.</w:t>
      </w:r>
    </w:p>
    <w:p>
      <w:pPr>
        <w:pStyle w:val="Heading2"/>
      </w:pPr>
      <w:r>
        <w:rPr>
          <w:rFonts w:ascii="Aptos" w:hAnsi="Aptos"/>
        </w:rPr>
        <w:t>13.1 Executive Dashboard</w:t>
      </w:r>
    </w:p>
    <w:p>
      <w:pPr>
        <w:pStyle w:val="ListBullet"/>
        <w:spacing w:after="60"/>
        <w:ind w:left="259"/>
      </w:pPr>
      <w:r>
        <w:rPr>
          <w:rFonts w:ascii="Aptos" w:hAnsi="Aptos"/>
          <w:color w:val="1F2937"/>
          <w:sz w:val="21"/>
        </w:rPr>
        <w:t>Customers Observed at Snapshot: 3,312</w:t>
      </w:r>
    </w:p>
    <w:p>
      <w:pPr>
        <w:pStyle w:val="ListBullet"/>
        <w:spacing w:after="60"/>
        <w:ind w:left="259"/>
      </w:pPr>
      <w:r>
        <w:rPr>
          <w:rFonts w:ascii="Aptos" w:hAnsi="Aptos"/>
          <w:color w:val="1F2937"/>
          <w:sz w:val="21"/>
        </w:rPr>
        <w:t>Eligible Customers: 1,765</w:t>
      </w:r>
    </w:p>
    <w:p>
      <w:pPr>
        <w:pStyle w:val="ListBullet"/>
        <w:spacing w:after="60"/>
        <w:ind w:left="259"/>
      </w:pPr>
      <w:r>
        <w:rPr>
          <w:rFonts w:ascii="Aptos" w:hAnsi="Aptos"/>
          <w:color w:val="1F2937"/>
          <w:sz w:val="21"/>
        </w:rPr>
        <w:t>Historical Revenue: £4,510,433</w:t>
      </w:r>
    </w:p>
    <w:p>
      <w:pPr>
        <w:pStyle w:val="ListBullet"/>
        <w:spacing w:after="60"/>
        <w:ind w:left="259"/>
      </w:pPr>
      <w:r>
        <w:rPr>
          <w:rFonts w:ascii="Aptos" w:hAnsi="Aptos"/>
          <w:color w:val="1F2937"/>
          <w:sz w:val="21"/>
        </w:rPr>
        <w:t>High-Risk Customers: 353</w:t>
      </w:r>
    </w:p>
    <w:p>
      <w:pPr>
        <w:pStyle w:val="ListBullet"/>
        <w:spacing w:after="60"/>
        <w:ind w:left="259"/>
      </w:pPr>
      <w:r>
        <w:rPr>
          <w:rFonts w:ascii="Aptos" w:hAnsi="Aptos"/>
          <w:color w:val="1F2937"/>
          <w:sz w:val="21"/>
        </w:rPr>
        <w:t>High-Risk Historical Revenue: £220,990</w:t>
      </w:r>
    </w:p>
    <w:p>
      <w:pPr>
        <w:jc w:val="center"/>
      </w:pPr>
      <w:r>
        <w:drawing>
          <wp:inline xmlns:a="http://schemas.openxmlformats.org/drawingml/2006/main" xmlns:pic="http://schemas.openxmlformats.org/drawingml/2006/picture">
            <wp:extent cx="5943600" cy="2824528"/>
            <wp:docPr id="8" name="Picture 8" descr="Figure 8. Customer and RFM Analytics dashboard showing sidebar filters, customer behavior distributions, RFM segmentation, and behavioral scatter plots." title="Customer and RFM Analytics dashboard showing sidebar filters, customer behavior distributions, RFM segmentation, and behavioral scatter plots."/>
            <wp:cNvGraphicFramePr>
              <a:graphicFrameLocks noChangeAspect="1"/>
            </wp:cNvGraphicFramePr>
            <a:graphic>
              <a:graphicData uri="http://schemas.openxmlformats.org/drawingml/2006/picture">
                <pic:pic>
                  <pic:nvPicPr>
                    <pic:cNvPr id="0" name="rfm.png"/>
                    <pic:cNvPicPr/>
                  </pic:nvPicPr>
                  <pic:blipFill>
                    <a:blip r:embed="rId11"/>
                    <a:stretch>
                      <a:fillRect/>
                    </a:stretch>
                  </pic:blipFill>
                  <pic:spPr>
                    <a:xfrm>
                      <a:off x="0" y="0"/>
                      <a:ext cx="5943600" cy="2824528"/>
                    </a:xfrm>
                    <a:prstGeom prst="rect"/>
                  </pic:spPr>
                </pic:pic>
              </a:graphicData>
            </a:graphic>
          </wp:inline>
        </w:drawing>
      </w:r>
    </w:p>
    <w:p>
      <w:pPr>
        <w:spacing w:before="60" w:after="200"/>
        <w:jc w:val="center"/>
      </w:pPr>
      <w:r>
        <w:rPr>
          <w:i/>
          <w:color w:val="6B7280"/>
          <w:sz w:val="18"/>
        </w:rPr>
        <w:t>Figure 8. Customer &amp; RFM Analytics — filters, customer-behavior distributions, RFM segmentation, and behavioral scatter plots.</w:t>
      </w:r>
    </w:p>
    <w:p>
      <w:pPr>
        <w:pStyle w:val="Heading2"/>
      </w:pPr>
      <w:r>
        <w:rPr>
          <w:rFonts w:ascii="Aptos" w:hAnsi="Aptos"/>
        </w:rPr>
        <w:t>13.2 Dashboard Interaction and Validation</w:t>
      </w:r>
    </w:p>
    <w:p>
      <w:pPr>
        <w:pStyle w:val="BodyText"/>
        <w:spacing w:after="140" w:line="269" w:lineRule="auto"/>
      </w:pPr>
      <w:r>
        <w:rPr>
          <w:color w:val="1F2937"/>
        </w:rPr>
        <w:t>The dashboard was tested using valid and invalid customer lookups. CustomerID 12347 returned one customer profile. A non-existent numeric ID (99999999) and a non-numeric input (abc) returned no match without an application error. Dashboard filtering, risk-tier assignment, model loading, and evaluation-output loading were also exercised during the project validation cycle.</w:t>
      </w:r>
    </w:p>
    <w:p>
      <w:pPr>
        <w:jc w:val="center"/>
      </w:pPr>
      <w:r>
        <w:drawing>
          <wp:inline xmlns:a="http://schemas.openxmlformats.org/drawingml/2006/main" xmlns:pic="http://schemas.openxmlformats.org/drawingml/2006/picture">
            <wp:extent cx="5943600" cy="2812126"/>
            <wp:docPr id="9" name="Picture 9" descr="Figure 9. Churn and Risk Analytics dashboard showing observed inactivity, predicted probability distribution, and group-level inactivity analysis." title="Churn and Risk Analytics dashboard showing observed inactivity, predicted probability distribution, and group-level inactivity analysis."/>
            <wp:cNvGraphicFramePr>
              <a:graphicFrameLocks noChangeAspect="1"/>
            </wp:cNvGraphicFramePr>
            <a:graphic>
              <a:graphicData uri="http://schemas.openxmlformats.org/drawingml/2006/picture">
                <pic:pic>
                  <pic:nvPicPr>
                    <pic:cNvPr id="0" name="churn_overview.png"/>
                    <pic:cNvPicPr/>
                  </pic:nvPicPr>
                  <pic:blipFill>
                    <a:blip r:embed="rId18"/>
                    <a:stretch>
                      <a:fillRect/>
                    </a:stretch>
                  </pic:blipFill>
                  <pic:spPr>
                    <a:xfrm>
                      <a:off x="0" y="0"/>
                      <a:ext cx="5943600" cy="2812126"/>
                    </a:xfrm>
                    <a:prstGeom prst="rect"/>
                  </pic:spPr>
                </pic:pic>
              </a:graphicData>
            </a:graphic>
          </wp:inline>
        </w:drawing>
      </w:r>
    </w:p>
    <w:p>
      <w:pPr>
        <w:spacing w:before="60" w:after="200"/>
        <w:jc w:val="center"/>
      </w:pPr>
      <w:r>
        <w:rPr>
          <w:i/>
          <w:color w:val="6B7280"/>
          <w:sz w:val="18"/>
        </w:rPr>
        <w:t>Figure 9. Churn / Risk Analytics — observed inactivity, predicted probability distribution, and group-level inactivity analysis.</w:t>
      </w:r>
    </w:p>
    <w:p>
      <w:pPr>
        <w:jc w:val="center"/>
      </w:pPr>
      <w:r>
        <w:drawing>
          <wp:inline xmlns:a="http://schemas.openxmlformats.org/drawingml/2006/main" xmlns:pic="http://schemas.openxmlformats.org/drawingml/2006/picture">
            <wp:extent cx="5943600" cy="2812126"/>
            <wp:docPr id="10" name="Picture 10" descr="Figure 10. Updated frequency-quartile analysis showing four deterministic frequency quartiles and their observed future-inactivity rates." title="Updated frequency-quartile analysis showing four deterministic frequency quartiles and their observed future-inactivity rates."/>
            <wp:cNvGraphicFramePr>
              <a:graphicFrameLocks noChangeAspect="1"/>
            </wp:cNvGraphicFramePr>
            <a:graphic>
              <a:graphicData uri="http://schemas.openxmlformats.org/drawingml/2006/picture">
                <pic:pic>
                  <pic:nvPicPr>
                    <pic:cNvPr id="0" name="freq_quartile.png"/>
                    <pic:cNvPicPr/>
                  </pic:nvPicPr>
                  <pic:blipFill>
                    <a:blip r:embed="rId19"/>
                    <a:stretch>
                      <a:fillRect/>
                    </a:stretch>
                  </pic:blipFill>
                  <pic:spPr>
                    <a:xfrm>
                      <a:off x="0" y="0"/>
                      <a:ext cx="5943600" cy="2812126"/>
                    </a:xfrm>
                    <a:prstGeom prst="rect"/>
                  </pic:spPr>
                </pic:pic>
              </a:graphicData>
            </a:graphic>
          </wp:inline>
        </w:drawing>
      </w:r>
    </w:p>
    <w:p>
      <w:pPr>
        <w:spacing w:before="60" w:after="200"/>
        <w:jc w:val="center"/>
      </w:pPr>
      <w:r>
        <w:rPr>
          <w:i/>
          <w:color w:val="6B7280"/>
          <w:sz w:val="18"/>
        </w:rPr>
        <w:t>Figure 10. Updated frequency-quartile analysis — four deterministic quartiles with observed inactivity rates.</w:t>
      </w:r>
    </w:p>
    <w:p>
      <w:pPr>
        <w:pStyle w:val="Heading1"/>
      </w:pPr>
      <w:r>
        <w:rPr>
          <w:rFonts w:ascii="Aptos Display" w:hAnsi="Aptos Display"/>
        </w:rPr>
        <w:t>14. Testing, Reproducibility, and Engineering Validation</w:t>
      </w:r>
    </w:p>
    <w:p>
      <w:pPr>
        <w:pStyle w:val="BodyText"/>
        <w:spacing w:after="140" w:line="269" w:lineRule="auto"/>
      </w:pPr>
      <w:r>
        <w:rPr>
          <w:color w:val="1F2937"/>
        </w:rPr>
        <w:t>The project includes automated tests covering data loading and schema validation, cleaning and eligibility logic, RFM features, Churn_90D generation, leakage guards, model training/evaluation, risk-tier assignment, dashboard helper functions, and customer lookup behavior.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5184"/>
            <w:shd w:fill="17365D"/>
            <w:vAlign w:val="center"/>
          </w:tcPr>
          <w:p>
            <w:r/>
            <w:r>
              <w:rPr>
                <w:rFonts w:ascii="Aptos" w:hAnsi="Aptos"/>
                <w:b/>
                <w:color w:val="FFFFFF"/>
                <w:sz w:val="18"/>
              </w:rPr>
              <w:t>Validation stage</w:t>
            </w:r>
          </w:p>
        </w:tc>
        <w:tc>
          <w:tcPr>
            <w:tcW w:type="dxa" w:w="3024"/>
            <w:shd w:fill="17365D"/>
            <w:vAlign w:val="center"/>
          </w:tcPr>
          <w:p>
            <w:r/>
            <w:r>
              <w:rPr>
                <w:rFonts w:ascii="Aptos" w:hAnsi="Aptos"/>
                <w:b/>
                <w:color w:val="FFFFFF"/>
                <w:sz w:val="18"/>
              </w:rPr>
              <w:t>Result</w:t>
            </w:r>
          </w:p>
        </w:tc>
      </w:tr>
      <w:tr>
        <w:tc>
          <w:tcPr>
            <w:tcW w:type="dxa" w:w="5184"/>
            <w:shd w:fill="FFFFFF"/>
            <w:vAlign w:val="center"/>
          </w:tcPr>
          <w:p>
            <w:r/>
            <w:r>
              <w:rPr>
                <w:rFonts w:ascii="Aptos" w:hAnsi="Aptos"/>
                <w:b w:val="0"/>
                <w:color w:val="1F2937"/>
                <w:sz w:val="18"/>
              </w:rPr>
              <w:t>Phase 1 baseline tests</w:t>
            </w:r>
          </w:p>
        </w:tc>
        <w:tc>
          <w:tcPr>
            <w:tcW w:type="dxa" w:w="3024"/>
            <w:shd w:fill="FFFFFF"/>
            <w:vAlign w:val="center"/>
          </w:tcPr>
          <w:p>
            <w:r/>
            <w:r>
              <w:rPr>
                <w:rFonts w:ascii="Aptos" w:hAnsi="Aptos"/>
                <w:b w:val="0"/>
                <w:color w:val="1F2937"/>
                <w:sz w:val="18"/>
              </w:rPr>
              <w:t>42 passed</w:t>
            </w:r>
          </w:p>
        </w:tc>
      </w:tr>
      <w:tr>
        <w:tc>
          <w:tcPr>
            <w:tcW w:type="dxa" w:w="5184"/>
            <w:shd w:fill="F3F5F7"/>
            <w:vAlign w:val="center"/>
          </w:tcPr>
          <w:p>
            <w:r/>
            <w:r>
              <w:rPr>
                <w:rFonts w:ascii="Aptos" w:hAnsi="Aptos"/>
                <w:b w:val="0"/>
                <w:color w:val="1F2937"/>
                <w:sz w:val="18"/>
              </w:rPr>
              <w:t>After Phase 2</w:t>
            </w:r>
          </w:p>
        </w:tc>
        <w:tc>
          <w:tcPr>
            <w:tcW w:type="dxa" w:w="3024"/>
            <w:shd w:fill="F3F5F7"/>
            <w:vAlign w:val="center"/>
          </w:tcPr>
          <w:p>
            <w:r/>
            <w:r>
              <w:rPr>
                <w:rFonts w:ascii="Aptos" w:hAnsi="Aptos"/>
                <w:b w:val="0"/>
                <w:color w:val="1F2937"/>
                <w:sz w:val="18"/>
              </w:rPr>
              <w:t>55 passed</w:t>
            </w:r>
          </w:p>
        </w:tc>
      </w:tr>
      <w:tr>
        <w:tc>
          <w:tcPr>
            <w:tcW w:type="dxa" w:w="5184"/>
            <w:shd w:fill="FFFFFF"/>
            <w:vAlign w:val="center"/>
          </w:tcPr>
          <w:p>
            <w:r/>
            <w:r>
              <w:rPr>
                <w:rFonts w:ascii="Aptos" w:hAnsi="Aptos"/>
                <w:b w:val="0"/>
                <w:color w:val="1F2937"/>
                <w:sz w:val="18"/>
              </w:rPr>
              <w:t>After Phase 3</w:t>
            </w:r>
          </w:p>
        </w:tc>
        <w:tc>
          <w:tcPr>
            <w:tcW w:type="dxa" w:w="3024"/>
            <w:shd w:fill="FFFFFF"/>
            <w:vAlign w:val="center"/>
          </w:tcPr>
          <w:p>
            <w:r/>
            <w:r>
              <w:rPr>
                <w:rFonts w:ascii="Aptos" w:hAnsi="Aptos"/>
                <w:b w:val="0"/>
                <w:color w:val="1F2937"/>
                <w:sz w:val="18"/>
              </w:rPr>
              <w:t>73 passed</w:t>
            </w:r>
          </w:p>
        </w:tc>
      </w:tr>
      <w:tr>
        <w:tc>
          <w:tcPr>
            <w:tcW w:type="dxa" w:w="5184"/>
            <w:shd w:fill="F3F5F7"/>
            <w:vAlign w:val="center"/>
          </w:tcPr>
          <w:p>
            <w:r/>
            <w:r>
              <w:rPr>
                <w:rFonts w:ascii="Aptos" w:hAnsi="Aptos"/>
                <w:b w:val="0"/>
                <w:color w:val="1F2937"/>
                <w:sz w:val="18"/>
              </w:rPr>
              <w:t>After Phase 4</w:t>
            </w:r>
          </w:p>
        </w:tc>
        <w:tc>
          <w:tcPr>
            <w:tcW w:type="dxa" w:w="3024"/>
            <w:shd w:fill="F3F5F7"/>
            <w:vAlign w:val="center"/>
          </w:tcPr>
          <w:p>
            <w:r/>
            <w:r>
              <w:rPr>
                <w:rFonts w:ascii="Aptos" w:hAnsi="Aptos"/>
                <w:b w:val="0"/>
                <w:color w:val="1F2937"/>
                <w:sz w:val="18"/>
              </w:rPr>
              <w:t>100 passed</w:t>
            </w:r>
          </w:p>
        </w:tc>
      </w:tr>
      <w:tr>
        <w:tc>
          <w:tcPr>
            <w:tcW w:type="dxa" w:w="5184"/>
            <w:shd w:fill="FFFFFF"/>
            <w:vAlign w:val="center"/>
          </w:tcPr>
          <w:p>
            <w:r/>
            <w:r>
              <w:rPr>
                <w:rFonts w:ascii="Aptos" w:hAnsi="Aptos"/>
                <w:b w:val="0"/>
                <w:color w:val="1F2937"/>
                <w:sz w:val="18"/>
              </w:rPr>
              <w:t>After Phase 5</w:t>
            </w:r>
          </w:p>
        </w:tc>
        <w:tc>
          <w:tcPr>
            <w:tcW w:type="dxa" w:w="3024"/>
            <w:shd w:fill="FFFFFF"/>
            <w:vAlign w:val="center"/>
          </w:tcPr>
          <w:p>
            <w:r/>
            <w:r>
              <w:rPr>
                <w:rFonts w:ascii="Aptos" w:hAnsi="Aptos"/>
                <w:b w:val="0"/>
                <w:color w:val="1F2937"/>
                <w:sz w:val="18"/>
              </w:rPr>
              <w:t>135 passed</w:t>
            </w:r>
          </w:p>
        </w:tc>
      </w:tr>
      <w:tr>
        <w:tc>
          <w:tcPr>
            <w:tcW w:type="dxa" w:w="5184"/>
            <w:shd w:fill="F3F5F7"/>
            <w:vAlign w:val="center"/>
          </w:tcPr>
          <w:p>
            <w:r/>
            <w:r>
              <w:rPr>
                <w:rFonts w:ascii="Aptos" w:hAnsi="Aptos"/>
                <w:b w:val="0"/>
                <w:color w:val="1F2937"/>
                <w:sz w:val="18"/>
              </w:rPr>
              <w:t>After frequency-quartile fix</w:t>
            </w:r>
          </w:p>
        </w:tc>
        <w:tc>
          <w:tcPr>
            <w:tcW w:type="dxa" w:w="3024"/>
            <w:shd w:fill="F3F5F7"/>
            <w:vAlign w:val="center"/>
          </w:tcPr>
          <w:p>
            <w:r/>
            <w:r>
              <w:rPr>
                <w:rFonts w:ascii="Aptos" w:hAnsi="Aptos"/>
                <w:b w:val="0"/>
                <w:color w:val="1F2937"/>
                <w:sz w:val="18"/>
              </w:rPr>
              <w:t>140 passed</w:t>
            </w:r>
          </w:p>
        </w:tc>
      </w:tr>
      <w:tr>
        <w:tc>
          <w:tcPr>
            <w:tcW w:type="dxa" w:w="5184"/>
            <w:shd w:fill="FFFFFF"/>
            <w:vAlign w:val="center"/>
          </w:tcPr>
          <w:p>
            <w:r/>
            <w:r>
              <w:rPr>
                <w:rFonts w:ascii="Aptos" w:hAnsi="Aptos"/>
                <w:b w:val="0"/>
                <w:color w:val="1F2937"/>
                <w:sz w:val="18"/>
              </w:rPr>
              <w:t>Final Phase 6 engineering validation</w:t>
            </w:r>
          </w:p>
        </w:tc>
        <w:tc>
          <w:tcPr>
            <w:tcW w:type="dxa" w:w="3024"/>
            <w:shd w:fill="FFFFFF"/>
            <w:vAlign w:val="center"/>
          </w:tcPr>
          <w:p>
            <w:r>
              <w:t>141 passed</w:t>
            </w:r>
          </w:p>
        </w:tc>
      </w:tr>
    </w:tbl>
    <w:p>
      <w:pPr>
        <w:spacing w:after="40"/>
      </w:pPr>
    </w:p>
    <w:p>
      <w:pPr>
        <w:pStyle w:val="BodyText"/>
        <w:spacing w:after="140" w:line="269" w:lineRule="auto"/>
      </w:pPr>
      <w:r>
        <w:rPr>
          <w:color w:val="1F2937"/>
        </w:rPr>
        <w:t>The final project environment was verified with Python 3.13.4, pip 25.1.1, scikit-learn 1.9.1, and the pinned project requirements. The saved Joblib model loads without warnings in the project virtual environment. The raw workbook remained intact throughout the workflow.</w:t>
      </w:r>
    </w:p>
    <w:p>
      <w:pPr>
        <w:pStyle w:val="Heading2"/>
      </w:pPr>
      <w:r>
        <w:rPr>
          <w:rFonts w:ascii="Aptos" w:hAnsi="Aptos"/>
        </w:rPr>
        <w:t>14.1 Reproducibility Controls</w:t>
      </w:r>
    </w:p>
    <w:p>
      <w:pPr>
        <w:pStyle w:val="ListBullet"/>
        <w:spacing w:after="60"/>
        <w:ind w:left="259"/>
      </w:pPr>
      <w:r>
        <w:rPr>
          <w:rFonts w:ascii="Aptos" w:hAnsi="Aptos"/>
          <w:color w:val="1F2937"/>
          <w:sz w:val="21"/>
        </w:rPr>
        <w:t>Project-relative paths using pathlib and a repository-root configuration.</w:t>
      </w:r>
    </w:p>
    <w:p>
      <w:pPr>
        <w:pStyle w:val="ListBullet"/>
        <w:spacing w:after="60"/>
        <w:ind w:left="259"/>
      </w:pPr>
      <w:r>
        <w:rPr>
          <w:rFonts w:ascii="Aptos" w:hAnsi="Aptos"/>
          <w:color w:val="1F2937"/>
          <w:sz w:val="21"/>
        </w:rPr>
        <w:t>Pinned direct dependencies in requirements.txt.</w:t>
      </w:r>
    </w:p>
    <w:p>
      <w:pPr>
        <w:pStyle w:val="ListBullet"/>
        <w:spacing w:after="60"/>
        <w:ind w:left="259"/>
      </w:pPr>
      <w:r>
        <w:rPr>
          <w:rFonts w:ascii="Aptos" w:hAnsi="Aptos"/>
          <w:color w:val="1F2937"/>
          <w:sz w:val="21"/>
        </w:rPr>
        <w:t>random_state = 42 for deterministic train/test splitting and deterministic modeling behavior.</w:t>
      </w:r>
    </w:p>
    <w:p>
      <w:pPr>
        <w:pStyle w:val="ListBullet"/>
        <w:spacing w:after="60"/>
        <w:ind w:left="259"/>
      </w:pPr>
      <w:r>
        <w:rPr>
          <w:rFonts w:ascii="Aptos" w:hAnsi="Aptos"/>
          <w:color w:val="1F2937"/>
          <w:sz w:val="21"/>
        </w:rPr>
        <w:t>Raw data preserved under data/raw/ and not overwritten by the pipeline.</w:t>
      </w:r>
    </w:p>
    <w:p>
      <w:pPr>
        <w:pStyle w:val="ListBullet"/>
        <w:spacing w:after="60"/>
        <w:ind w:left="259"/>
      </w:pPr>
      <w:r>
        <w:rPr>
          <w:rFonts w:ascii="Aptos" w:hAnsi="Aptos"/>
          <w:color w:val="1F2937"/>
          <w:sz w:val="21"/>
        </w:rPr>
        <w:t>Saved model pipeline under models/churn_model.joblib.</w:t>
      </w:r>
    </w:p>
    <w:p>
      <w:pPr>
        <w:pStyle w:val="ListBullet"/>
        <w:spacing w:after="60"/>
        <w:ind w:left="259"/>
      </w:pPr>
      <w:r>
        <w:rPr>
          <w:rFonts w:ascii="Aptos" w:hAnsi="Aptos"/>
          <w:color w:val="1F2937"/>
          <w:sz w:val="21"/>
        </w:rPr>
        <w:t>Executed notebooks and automated tests retained as project evidence.</w:t>
      </w:r>
    </w:p>
    <w:p>
      <w:pPr>
        <w:pStyle w:val="ListBullet"/>
        <w:spacing w:after="60"/>
        <w:ind w:left="259"/>
      </w:pPr>
      <w:r>
        <w:rPr>
          <w:rFonts w:ascii="Aptos" w:hAnsi="Aptos"/>
          <w:color w:val="1F2937"/>
          <w:sz w:val="21"/>
        </w:rPr>
        <w:t>Git repository published on GitHub on the main branch with verified commits and a clean working tree.</w:t>
      </w:r>
    </w:p>
    <w:p>
      <w:pPr>
        <w:pStyle w:val="Heading1"/>
      </w:pPr>
      <w:r>
        <w:rPr>
          <w:rFonts w:ascii="Aptos Display" w:hAnsi="Aptos Display"/>
        </w:rPr>
        <w:t>15. Key Findings</w:t>
      </w:r>
    </w:p>
    <w:p>
      <w:pPr>
        <w:pStyle w:val="ListBullet"/>
        <w:spacing w:after="60"/>
        <w:ind w:left="259"/>
      </w:pPr>
      <w:r>
        <w:rPr>
          <w:rFonts w:ascii="Aptos" w:hAnsi="Aptos"/>
          <w:color w:val="1F2937"/>
          <w:sz w:val="21"/>
        </w:rPr>
        <w:t>The raw dataset contains substantial missing CustomerID values and duplicate/cancellation/invalid-value records, making explicit cleaning rules necessary before customer analytics.</w:t>
      </w:r>
    </w:p>
    <w:p>
      <w:pPr>
        <w:pStyle w:val="ListBullet"/>
        <w:spacing w:after="60"/>
        <w:ind w:left="259"/>
      </w:pPr>
      <w:r>
        <w:rPr>
          <w:rFonts w:ascii="Aptos" w:hAnsi="Aptos"/>
          <w:color w:val="1F2937"/>
          <w:sz w:val="21"/>
        </w:rPr>
        <w:t>Customer eligibility reduces the broad qualifying population to 1,765 customers with at least two distinct invoices and at least 30 days of purchase history by the snapshot date.</w:t>
      </w:r>
    </w:p>
    <w:p>
      <w:pPr>
        <w:pStyle w:val="ListBullet"/>
        <w:spacing w:after="60"/>
        <w:ind w:left="259"/>
      </w:pPr>
      <w:r>
        <w:rPr>
          <w:rFonts w:ascii="Aptos" w:hAnsi="Aptos"/>
          <w:color w:val="1F2937"/>
          <w:sz w:val="21"/>
        </w:rPr>
        <w:t>27.76% of eligible customers had no qualifying purchase in the 90-day future window used to construct Churn_90D.</w:t>
      </w:r>
    </w:p>
    <w:p>
      <w:pPr>
        <w:pStyle w:val="ListBullet"/>
        <w:spacing w:after="60"/>
        <w:ind w:left="259"/>
      </w:pPr>
      <w:r>
        <w:rPr>
          <w:rFonts w:ascii="Aptos" w:hAnsi="Aptos"/>
          <w:color w:val="1F2937"/>
          <w:sz w:val="21"/>
        </w:rPr>
        <w:t>Observed future inactivity increases across recency bands, from 18.4% for customers with recency ≤30 days to 59.6% for customers with recency &gt;180 days.</w:t>
      </w:r>
    </w:p>
    <w:p>
      <w:pPr>
        <w:pStyle w:val="ListBullet"/>
        <w:spacing w:after="60"/>
        <w:ind w:left="259"/>
      </w:pPr>
      <w:r>
        <w:rPr>
          <w:rFonts w:ascii="Aptos" w:hAnsi="Aptos"/>
          <w:color w:val="1F2937"/>
          <w:sz w:val="21"/>
        </w:rPr>
        <w:t>Observed future inactivity is lower in higher historical customer-value quartiles: 47.1% in the bottom quartile versus 9.3% in the top quartile.</w:t>
      </w:r>
    </w:p>
    <w:p>
      <w:pPr>
        <w:pStyle w:val="ListBullet"/>
        <w:spacing w:after="60"/>
        <w:ind w:left="259"/>
      </w:pPr>
      <w:r>
        <w:rPr>
          <w:rFonts w:ascii="Aptos" w:hAnsi="Aptos"/>
          <w:color w:val="1F2937"/>
          <w:sz w:val="21"/>
        </w:rPr>
        <w:t>Observed future inactivity is also lower across higher frequency quartiles, from 43.89% in Q1 to 6.80% in Q4.</w:t>
      </w:r>
    </w:p>
    <w:p>
      <w:pPr>
        <w:pStyle w:val="ListBullet"/>
        <w:spacing w:after="60"/>
        <w:ind w:left="259"/>
      </w:pPr>
      <w:r>
        <w:rPr>
          <w:rFonts w:ascii="Aptos" w:hAnsi="Aptos"/>
          <w:color w:val="1F2937"/>
          <w:sz w:val="21"/>
        </w:rPr>
        <w:t>The Logistic Regression model shows non-random discrimination on the held-out test set, with ROC-AUC 0.7063 and PR-AUC 0.4686; these metrics should be interpreted alongside the precision/recall trade-off and target imbalance.</w:t>
      </w:r>
    </w:p>
    <w:p>
      <w:pPr>
        <w:pStyle w:val="ListBullet"/>
        <w:spacing w:after="60"/>
        <w:ind w:left="259"/>
      </w:pPr>
      <w:r>
        <w:rPr>
          <w:rFonts w:ascii="Aptos" w:hAnsi="Aptos"/>
          <w:color w:val="1F2937"/>
          <w:sz w:val="21"/>
        </w:rPr>
        <w:t>The most prominent negative model associations are ActiveMonths, Frequency, and TotalItems, while Monetary, Recency, and TenureDays have positive coefficients in the fitted standardized model.</w:t>
      </w:r>
    </w:p>
    <w:p>
      <w:pPr>
        <w:pStyle w:val="Heading1"/>
      </w:pPr>
      <w:r>
        <w:rPr>
          <w:rFonts w:ascii="Aptos Display" w:hAnsi="Aptos Display"/>
        </w:rPr>
        <w:t>16. Limitations</w:t>
      </w:r>
    </w:p>
    <w:p>
      <w:pPr>
        <w:pStyle w:val="ListBullet"/>
        <w:spacing w:after="60"/>
        <w:ind w:left="259"/>
      </w:pPr>
      <w:r>
        <w:rPr>
          <w:rFonts w:ascii="Aptos" w:hAnsi="Aptos"/>
          <w:color w:val="1F2937"/>
          <w:sz w:val="21"/>
        </w:rPr>
        <w:t>Churn_90D is a project-defined future-inactivity proxy rather than a native churn label supplied by the UCI dataset.</w:t>
      </w:r>
    </w:p>
    <w:p>
      <w:pPr>
        <w:pStyle w:val="ListBullet"/>
        <w:spacing w:after="60"/>
        <w:ind w:left="259"/>
      </w:pPr>
      <w:r>
        <w:rPr>
          <w:rFonts w:ascii="Aptos" w:hAnsi="Aptos"/>
          <w:color w:val="1F2937"/>
          <w:sz w:val="21"/>
        </w:rPr>
        <w:t>The temporal design uses a fixed 31-Aug-2011 snapshot and 90-day future window; different business horizons could produce different target behavior.</w:t>
      </w:r>
    </w:p>
    <w:p>
      <w:pPr>
        <w:pStyle w:val="ListBullet"/>
        <w:spacing w:after="60"/>
        <w:ind w:left="259"/>
      </w:pPr>
      <w:r>
        <w:rPr>
          <w:rFonts w:ascii="Aptos" w:hAnsi="Aptos"/>
          <w:color w:val="1F2937"/>
          <w:sz w:val="21"/>
        </w:rPr>
        <w:t>The data represents one retailer and a specific historical period, so the results should not be assumed to generalize directly to other retailers or time periods.</w:t>
      </w:r>
    </w:p>
    <w:p>
      <w:pPr>
        <w:pStyle w:val="ListBullet"/>
        <w:spacing w:after="60"/>
        <w:ind w:left="259"/>
      </w:pPr>
      <w:r>
        <w:rPr>
          <w:rFonts w:ascii="Aptos" w:hAnsi="Aptos"/>
          <w:color w:val="1F2937"/>
          <w:sz w:val="21"/>
        </w:rPr>
        <w:t>The model is observational and predictive; coefficient associations do not establish causal effects.</w:t>
      </w:r>
    </w:p>
    <w:p>
      <w:pPr>
        <w:pStyle w:val="ListBullet"/>
        <w:spacing w:after="60"/>
        <w:ind w:left="259"/>
      </w:pPr>
      <w:r>
        <w:rPr>
          <w:rFonts w:ascii="Aptos" w:hAnsi="Aptos"/>
          <w:color w:val="1F2937"/>
          <w:sz w:val="21"/>
        </w:rPr>
        <w:t>Risk tiers are operational distribution-based segments rather than universally calibrated probability categories.</w:t>
      </w:r>
    </w:p>
    <w:p>
      <w:pPr>
        <w:pStyle w:val="ListBullet"/>
        <w:spacing w:after="60"/>
        <w:ind w:left="259"/>
      </w:pPr>
      <w:r>
        <w:rPr>
          <w:rFonts w:ascii="Aptos" w:hAnsi="Aptos"/>
          <w:color w:val="1F2937"/>
          <w:sz w:val="21"/>
        </w:rPr>
        <w:t>Retention priority labels provide structured decision support but are not validated by an intervention experiment.</w:t>
      </w:r>
    </w:p>
    <w:p>
      <w:pPr>
        <w:pStyle w:val="ListBullet"/>
        <w:spacing w:after="60"/>
        <w:ind w:left="259"/>
      </w:pPr>
      <w:r>
        <w:rPr>
          <w:rFonts w:ascii="Aptos" w:hAnsi="Aptos"/>
          <w:color w:val="1F2937"/>
          <w:sz w:val="21"/>
        </w:rPr>
        <w:t>Accuracy is relatively low at the selected 0.50 threshold, so interpretation should focus on the full metric set and the intended recall-oriented operating context rather than accuracy alone.</w:t>
      </w:r>
    </w:p>
    <w:p>
      <w:pPr>
        <w:pStyle w:val="Heading1"/>
      </w:pPr>
      <w:r>
        <w:rPr>
          <w:rFonts w:ascii="Aptos Display" w:hAnsi="Aptos Display"/>
        </w:rPr>
        <w:t>17. Future Scope</w:t>
      </w:r>
    </w:p>
    <w:p>
      <w:pPr>
        <w:pStyle w:val="ListBullet"/>
        <w:spacing w:after="60"/>
        <w:ind w:left="259"/>
      </w:pPr>
      <w:r>
        <w:rPr>
          <w:rFonts w:ascii="Aptos" w:hAnsi="Aptos"/>
          <w:color w:val="1F2937"/>
          <w:sz w:val="21"/>
        </w:rPr>
        <w:t>Validate the proxy churn target against a real CRM-defined retention outcome when labeled intervention data becomes available.</w:t>
      </w:r>
    </w:p>
    <w:p>
      <w:pPr>
        <w:pStyle w:val="ListBullet"/>
        <w:spacing w:after="60"/>
        <w:ind w:left="259"/>
      </w:pPr>
      <w:r>
        <w:rPr>
          <w:rFonts w:ascii="Aptos" w:hAnsi="Aptos"/>
          <w:color w:val="1F2937"/>
          <w:sz w:val="21"/>
        </w:rPr>
        <w:t>Compare additional interpretable models or calibrated classifiers after establishing a stable baseline and monitoring data drift.</w:t>
      </w:r>
    </w:p>
    <w:p>
      <w:pPr>
        <w:pStyle w:val="ListBullet"/>
        <w:spacing w:after="60"/>
        <w:ind w:left="259"/>
      </w:pPr>
      <w:r>
        <w:rPr>
          <w:rFonts w:ascii="Aptos" w:hAnsi="Aptos"/>
          <w:color w:val="1F2937"/>
          <w:sz w:val="21"/>
        </w:rPr>
        <w:t>Add model calibration and probability monitoring to improve the operational meaning of predicted risk values.</w:t>
      </w:r>
    </w:p>
    <w:p>
      <w:pPr>
        <w:pStyle w:val="ListBullet"/>
        <w:spacing w:after="60"/>
        <w:ind w:left="259"/>
      </w:pPr>
      <w:r>
        <w:rPr>
          <w:rFonts w:ascii="Aptos" w:hAnsi="Aptos"/>
          <w:color w:val="1F2937"/>
          <w:sz w:val="21"/>
        </w:rPr>
        <w:t>Extend the temporal design to rolling snapshots so model stability can be measured over time.</w:t>
      </w:r>
    </w:p>
    <w:p>
      <w:pPr>
        <w:pStyle w:val="ListBullet"/>
        <w:spacing w:after="60"/>
        <w:ind w:left="259"/>
      </w:pPr>
      <w:r>
        <w:rPr>
          <w:rFonts w:ascii="Aptos" w:hAnsi="Aptos"/>
          <w:color w:val="1F2937"/>
          <w:sz w:val="21"/>
        </w:rPr>
        <w:t>Connect the retention decision-support layer to intervention outcomes to evaluate uplift rather than relying only on observational risk ranking.</w:t>
      </w:r>
    </w:p>
    <w:p>
      <w:pPr>
        <w:pStyle w:val="ListBullet"/>
        <w:spacing w:after="60"/>
        <w:ind w:left="259"/>
      </w:pPr>
      <w:r>
        <w:rPr>
          <w:rFonts w:ascii="Aptos" w:hAnsi="Aptos"/>
          <w:color w:val="1F2937"/>
          <w:sz w:val="21"/>
        </w:rPr>
        <w:t>Add controlled scenario analysis for retention-budget allocation once intervention costs and outcomes are available.</w:t>
      </w:r>
    </w:p>
    <w:p>
      <w:pPr>
        <w:pStyle w:val="Heading1"/>
      </w:pPr>
      <w:r>
        <w:rPr>
          <w:rFonts w:ascii="Aptos Display" w:hAnsi="Aptos Display"/>
        </w:rPr>
        <w:t>18. Conclusion</w:t>
      </w:r>
    </w:p>
    <w:p>
      <w:pPr>
        <w:pStyle w:val="BodyText"/>
        <w:spacing w:after="140" w:line="269" w:lineRule="auto"/>
      </w:pPr>
      <w:r>
        <w:rPr>
          <w:color w:val="1F2937"/>
        </w:rPr>
        <w:t>The completed project provides a reproducible workflow for transforming e-commerce transaction data into customer-level churn-risk evidence. Starting from 541,909 raw transactions, the pipeline applies explicit quality controls and eligibility rules, constructs snapshot-based behavioral and RFM features, defines future inactivity over a fixed 90-day window, and trains an interpretable Logistic Regression model.</w:t>
      </w:r>
    </w:p>
    <w:p>
      <w:pPr>
        <w:pStyle w:val="BodyText"/>
        <w:spacing w:after="140" w:line="269" w:lineRule="auto"/>
      </w:pPr>
      <w:r>
        <w:rPr>
          <w:color w:val="1F2937"/>
        </w:rPr>
        <w:t>The final system combines analytical segmentation with probability-based risk scoring and a Streamlit interface that supports executive review, RFM exploration, model evaluation, and customer-level inspection. The work is supported by automated tests, validated notebooks, saved model and analytical artifacts, repository documentation, and a clean Git commit.</w:t>
      </w:r>
    </w:p>
    <w:p>
      <w:pPr>
        <w:pStyle w:val="BodyText"/>
        <w:spacing w:after="140" w:line="269" w:lineRule="auto"/>
      </w:pPr>
      <w:r>
        <w:rPr>
          <w:color w:val="1F2937"/>
        </w:rPr>
        <w:t>The project should be interpreted as a decision-support prototype: it identifies observable historical patterns and provides a structured way to prioritize customer review. It does not establish why customers become inactive or guarantee that any particular retention action will change future behavior.</w:t>
      </w:r>
    </w:p>
    <w:p>
      <w:pPr>
        <w:pStyle w:val="Heading1"/>
      </w:pPr>
      <w:r>
        <w:rPr>
          <w:rFonts w:ascii="Aptos Display" w:hAnsi="Aptos Display"/>
        </w:rPr>
        <w:t>19. References</w:t>
      </w:r>
    </w:p>
    <w:p>
      <w:pPr>
        <w:pStyle w:val="ListNumber"/>
        <w:spacing w:after="100"/>
      </w:pPr>
      <w:r>
        <w:rPr>
          <w:rFonts w:ascii="Aptos" w:hAnsi="Aptos"/>
          <w:b w:val="0"/>
          <w:color w:val="1F2937"/>
          <w:sz w:val="19"/>
        </w:rPr>
        <w:t>UCI Machine Learning Repository. Online Retail. Dataset 352. DOI: 10.24432/C5BW33. Official repository record: https://archive.ics.uci.edu/dataset/352/online+retail</w:t>
      </w:r>
    </w:p>
    <w:p>
      <w:pPr>
        <w:pStyle w:val="ListNumber"/>
        <w:spacing w:after="100"/>
      </w:pPr>
      <w:r>
        <w:rPr>
          <w:rFonts w:ascii="Aptos" w:hAnsi="Aptos"/>
          <w:b w:val="0"/>
          <w:color w:val="1F2937"/>
          <w:sz w:val="19"/>
        </w:rPr>
        <w:t>Chen, D., Sain, S. L., &amp; Guo, K. (2012). Data mining for the online retail industry: A case study of RFM model-based customer segmentation using data mining. Journal of Database Marketing &amp; Customer Strategy Management, 19(3), 197–208. DOI: 10.1057/dbm.2012.17.</w:t>
      </w:r>
    </w:p>
    <w:p>
      <w:pPr>
        <w:pStyle w:val="ListNumber"/>
        <w:spacing w:after="100"/>
      </w:pPr>
      <w:r>
        <w:rPr>
          <w:rFonts w:ascii="Aptos" w:hAnsi="Aptos"/>
          <w:b w:val="0"/>
          <w:color w:val="1F2937"/>
          <w:sz w:val="19"/>
        </w:rPr>
        <w:t>scikit-learn documentation. LogisticRegression, Pipeline, StandardScaler, model evaluation metrics, and model-selection utilities.</w:t>
      </w:r>
    </w:p>
    <w:p>
      <w:pPr>
        <w:pStyle w:val="ListNumber"/>
        <w:spacing w:after="100"/>
      </w:pPr>
      <w:r>
        <w:rPr>
          <w:rFonts w:ascii="Aptos" w:hAnsi="Aptos"/>
          <w:b w:val="0"/>
          <w:color w:val="1F2937"/>
          <w:sz w:val="19"/>
        </w:rPr>
        <w:t>Streamlit documentation. Multipage applications and sidebar navigation configuration.</w:t>
      </w:r>
    </w:p>
    <w:p>
      <w:pPr>
        <w:pStyle w:val="Heading1"/>
      </w:pPr>
      <w:r>
        <w:rPr>
          <w:rFonts w:ascii="Aptos Display" w:hAnsi="Aptos Display"/>
        </w:rPr>
        <w:t>Appendix A. Final Project Deliverables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17365D"/>
            <w:vAlign w:val="center"/>
          </w:tcPr>
          <w:p>
            <w:r/>
            <w:r>
              <w:rPr>
                <w:rFonts w:ascii="Aptos" w:hAnsi="Aptos"/>
                <w:b/>
                <w:color w:val="FFFFFF"/>
                <w:sz w:val="18"/>
              </w:rPr>
              <w:t>Artifact</w:t>
            </w:r>
          </w:p>
        </w:tc>
        <w:tc>
          <w:tcPr>
            <w:tcW w:type="dxa" w:w="5904"/>
            <w:shd w:fill="17365D"/>
            <w:vAlign w:val="center"/>
          </w:tcPr>
          <w:p>
            <w:r/>
            <w:r>
              <w:rPr>
                <w:rFonts w:ascii="Aptos" w:hAnsi="Aptos"/>
                <w:b/>
                <w:color w:val="FFFFFF"/>
                <w:sz w:val="18"/>
              </w:rPr>
              <w:t>Location / purpose</w:t>
            </w:r>
          </w:p>
        </w:tc>
      </w:tr>
      <w:tr>
        <w:tc>
          <w:tcPr>
            <w:tcW w:type="dxa" w:w="3168"/>
            <w:shd w:fill="FFFFFF"/>
            <w:vAlign w:val="center"/>
          </w:tcPr>
          <w:p>
            <w:r/>
            <w:r>
              <w:rPr>
                <w:rFonts w:ascii="Aptos" w:hAnsi="Aptos"/>
                <w:b w:val="0"/>
                <w:color w:val="1F2937"/>
                <w:sz w:val="18"/>
              </w:rPr>
              <w:t>Raw dataset</w:t>
            </w:r>
          </w:p>
        </w:tc>
        <w:tc>
          <w:tcPr>
            <w:tcW w:type="dxa" w:w="5904"/>
            <w:shd w:fill="FFFFFF"/>
            <w:vAlign w:val="center"/>
          </w:tcPr>
          <w:p>
            <w:r/>
            <w:r>
              <w:rPr>
                <w:rFonts w:ascii="Aptos" w:hAnsi="Aptos"/>
                <w:b w:val="0"/>
                <w:color w:val="1F2937"/>
                <w:sz w:val="18"/>
              </w:rPr>
              <w:t>data/raw/Online Retail.xlsx</w:t>
            </w:r>
          </w:p>
        </w:tc>
      </w:tr>
      <w:tr>
        <w:tc>
          <w:tcPr>
            <w:tcW w:type="dxa" w:w="3168"/>
            <w:shd w:fill="F3F5F7"/>
            <w:vAlign w:val="center"/>
          </w:tcPr>
          <w:p>
            <w:r/>
            <w:r>
              <w:rPr>
                <w:rFonts w:ascii="Aptos" w:hAnsi="Aptos"/>
                <w:b w:val="0"/>
                <w:color w:val="1F2937"/>
                <w:sz w:val="18"/>
              </w:rPr>
              <w:t>Qualified transactions</w:t>
            </w:r>
          </w:p>
        </w:tc>
        <w:tc>
          <w:tcPr>
            <w:tcW w:type="dxa" w:w="5904"/>
            <w:shd w:fill="F3F5F7"/>
            <w:vAlign w:val="center"/>
          </w:tcPr>
          <w:p>
            <w:r/>
            <w:r>
              <w:rPr>
                <w:rFonts w:ascii="Aptos" w:hAnsi="Aptos"/>
                <w:b w:val="0"/>
                <w:color w:val="1F2937"/>
                <w:sz w:val="18"/>
              </w:rPr>
              <w:t>data/processed/qualified_transactions.csv</w:t>
            </w:r>
          </w:p>
        </w:tc>
      </w:tr>
      <w:tr>
        <w:tc>
          <w:tcPr>
            <w:tcW w:type="dxa" w:w="3168"/>
            <w:shd w:fill="FFFFFF"/>
            <w:vAlign w:val="center"/>
          </w:tcPr>
          <w:p>
            <w:r/>
            <w:r>
              <w:rPr>
                <w:rFonts w:ascii="Aptos" w:hAnsi="Aptos"/>
                <w:b w:val="0"/>
                <w:color w:val="1F2937"/>
                <w:sz w:val="18"/>
              </w:rPr>
              <w:t>Customer feature table</w:t>
            </w:r>
          </w:p>
        </w:tc>
        <w:tc>
          <w:tcPr>
            <w:tcW w:type="dxa" w:w="5904"/>
            <w:shd w:fill="FFFFFF"/>
            <w:vAlign w:val="center"/>
          </w:tcPr>
          <w:p>
            <w:r/>
            <w:r>
              <w:rPr>
                <w:rFonts w:ascii="Aptos" w:hAnsi="Aptos"/>
                <w:b w:val="0"/>
                <w:color w:val="1F2937"/>
                <w:sz w:val="18"/>
              </w:rPr>
              <w:t>data/processed/customer_features.csv</w:t>
            </w:r>
          </w:p>
        </w:tc>
      </w:tr>
      <w:tr>
        <w:tc>
          <w:tcPr>
            <w:tcW w:type="dxa" w:w="3168"/>
            <w:shd w:fill="F3F5F7"/>
            <w:vAlign w:val="center"/>
          </w:tcPr>
          <w:p>
            <w:r/>
            <w:r>
              <w:rPr>
                <w:rFonts w:ascii="Aptos" w:hAnsi="Aptos"/>
                <w:b w:val="0"/>
                <w:color w:val="1F2937"/>
                <w:sz w:val="18"/>
              </w:rPr>
              <w:t>Audit summary</w:t>
            </w:r>
          </w:p>
        </w:tc>
        <w:tc>
          <w:tcPr>
            <w:tcW w:type="dxa" w:w="5904"/>
            <w:shd w:fill="F3F5F7"/>
            <w:vAlign w:val="center"/>
          </w:tcPr>
          <w:p>
            <w:r/>
            <w:r>
              <w:rPr>
                <w:rFonts w:ascii="Aptos" w:hAnsi="Aptos"/>
                <w:b w:val="0"/>
                <w:color w:val="1F2937"/>
                <w:sz w:val="18"/>
              </w:rPr>
              <w:t>data/processed/data_quality_audit.json</w:t>
            </w:r>
          </w:p>
        </w:tc>
      </w:tr>
      <w:tr>
        <w:tc>
          <w:tcPr>
            <w:tcW w:type="dxa" w:w="3168"/>
            <w:shd w:fill="FFFFFF"/>
            <w:vAlign w:val="center"/>
          </w:tcPr>
          <w:p>
            <w:r/>
            <w:r>
              <w:rPr>
                <w:rFonts w:ascii="Aptos" w:hAnsi="Aptos"/>
                <w:b w:val="0"/>
                <w:color w:val="1F2937"/>
                <w:sz w:val="18"/>
              </w:rPr>
              <w:t>RFM/churn summary</w:t>
            </w:r>
          </w:p>
        </w:tc>
        <w:tc>
          <w:tcPr>
            <w:tcW w:type="dxa" w:w="5904"/>
            <w:shd w:fill="FFFFFF"/>
            <w:vAlign w:val="center"/>
          </w:tcPr>
          <w:p>
            <w:r/>
            <w:r>
              <w:rPr>
                <w:rFonts w:ascii="Aptos" w:hAnsi="Aptos"/>
                <w:b w:val="0"/>
                <w:color w:val="1F2937"/>
                <w:sz w:val="18"/>
              </w:rPr>
              <w:t>data/processed/rfm_churn_summary.json</w:t>
            </w:r>
          </w:p>
        </w:tc>
      </w:tr>
      <w:tr>
        <w:tc>
          <w:tcPr>
            <w:tcW w:type="dxa" w:w="3168"/>
            <w:shd w:fill="F3F5F7"/>
            <w:vAlign w:val="center"/>
          </w:tcPr>
          <w:p>
            <w:r/>
            <w:r>
              <w:rPr>
                <w:rFonts w:ascii="Aptos" w:hAnsi="Aptos"/>
                <w:b w:val="0"/>
                <w:color w:val="1F2937"/>
                <w:sz w:val="18"/>
              </w:rPr>
              <w:t>Test predictions</w:t>
            </w:r>
          </w:p>
        </w:tc>
        <w:tc>
          <w:tcPr>
            <w:tcW w:type="dxa" w:w="5904"/>
            <w:shd w:fill="F3F5F7"/>
            <w:vAlign w:val="center"/>
          </w:tcPr>
          <w:p>
            <w:r/>
            <w:r>
              <w:rPr>
                <w:rFonts w:ascii="Aptos" w:hAnsi="Aptos"/>
                <w:b w:val="0"/>
                <w:color w:val="1F2937"/>
                <w:sz w:val="18"/>
              </w:rPr>
              <w:t>data/processed/test_predictions.csv</w:t>
            </w:r>
          </w:p>
        </w:tc>
      </w:tr>
      <w:tr>
        <w:tc>
          <w:tcPr>
            <w:tcW w:type="dxa" w:w="3168"/>
            <w:shd w:fill="FFFFFF"/>
            <w:vAlign w:val="center"/>
          </w:tcPr>
          <w:p>
            <w:r/>
            <w:r>
              <w:rPr>
                <w:rFonts w:ascii="Aptos" w:hAnsi="Aptos"/>
                <w:b w:val="0"/>
                <w:color w:val="1F2937"/>
                <w:sz w:val="18"/>
              </w:rPr>
              <w:t>Saved ML pipeline</w:t>
            </w:r>
          </w:p>
        </w:tc>
        <w:tc>
          <w:tcPr>
            <w:tcW w:type="dxa" w:w="5904"/>
            <w:shd w:fill="FFFFFF"/>
            <w:vAlign w:val="center"/>
          </w:tcPr>
          <w:p>
            <w:r/>
            <w:r>
              <w:rPr>
                <w:rFonts w:ascii="Aptos" w:hAnsi="Aptos"/>
                <w:b w:val="0"/>
                <w:color w:val="1F2937"/>
                <w:sz w:val="18"/>
              </w:rPr>
              <w:t>models/churn_model.joblib</w:t>
            </w:r>
          </w:p>
        </w:tc>
      </w:tr>
      <w:tr>
        <w:tc>
          <w:tcPr>
            <w:tcW w:type="dxa" w:w="3168"/>
            <w:shd w:fill="F3F5F7"/>
            <w:vAlign w:val="center"/>
          </w:tcPr>
          <w:p>
            <w:r/>
            <w:r>
              <w:rPr>
                <w:rFonts w:ascii="Aptos" w:hAnsi="Aptos"/>
                <w:b w:val="0"/>
                <w:color w:val="1F2937"/>
                <w:sz w:val="18"/>
              </w:rPr>
              <w:t>Model evaluation</w:t>
            </w:r>
          </w:p>
        </w:tc>
        <w:tc>
          <w:tcPr>
            <w:tcW w:type="dxa" w:w="5904"/>
            <w:shd w:fill="F3F5F7"/>
            <w:vAlign w:val="center"/>
          </w:tcPr>
          <w:p>
            <w:r/>
            <w:r>
              <w:rPr>
                <w:rFonts w:ascii="Aptos" w:hAnsi="Aptos"/>
                <w:b w:val="0"/>
                <w:color w:val="1F2937"/>
                <w:sz w:val="18"/>
              </w:rPr>
              <w:t>reports/model_evaluation.json</w:t>
            </w:r>
          </w:p>
        </w:tc>
      </w:tr>
      <w:tr>
        <w:tc>
          <w:tcPr>
            <w:tcW w:type="dxa" w:w="3168"/>
            <w:shd w:fill="FFFFFF"/>
            <w:vAlign w:val="center"/>
          </w:tcPr>
          <w:p>
            <w:r/>
            <w:r>
              <w:rPr>
                <w:rFonts w:ascii="Aptos" w:hAnsi="Aptos"/>
                <w:b w:val="0"/>
                <w:color w:val="1F2937"/>
                <w:sz w:val="18"/>
              </w:rPr>
              <w:t>Evaluation figures</w:t>
            </w:r>
          </w:p>
        </w:tc>
        <w:tc>
          <w:tcPr>
            <w:tcW w:type="dxa" w:w="5904"/>
            <w:shd w:fill="FFFFFF"/>
            <w:vAlign w:val="center"/>
          </w:tcPr>
          <w:p>
            <w:r/>
            <w:r>
              <w:rPr>
                <w:rFonts w:ascii="Aptos" w:hAnsi="Aptos"/>
                <w:b w:val="0"/>
                <w:color w:val="1F2937"/>
                <w:sz w:val="18"/>
              </w:rPr>
              <w:t>reports/confusion_matrix.png, roc_curve.png, precision_recall_curve.png</w:t>
            </w:r>
          </w:p>
        </w:tc>
      </w:tr>
      <w:tr>
        <w:tc>
          <w:tcPr>
            <w:tcW w:type="dxa" w:w="3168"/>
            <w:shd w:fill="F3F5F7"/>
            <w:vAlign w:val="center"/>
          </w:tcPr>
          <w:p>
            <w:r/>
            <w:r>
              <w:rPr>
                <w:rFonts w:ascii="Aptos" w:hAnsi="Aptos"/>
                <w:b w:val="0"/>
                <w:color w:val="1F2937"/>
                <w:sz w:val="18"/>
              </w:rPr>
              <w:t>Analysis notebooks</w:t>
            </w:r>
          </w:p>
        </w:tc>
        <w:tc>
          <w:tcPr>
            <w:tcW w:type="dxa" w:w="5904"/>
            <w:shd w:fill="F3F5F7"/>
            <w:vAlign w:val="center"/>
          </w:tcPr>
          <w:p>
            <w:r/>
            <w:r>
              <w:rPr>
                <w:rFonts w:ascii="Aptos" w:hAnsi="Aptos"/>
                <w:b w:val="0"/>
                <w:color w:val="1F2937"/>
                <w:sz w:val="18"/>
              </w:rPr>
              <w:t>notebooks/01_data_audit.ipynb through 04_churn_model.ipynb</w:t>
            </w:r>
          </w:p>
        </w:tc>
      </w:tr>
      <w:tr>
        <w:tc>
          <w:tcPr>
            <w:tcW w:type="dxa" w:w="3168"/>
            <w:shd w:fill="FFFFFF"/>
            <w:vAlign w:val="center"/>
          </w:tcPr>
          <w:p>
            <w:r/>
            <w:r>
              <w:rPr>
                <w:rFonts w:ascii="Aptos" w:hAnsi="Aptos"/>
                <w:b w:val="0"/>
                <w:color w:val="1F2937"/>
                <w:sz w:val="18"/>
              </w:rPr>
              <w:t>Streamlit app</w:t>
            </w:r>
          </w:p>
        </w:tc>
        <w:tc>
          <w:tcPr>
            <w:tcW w:type="dxa" w:w="5904"/>
            <w:shd w:fill="FFFFFF"/>
            <w:vAlign w:val="center"/>
          </w:tcPr>
          <w:p>
            <w:r/>
            <w:r>
              <w:rPr>
                <w:rFonts w:ascii="Aptos" w:hAnsi="Aptos"/>
                <w:b w:val="0"/>
                <w:color w:val="1F2937"/>
                <w:sz w:val="18"/>
              </w:rPr>
              <w:t>app/app.py and app/pages/</w:t>
            </w:r>
          </w:p>
        </w:tc>
      </w:tr>
      <w:tr>
        <w:tc>
          <w:tcPr>
            <w:tcW w:type="dxa" w:w="3168"/>
            <w:shd w:fill="F3F5F7"/>
            <w:vAlign w:val="center"/>
          </w:tcPr>
          <w:p>
            <w:r/>
            <w:r>
              <w:rPr>
                <w:rFonts w:ascii="Aptos" w:hAnsi="Aptos"/>
                <w:b w:val="0"/>
                <w:color w:val="1F2937"/>
                <w:sz w:val="18"/>
              </w:rPr>
              <w:t>Automated tests</w:t>
            </w:r>
          </w:p>
        </w:tc>
        <w:tc>
          <w:tcPr>
            <w:tcW w:type="dxa" w:w="5904"/>
            <w:shd w:fill="F3F5F7"/>
            <w:vAlign w:val="center"/>
          </w:tcPr>
          <w:p>
            <w:r/>
            <w:r>
              <w:rPr>
                <w:rFonts w:ascii="Aptos" w:hAnsi="Aptos"/>
                <w:b w:val="0"/>
                <w:color w:val="1F2937"/>
                <w:sz w:val="18"/>
              </w:rPr>
              <w:t>tests/</w:t>
            </w:r>
          </w:p>
        </w:tc>
      </w:tr>
      <w:tr>
        <w:tc>
          <w:tcPr>
            <w:tcW w:type="dxa" w:w="3168"/>
            <w:shd w:fill="FFFFFF"/>
            <w:vAlign w:val="center"/>
          </w:tcPr>
          <w:p>
            <w:r/>
            <w:r>
              <w:rPr>
                <w:rFonts w:ascii="Aptos" w:hAnsi="Aptos"/>
                <w:b w:val="0"/>
                <w:color w:val="1F2937"/>
                <w:sz w:val="18"/>
              </w:rPr>
              <w:t>README</w:t>
            </w:r>
          </w:p>
        </w:tc>
        <w:tc>
          <w:tcPr>
            <w:tcW w:type="dxa" w:w="5904"/>
            <w:shd w:fill="FFFFFF"/>
            <w:vAlign w:val="center"/>
          </w:tcPr>
          <w:p>
            <w:r/>
            <w:r>
              <w:rPr>
                <w:rFonts w:ascii="Aptos" w:hAnsi="Aptos"/>
                <w:b w:val="0"/>
                <w:color w:val="1F2937"/>
                <w:sz w:val="18"/>
              </w:rPr>
              <w:t>README.md</w:t>
            </w:r>
          </w:p>
        </w:tc>
      </w:tr>
      <w:tr>
        <w:tc>
          <w:tcPr>
            <w:tcW w:type="dxa" w:w="3168"/>
            <w:shd w:fill="F3F5F7"/>
            <w:vAlign w:val="center"/>
          </w:tcPr>
          <w:p>
            <w:r/>
            <w:r>
              <w:rPr>
                <w:rFonts w:ascii="Aptos" w:hAnsi="Aptos"/>
                <w:b w:val="0"/>
                <w:color w:val="1F2937"/>
                <w:sz w:val="18"/>
              </w:rPr>
              <w:t>Screenshots</w:t>
            </w:r>
          </w:p>
        </w:tc>
        <w:tc>
          <w:tcPr>
            <w:tcW w:type="dxa" w:w="5904"/>
            <w:shd w:fill="F3F5F7"/>
            <w:vAlign w:val="center"/>
          </w:tcPr>
          <w:p>
            <w:r/>
            <w:r>
              <w:rPr>
                <w:rFonts w:ascii="Aptos" w:hAnsi="Aptos"/>
                <w:b w:val="0"/>
                <w:color w:val="1F2937"/>
                <w:sz w:val="18"/>
              </w:rPr>
              <w:t>assets/screenshots/</w:t>
            </w:r>
          </w:p>
        </w:tc>
      </w:tr>
      <w:tr>
        <w:tc>
          <w:tcPr>
            <w:tcW w:type="dxa" w:w="3168"/>
            <w:shd w:fill="FFFFFF"/>
            <w:vAlign w:val="center"/>
          </w:tcPr>
          <w:p>
            <w:r/>
            <w:r>
              <w:rPr>
                <w:rFonts w:ascii="Aptos" w:hAnsi="Aptos"/>
                <w:b w:val="0"/>
                <w:color w:val="1F2937"/>
                <w:sz w:val="18"/>
              </w:rPr>
              <w:t>Git repository</w:t>
            </w:r>
          </w:p>
        </w:tc>
        <w:tc>
          <w:tcPr>
            <w:tcW w:type="dxa" w:w="5904"/>
            <w:shd w:fill="FFFFFF"/>
            <w:vAlign w:val="center"/>
          </w:tcPr>
          <w:p>
            <w:r>
              <w:t>Initial commit 42b9259; latest verified commit 07fabd1 on main branch</w:t>
            </w:r>
            <w:r>
              <w:rPr>
                <w:rFonts w:ascii="Aptos" w:hAnsi="Aptos"/>
                <w:b w:val="0"/>
                <w:color w:val="1F2937"/>
                <w:sz w:val="18"/>
              </w:rPr>
            </w:r>
          </w:p>
        </w:tc>
      </w:tr>
    </w:tbl>
    <w:p>
      <w:pPr>
        <w:spacing w:after="40"/>
      </w:pPr>
    </w:p>
    <w:p>
      <w:pPr>
        <w:pStyle w:val="Heading1"/>
      </w:pPr>
      <w:r>
        <w:rPr>
          <w:rFonts w:ascii="Aptos Display" w:hAnsi="Aptos Display"/>
        </w:rPr>
        <w:t>Appendix B. Final Model and Risk Summary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464"/>
            <w:shd w:fill="17365D"/>
            <w:vAlign w:val="center"/>
          </w:tcPr>
          <w:p>
            <w:r/>
            <w:r>
              <w:rPr>
                <w:rFonts w:ascii="Aptos" w:hAnsi="Aptos"/>
                <w:b/>
                <w:color w:val="FFFFFF"/>
                <w:sz w:val="18"/>
              </w:rPr>
              <w:t>Item</w:t>
            </w:r>
          </w:p>
        </w:tc>
        <w:tc>
          <w:tcPr>
            <w:tcW w:type="dxa" w:w="4608"/>
            <w:shd w:fill="17365D"/>
            <w:vAlign w:val="center"/>
          </w:tcPr>
          <w:p>
            <w:r/>
            <w:r>
              <w:rPr>
                <w:rFonts w:ascii="Aptos" w:hAnsi="Aptos"/>
                <w:b/>
                <w:color w:val="FFFFFF"/>
                <w:sz w:val="18"/>
              </w:rPr>
              <w:t>Value</w:t>
            </w:r>
          </w:p>
        </w:tc>
      </w:tr>
      <w:tr>
        <w:tc>
          <w:tcPr>
            <w:tcW w:type="dxa" w:w="4464"/>
            <w:shd w:fill="FFFFFF"/>
            <w:vAlign w:val="center"/>
          </w:tcPr>
          <w:p>
            <w:r/>
            <w:r>
              <w:rPr>
                <w:rFonts w:ascii="Aptos" w:hAnsi="Aptos"/>
                <w:b w:val="0"/>
                <w:color w:val="1F2937"/>
                <w:sz w:val="18"/>
              </w:rPr>
              <w:t>Snapshot</w:t>
            </w:r>
          </w:p>
        </w:tc>
        <w:tc>
          <w:tcPr>
            <w:tcW w:type="dxa" w:w="4608"/>
            <w:shd w:fill="FFFFFF"/>
            <w:vAlign w:val="center"/>
          </w:tcPr>
          <w:p>
            <w:r/>
            <w:r>
              <w:rPr>
                <w:rFonts w:ascii="Aptos" w:hAnsi="Aptos"/>
                <w:b w:val="0"/>
                <w:color w:val="1F2937"/>
                <w:sz w:val="18"/>
              </w:rPr>
              <w:t>31-Aug-2011</w:t>
            </w:r>
          </w:p>
        </w:tc>
      </w:tr>
      <w:tr>
        <w:tc>
          <w:tcPr>
            <w:tcW w:type="dxa" w:w="4464"/>
            <w:shd w:fill="F3F5F7"/>
            <w:vAlign w:val="center"/>
          </w:tcPr>
          <w:p>
            <w:r/>
            <w:r>
              <w:rPr>
                <w:rFonts w:ascii="Aptos" w:hAnsi="Aptos"/>
                <w:b w:val="0"/>
                <w:color w:val="1F2937"/>
                <w:sz w:val="18"/>
              </w:rPr>
              <w:t>Future window</w:t>
            </w:r>
          </w:p>
        </w:tc>
        <w:tc>
          <w:tcPr>
            <w:tcW w:type="dxa" w:w="4608"/>
            <w:shd w:fill="F3F5F7"/>
            <w:vAlign w:val="center"/>
          </w:tcPr>
          <w:p>
            <w:r/>
            <w:r>
              <w:rPr>
                <w:rFonts w:ascii="Aptos" w:hAnsi="Aptos"/>
                <w:b w:val="0"/>
                <w:color w:val="1F2937"/>
                <w:sz w:val="18"/>
              </w:rPr>
              <w:t>01-Sep-2011 to 29-Nov-2011</w:t>
            </w:r>
          </w:p>
        </w:tc>
      </w:tr>
      <w:tr>
        <w:tc>
          <w:tcPr>
            <w:tcW w:type="dxa" w:w="4464"/>
            <w:shd w:fill="FFFFFF"/>
            <w:vAlign w:val="center"/>
          </w:tcPr>
          <w:p>
            <w:r/>
            <w:r>
              <w:rPr>
                <w:rFonts w:ascii="Aptos" w:hAnsi="Aptos"/>
                <w:b w:val="0"/>
                <w:color w:val="1F2937"/>
                <w:sz w:val="18"/>
              </w:rPr>
              <w:t>Eligible customers</w:t>
            </w:r>
          </w:p>
        </w:tc>
        <w:tc>
          <w:tcPr>
            <w:tcW w:type="dxa" w:w="4608"/>
            <w:shd w:fill="FFFFFF"/>
            <w:vAlign w:val="center"/>
          </w:tcPr>
          <w:p>
            <w:r/>
            <w:r>
              <w:rPr>
                <w:rFonts w:ascii="Aptos" w:hAnsi="Aptos"/>
                <w:b w:val="0"/>
                <w:color w:val="1F2937"/>
                <w:sz w:val="18"/>
              </w:rPr>
              <w:t>1,765</w:t>
            </w:r>
          </w:p>
        </w:tc>
      </w:tr>
      <w:tr>
        <w:tc>
          <w:tcPr>
            <w:tcW w:type="dxa" w:w="4464"/>
            <w:shd w:fill="F3F5F7"/>
            <w:vAlign w:val="center"/>
          </w:tcPr>
          <w:p>
            <w:r/>
            <w:r>
              <w:rPr>
                <w:rFonts w:ascii="Aptos" w:hAnsi="Aptos"/>
                <w:b w:val="0"/>
                <w:color w:val="1F2937"/>
                <w:sz w:val="18"/>
              </w:rPr>
              <w:t>Future inactive</w:t>
            </w:r>
          </w:p>
        </w:tc>
        <w:tc>
          <w:tcPr>
            <w:tcW w:type="dxa" w:w="4608"/>
            <w:shd w:fill="F3F5F7"/>
            <w:vAlign w:val="center"/>
          </w:tcPr>
          <w:p>
            <w:r/>
            <w:r>
              <w:rPr>
                <w:rFonts w:ascii="Aptos" w:hAnsi="Aptos"/>
                <w:b w:val="0"/>
                <w:color w:val="1F2937"/>
                <w:sz w:val="18"/>
              </w:rPr>
              <w:t>490</w:t>
            </w:r>
          </w:p>
        </w:tc>
      </w:tr>
      <w:tr>
        <w:tc>
          <w:tcPr>
            <w:tcW w:type="dxa" w:w="4464"/>
            <w:shd w:fill="FFFFFF"/>
            <w:vAlign w:val="center"/>
          </w:tcPr>
          <w:p>
            <w:r/>
            <w:r>
              <w:rPr>
                <w:rFonts w:ascii="Aptos" w:hAnsi="Aptos"/>
                <w:b w:val="0"/>
                <w:color w:val="1F2937"/>
                <w:sz w:val="18"/>
              </w:rPr>
              <w:t>Future active</w:t>
            </w:r>
          </w:p>
        </w:tc>
        <w:tc>
          <w:tcPr>
            <w:tcW w:type="dxa" w:w="4608"/>
            <w:shd w:fill="FFFFFF"/>
            <w:vAlign w:val="center"/>
          </w:tcPr>
          <w:p>
            <w:r/>
            <w:r>
              <w:rPr>
                <w:rFonts w:ascii="Aptos" w:hAnsi="Aptos"/>
                <w:b w:val="0"/>
                <w:color w:val="1F2937"/>
                <w:sz w:val="18"/>
              </w:rPr>
              <w:t>1,275</w:t>
            </w:r>
          </w:p>
        </w:tc>
      </w:tr>
      <w:tr>
        <w:tc>
          <w:tcPr>
            <w:tcW w:type="dxa" w:w="4464"/>
            <w:shd w:fill="F3F5F7"/>
            <w:vAlign w:val="center"/>
          </w:tcPr>
          <w:p>
            <w:r/>
            <w:r>
              <w:rPr>
                <w:rFonts w:ascii="Aptos" w:hAnsi="Aptos"/>
                <w:b w:val="0"/>
                <w:color w:val="1F2937"/>
                <w:sz w:val="18"/>
              </w:rPr>
              <w:t>Inactivity rate</w:t>
            </w:r>
          </w:p>
        </w:tc>
        <w:tc>
          <w:tcPr>
            <w:tcW w:type="dxa" w:w="4608"/>
            <w:shd w:fill="F3F5F7"/>
            <w:vAlign w:val="center"/>
          </w:tcPr>
          <w:p>
            <w:r/>
            <w:r>
              <w:rPr>
                <w:rFonts w:ascii="Aptos" w:hAnsi="Aptos"/>
                <w:b w:val="0"/>
                <w:color w:val="1F2937"/>
                <w:sz w:val="18"/>
              </w:rPr>
              <w:t>27.76%</w:t>
            </w:r>
          </w:p>
        </w:tc>
      </w:tr>
      <w:tr>
        <w:tc>
          <w:tcPr>
            <w:tcW w:type="dxa" w:w="4464"/>
            <w:shd w:fill="FFFFFF"/>
            <w:vAlign w:val="center"/>
          </w:tcPr>
          <w:p>
            <w:r/>
            <w:r>
              <w:rPr>
                <w:rFonts w:ascii="Aptos" w:hAnsi="Aptos"/>
                <w:b w:val="0"/>
                <w:color w:val="1F2937"/>
                <w:sz w:val="18"/>
              </w:rPr>
              <w:t>Train/Test</w:t>
            </w:r>
          </w:p>
        </w:tc>
        <w:tc>
          <w:tcPr>
            <w:tcW w:type="dxa" w:w="4608"/>
            <w:shd w:fill="FFFFFF"/>
            <w:vAlign w:val="center"/>
          </w:tcPr>
          <w:p>
            <w:r/>
            <w:r>
              <w:rPr>
                <w:rFonts w:ascii="Aptos" w:hAnsi="Aptos"/>
                <w:b w:val="0"/>
                <w:color w:val="1F2937"/>
                <w:sz w:val="18"/>
              </w:rPr>
              <w:t>1,412 / 353</w:t>
            </w:r>
          </w:p>
        </w:tc>
      </w:tr>
      <w:tr>
        <w:tc>
          <w:tcPr>
            <w:tcW w:type="dxa" w:w="4464"/>
            <w:shd w:fill="F3F5F7"/>
            <w:vAlign w:val="center"/>
          </w:tcPr>
          <w:p>
            <w:r/>
            <w:r>
              <w:rPr>
                <w:rFonts w:ascii="Aptos" w:hAnsi="Aptos"/>
                <w:b w:val="0"/>
                <w:color w:val="1F2937"/>
                <w:sz w:val="18"/>
              </w:rPr>
              <w:t>Accuracy</w:t>
            </w:r>
          </w:p>
        </w:tc>
        <w:tc>
          <w:tcPr>
            <w:tcW w:type="dxa" w:w="4608"/>
            <w:shd w:fill="F3F5F7"/>
            <w:vAlign w:val="center"/>
          </w:tcPr>
          <w:p>
            <w:r/>
            <w:r>
              <w:rPr>
                <w:rFonts w:ascii="Aptos" w:hAnsi="Aptos"/>
                <w:b w:val="0"/>
                <w:color w:val="1F2937"/>
                <w:sz w:val="18"/>
              </w:rPr>
              <w:t>0.5864</w:t>
            </w:r>
          </w:p>
        </w:tc>
      </w:tr>
      <w:tr>
        <w:tc>
          <w:tcPr>
            <w:tcW w:type="dxa" w:w="4464"/>
            <w:shd w:fill="FFFFFF"/>
            <w:vAlign w:val="center"/>
          </w:tcPr>
          <w:p>
            <w:r/>
            <w:r>
              <w:rPr>
                <w:rFonts w:ascii="Aptos" w:hAnsi="Aptos"/>
                <w:b w:val="0"/>
                <w:color w:val="1F2937"/>
                <w:sz w:val="18"/>
              </w:rPr>
              <w:t>Precision</w:t>
            </w:r>
          </w:p>
        </w:tc>
        <w:tc>
          <w:tcPr>
            <w:tcW w:type="dxa" w:w="4608"/>
            <w:shd w:fill="FFFFFF"/>
            <w:vAlign w:val="center"/>
          </w:tcPr>
          <w:p>
            <w:r/>
            <w:r>
              <w:rPr>
                <w:rFonts w:ascii="Aptos" w:hAnsi="Aptos"/>
                <w:b w:val="0"/>
                <w:color w:val="1F2937"/>
                <w:sz w:val="18"/>
              </w:rPr>
              <w:t>0.3723</w:t>
            </w:r>
          </w:p>
        </w:tc>
      </w:tr>
      <w:tr>
        <w:tc>
          <w:tcPr>
            <w:tcW w:type="dxa" w:w="4464"/>
            <w:shd w:fill="F3F5F7"/>
            <w:vAlign w:val="center"/>
          </w:tcPr>
          <w:p>
            <w:r/>
            <w:r>
              <w:rPr>
                <w:rFonts w:ascii="Aptos" w:hAnsi="Aptos"/>
                <w:b w:val="0"/>
                <w:color w:val="1F2937"/>
                <w:sz w:val="18"/>
              </w:rPr>
              <w:t>Recall</w:t>
            </w:r>
          </w:p>
        </w:tc>
        <w:tc>
          <w:tcPr>
            <w:tcW w:type="dxa" w:w="4608"/>
            <w:shd w:fill="F3F5F7"/>
            <w:vAlign w:val="center"/>
          </w:tcPr>
          <w:p>
            <w:r/>
            <w:r>
              <w:rPr>
                <w:rFonts w:ascii="Aptos" w:hAnsi="Aptos"/>
                <w:b w:val="0"/>
                <w:color w:val="1F2937"/>
                <w:sz w:val="18"/>
              </w:rPr>
              <w:t>0.7143</w:t>
            </w:r>
          </w:p>
        </w:tc>
      </w:tr>
      <w:tr>
        <w:tc>
          <w:tcPr>
            <w:tcW w:type="dxa" w:w="4464"/>
            <w:shd w:fill="FFFFFF"/>
            <w:vAlign w:val="center"/>
          </w:tcPr>
          <w:p>
            <w:r/>
            <w:r>
              <w:rPr>
                <w:rFonts w:ascii="Aptos" w:hAnsi="Aptos"/>
                <w:b w:val="0"/>
                <w:color w:val="1F2937"/>
                <w:sz w:val="18"/>
              </w:rPr>
              <w:t>F1</w:t>
            </w:r>
          </w:p>
        </w:tc>
        <w:tc>
          <w:tcPr>
            <w:tcW w:type="dxa" w:w="4608"/>
            <w:shd w:fill="FFFFFF"/>
            <w:vAlign w:val="center"/>
          </w:tcPr>
          <w:p>
            <w:r/>
            <w:r>
              <w:rPr>
                <w:rFonts w:ascii="Aptos" w:hAnsi="Aptos"/>
                <w:b w:val="0"/>
                <w:color w:val="1F2937"/>
                <w:sz w:val="18"/>
              </w:rPr>
              <w:t>0.4895</w:t>
            </w:r>
          </w:p>
        </w:tc>
      </w:tr>
      <w:tr>
        <w:tc>
          <w:tcPr>
            <w:tcW w:type="dxa" w:w="4464"/>
            <w:shd w:fill="F3F5F7"/>
            <w:vAlign w:val="center"/>
          </w:tcPr>
          <w:p>
            <w:r/>
            <w:r>
              <w:rPr>
                <w:rFonts w:ascii="Aptos" w:hAnsi="Aptos"/>
                <w:b w:val="0"/>
                <w:color w:val="1F2937"/>
                <w:sz w:val="18"/>
              </w:rPr>
              <w:t>ROC-AUC</w:t>
            </w:r>
          </w:p>
        </w:tc>
        <w:tc>
          <w:tcPr>
            <w:tcW w:type="dxa" w:w="4608"/>
            <w:shd w:fill="F3F5F7"/>
            <w:vAlign w:val="center"/>
          </w:tcPr>
          <w:p>
            <w:r/>
            <w:r>
              <w:rPr>
                <w:rFonts w:ascii="Aptos" w:hAnsi="Aptos"/>
                <w:b w:val="0"/>
                <w:color w:val="1F2937"/>
                <w:sz w:val="18"/>
              </w:rPr>
              <w:t>0.7063</w:t>
            </w:r>
          </w:p>
        </w:tc>
      </w:tr>
      <w:tr>
        <w:tc>
          <w:tcPr>
            <w:tcW w:type="dxa" w:w="4464"/>
            <w:shd w:fill="FFFFFF"/>
            <w:vAlign w:val="center"/>
          </w:tcPr>
          <w:p>
            <w:r/>
            <w:r>
              <w:rPr>
                <w:rFonts w:ascii="Aptos" w:hAnsi="Aptos"/>
                <w:b w:val="0"/>
                <w:color w:val="1F2937"/>
                <w:sz w:val="18"/>
              </w:rPr>
              <w:t>PR-AUC</w:t>
            </w:r>
          </w:p>
        </w:tc>
        <w:tc>
          <w:tcPr>
            <w:tcW w:type="dxa" w:w="4608"/>
            <w:shd w:fill="FFFFFF"/>
            <w:vAlign w:val="center"/>
          </w:tcPr>
          <w:p>
            <w:r/>
            <w:r>
              <w:rPr>
                <w:rFonts w:ascii="Aptos" w:hAnsi="Aptos"/>
                <w:b w:val="0"/>
                <w:color w:val="1F2937"/>
                <w:sz w:val="18"/>
              </w:rPr>
              <w:t>0.4686</w:t>
            </w:r>
          </w:p>
        </w:tc>
      </w:tr>
      <w:tr>
        <w:tc>
          <w:tcPr>
            <w:tcW w:type="dxa" w:w="4464"/>
            <w:shd w:fill="F3F5F7"/>
            <w:vAlign w:val="center"/>
          </w:tcPr>
          <w:p>
            <w:r/>
            <w:r>
              <w:rPr>
                <w:rFonts w:ascii="Aptos" w:hAnsi="Aptos"/>
                <w:b w:val="0"/>
                <w:color w:val="1F2937"/>
                <w:sz w:val="18"/>
              </w:rPr>
              <w:t>Risk tiers</w:t>
            </w:r>
          </w:p>
        </w:tc>
        <w:tc>
          <w:tcPr>
            <w:tcW w:type="dxa" w:w="4608"/>
            <w:shd w:fill="F3F5F7"/>
            <w:vAlign w:val="center"/>
          </w:tcPr>
          <w:p>
            <w:r/>
            <w:r>
              <w:rPr>
                <w:rFonts w:ascii="Aptos" w:hAnsi="Aptos"/>
                <w:b w:val="0"/>
                <w:color w:val="1F2937"/>
                <w:sz w:val="18"/>
              </w:rPr>
              <w:t>706 Low / 706 Medium / 353 High</w:t>
            </w:r>
          </w:p>
        </w:tc>
      </w:tr>
    </w:tbl>
    <w:p>
      <w:pPr>
        <w:spacing w:after="40"/>
      </w:pP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7"/>
      </w:rPr>
      <w:t>IBM SkillsBuild Data Analytics &amp; AI Internship 2026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E-Commerce Customer Churn Analytics &amp; Retention Decision Support System — Project Report</dc:title>
  <dc:subject>IBM SkillsBuild Data Analytics &amp; AI Internship 2026 final project report</dc:subject>
  <dc:creator>Tanmay Chawhan</dc:creator>
  <cp:keywords>IBM SkillsBuild, Data Analytics, AI, Churn, RFM, Logistic Regression, Streamlit, Online Retail</cp:keywords>
  <dc:description>Generated from verified project outputs and dashboard screenshots as of 24 September 2026.</dc:description>
  <cp:lastModifiedBy/>
  <cp:revision>1</cp:revision>
  <dcterms:created xsi:type="dcterms:W3CDTF">2013-12-23T23:15:00Z</dcterms:created>
  <dcterms:modified xsi:type="dcterms:W3CDTF">2013-12-23T23:15:00Z</dcterms:modified>
  <cp:category/>
</cp:coreProperties>
</file>