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95A1" w14:textId="7AAD6B44" w:rsidR="005421A5" w:rsidRPr="005421A5" w:rsidRDefault="005421A5" w:rsidP="005421A5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"http://univ.ciciec.com/nd.jsp?id=562"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5421A5">
        <w:rPr>
          <w:rStyle w:val="a4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华大九</w:t>
      </w:r>
      <w:r w:rsidRPr="005421A5">
        <w:rPr>
          <w:rStyle w:val="a4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天</w:t>
      </w:r>
      <w:r w:rsidRPr="005421A5">
        <w:rPr>
          <w:rStyle w:val="a4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杯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3591146F" w14:textId="77777777" w:rsidR="005421A5" w:rsidRPr="005421A5" w:rsidRDefault="005421A5" w:rsidP="005421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421A5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一、杯赛题目：OLED建模优化算法</w:t>
      </w:r>
    </w:p>
    <w:p w14:paraId="19C9C317" w14:textId="77777777" w:rsidR="005421A5" w:rsidRPr="005421A5" w:rsidRDefault="005421A5" w:rsidP="005421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421A5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二、参赛组别：A组、B组</w:t>
      </w:r>
    </w:p>
    <w:p w14:paraId="6C4DF7E2" w14:textId="77777777" w:rsidR="005421A5" w:rsidRPr="005421A5" w:rsidRDefault="005421A5" w:rsidP="005421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421A5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三、赛题背景：</w:t>
      </w:r>
    </w:p>
    <w:p w14:paraId="062B9197" w14:textId="77777777" w:rsidR="005421A5" w:rsidRPr="005421A5" w:rsidRDefault="005421A5" w:rsidP="005421A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有机发光二极管器件（OLED）的建模、设计和仿真,是支撑高清液晶显示、VR/AR硬件、元宇宙、新能源汽车主控屏等重要应用场景的核心技术之一。随着产品性能提升，设计端对器件模型的要求也越来越高，传统的简单标准二极管模型已无法满足目前仿真需求。但是目前为止业界针对OLED仿真过程中所用到的器件模型并未形成统一的标准，需要基于compact model、</w:t>
      </w:r>
      <w:proofErr w:type="spellStart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marco</w:t>
      </w:r>
      <w:proofErr w:type="spellEnd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model（subcircuit）、</w:t>
      </w:r>
      <w:proofErr w:type="spellStart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verilog</w:t>
      </w:r>
      <w:proofErr w:type="spellEnd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-A等多种方法或者形式建立OLED模型。</w:t>
      </w:r>
    </w:p>
    <w:p w14:paraId="507D0454" w14:textId="77777777" w:rsidR="005421A5" w:rsidRPr="005421A5" w:rsidRDefault="005421A5" w:rsidP="005421A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proofErr w:type="spellStart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XModel</w:t>
      </w:r>
      <w:proofErr w:type="spellEnd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是国产EDA龙头企业华大九天完全自主知识产权的一站式半导体器件建模工具，可以为用户提供高效的模型提取解决方案，支持各</w:t>
      </w:r>
      <w:proofErr w:type="gramStart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类硅基金</w:t>
      </w:r>
      <w:proofErr w:type="gramEnd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属氧化物器件、高压器件、宽禁带半导体器件以及平板显示器件等不同类型的器件模型提取。</w:t>
      </w:r>
    </w:p>
    <w:p w14:paraId="671BE660" w14:textId="77777777" w:rsidR="005421A5" w:rsidRPr="005421A5" w:rsidRDefault="005421A5" w:rsidP="005421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421A5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四、赛题任务：</w:t>
      </w:r>
    </w:p>
    <w:p w14:paraId="3461E53D" w14:textId="77777777" w:rsidR="005421A5" w:rsidRPr="005421A5" w:rsidRDefault="005421A5" w:rsidP="005421A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设计一套高效快速准确的基于</w:t>
      </w:r>
      <w:proofErr w:type="spellStart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XModel</w:t>
      </w:r>
      <w:proofErr w:type="spellEnd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工具的OLED建模优化算法。</w:t>
      </w:r>
    </w:p>
    <w:p w14:paraId="2AA4325F" w14:textId="77777777" w:rsidR="005421A5" w:rsidRPr="005421A5" w:rsidRDefault="005421A5" w:rsidP="005421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421A5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五、设计指标：</w:t>
      </w:r>
    </w:p>
    <w:p w14:paraId="782D3ED9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1. 提取出来的模型必须包含器件基本IV/CV特性及基本器件效应，相关</w:t>
      </w:r>
      <w:proofErr w:type="gramStart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数据杯赛</w:t>
      </w:r>
      <w:proofErr w:type="gramEnd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企业会后续提供。</w:t>
      </w:r>
    </w:p>
    <w:p w14:paraId="7AD110F3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2. 精度要求：提取出来的模型与实际需要fitting的数据RMS误差不超过5%，在此基础上，精度越高得分越高。</w:t>
      </w:r>
    </w:p>
    <w:p w14:paraId="41843FE0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3. 收敛性及扩展性：提取出来的模型单管和典型电路中的仿真收敛性能够正常仿真，收敛速度越快得分越高。提取出来的模型对电压，器件尺寸的scaling变化具有预测</w:t>
      </w: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性，预测出来的趋势符合实际特性，量化误差不超过30%。相关数据由企业提供，量化误差指的是器件电压、尺寸外延扩展后的数据与实际测试数据（IV/JV、CV特性）</w:t>
      </w:r>
    </w:p>
    <w:p w14:paraId="0993491F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4. 速度要求：设计出来的优化算法在自动提取下满足精度的同时，时间不超过10min，在此基础上，时间越短得分越高。</w:t>
      </w:r>
    </w:p>
    <w:p w14:paraId="7268EE72" w14:textId="77777777" w:rsidR="005421A5" w:rsidRPr="005421A5" w:rsidRDefault="005421A5" w:rsidP="005421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附加题或进阶指标：</w:t>
      </w:r>
    </w:p>
    <w:p w14:paraId="3E90707E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1. 完成基本特性表征后，能够提出更复杂的器件效应，且给出该效应的物理机制、测试或仿真方法、建模方法可以作为附加项得分。</w:t>
      </w:r>
    </w:p>
    <w:p w14:paraId="46386CF6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2. 总结当前所建立模型的优缺点，并提出未来可优化方向可以作为附加项得分。</w:t>
      </w:r>
    </w:p>
    <w:p w14:paraId="7DB8F560" w14:textId="77777777" w:rsidR="005421A5" w:rsidRPr="005421A5" w:rsidRDefault="005421A5" w:rsidP="005421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421A5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六、杯赛阶段及提交内容：</w:t>
      </w:r>
    </w:p>
    <w:p w14:paraId="3BAA662D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1. 初赛和企业技术评分：</w:t>
      </w:r>
    </w:p>
    <w:p w14:paraId="131EA165" w14:textId="77777777" w:rsidR="005421A5" w:rsidRPr="005421A5" w:rsidRDefault="005421A5" w:rsidP="005421A5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(1) 技术文档；除了需要完成程序设计和测试，还需要完成一份设计报告，包含算法设计和测试效果</w:t>
      </w:r>
    </w:p>
    <w:p w14:paraId="19225964" w14:textId="77777777" w:rsidR="005421A5" w:rsidRPr="005421A5" w:rsidRDefault="005421A5" w:rsidP="005421A5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(2) 算法测试数据；</w:t>
      </w:r>
    </w:p>
    <w:p w14:paraId="55CBFF8F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2. 分赛区决赛提交内容</w:t>
      </w:r>
    </w:p>
    <w:p w14:paraId="0E17ED90" w14:textId="77777777" w:rsidR="005421A5" w:rsidRPr="005421A5" w:rsidRDefault="005421A5" w:rsidP="005421A5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(1) 汇报PPT：算法介绍、关键技术介绍、性能指标</w:t>
      </w:r>
    </w:p>
    <w:p w14:paraId="47017445" w14:textId="77777777" w:rsidR="005421A5" w:rsidRPr="005421A5" w:rsidRDefault="005421A5" w:rsidP="005421A5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(2) 详细设计方案：关键技术原理分析及性能指标要求</w:t>
      </w:r>
    </w:p>
    <w:p w14:paraId="1DD6556F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3. 总决赛提交内容</w:t>
      </w:r>
    </w:p>
    <w:p w14:paraId="4298390C" w14:textId="77777777" w:rsidR="005421A5" w:rsidRPr="005421A5" w:rsidRDefault="005421A5" w:rsidP="005421A5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(1) 汇报PPT：算法介绍、关键技术介绍、性能指标</w:t>
      </w:r>
    </w:p>
    <w:p w14:paraId="64D16443" w14:textId="77777777" w:rsidR="005421A5" w:rsidRPr="005421A5" w:rsidRDefault="005421A5" w:rsidP="005421A5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(2) 详细设计方案：关键技术原理分析及性能指标要求</w:t>
      </w:r>
    </w:p>
    <w:p w14:paraId="5000558D" w14:textId="77777777" w:rsidR="005421A5" w:rsidRPr="005421A5" w:rsidRDefault="005421A5" w:rsidP="005421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421A5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七、评分标准：</w:t>
      </w:r>
    </w:p>
    <w:tbl>
      <w:tblPr>
        <w:tblW w:w="145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518"/>
        <w:gridCol w:w="956"/>
        <w:gridCol w:w="10205"/>
      </w:tblGrid>
      <w:tr w:rsidR="005421A5" w:rsidRPr="005421A5" w14:paraId="50AC32EA" w14:textId="77777777" w:rsidTr="005421A5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DEDBB0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大项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9EC421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D713FC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分值</w:t>
            </w:r>
          </w:p>
        </w:tc>
        <w:tc>
          <w:tcPr>
            <w:tcW w:w="10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2676E7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评分要求</w:t>
            </w:r>
          </w:p>
        </w:tc>
      </w:tr>
      <w:tr w:rsidR="005421A5" w:rsidRPr="005421A5" w14:paraId="6DA4F18C" w14:textId="77777777" w:rsidTr="005421A5">
        <w:tc>
          <w:tcPr>
            <w:tcW w:w="196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2A2148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性能指标（60分）</w:t>
            </w:r>
          </w:p>
        </w:tc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4BC509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1.精度</w:t>
            </w:r>
          </w:p>
        </w:tc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D2CA1A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30分</w:t>
            </w:r>
          </w:p>
        </w:tc>
        <w:tc>
          <w:tcPr>
            <w:tcW w:w="10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A02D80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构建的模型优化算法能够使模型的fitting误差达到设定值。（RMS误差不超过5%）</w:t>
            </w:r>
          </w:p>
          <w:p w14:paraId="25FE4A1D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Arial" w:eastAsia="微软雅黑" w:hAnsi="Arial" w:cs="Arial"/>
                <w:color w:val="000000"/>
                <w:kern w:val="0"/>
                <w:szCs w:val="21"/>
              </w:rPr>
              <w:lastRenderedPageBreak/>
              <w:t>• 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误差率大于10%，算法无效，得分为0；</w:t>
            </w:r>
          </w:p>
          <w:p w14:paraId="276E005F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• 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误差率大于5%，但小于10%，得分为5分；</w:t>
            </w:r>
          </w:p>
          <w:p w14:paraId="4210FB14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• 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误差率大于2%，但小于5%，得分为15分；</w:t>
            </w:r>
          </w:p>
          <w:p w14:paraId="207CFB72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• 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误差率大于1%，但小于2%，得分为20分；</w:t>
            </w:r>
          </w:p>
          <w:p w14:paraId="75C6FB55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• 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误差率小于1%，得分为30分</w:t>
            </w:r>
          </w:p>
        </w:tc>
      </w:tr>
      <w:tr w:rsidR="005421A5" w:rsidRPr="005421A5" w14:paraId="054ACEB7" w14:textId="77777777" w:rsidTr="005421A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D389DC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5C9C75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2.效率</w:t>
            </w:r>
          </w:p>
        </w:tc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EAFEC2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30分</w:t>
            </w:r>
          </w:p>
        </w:tc>
        <w:tc>
          <w:tcPr>
            <w:tcW w:w="10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3C328A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模型优化达到规定误差率所需时间</w:t>
            </w:r>
          </w:p>
          <w:p w14:paraId="5E6BBEB5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• 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大于10min，算法无效，总得分为0 ；</w:t>
            </w:r>
          </w:p>
          <w:p w14:paraId="66801924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• 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大于5min但小于等于10min，给10分；</w:t>
            </w:r>
          </w:p>
          <w:p w14:paraId="5B516FCA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• 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大于2min但小于等于5min，给20分；</w:t>
            </w:r>
          </w:p>
          <w:p w14:paraId="5E3A7FEF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• 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小于等于2min，满分。</w:t>
            </w:r>
          </w:p>
        </w:tc>
      </w:tr>
      <w:tr w:rsidR="005421A5" w:rsidRPr="005421A5" w14:paraId="390D1285" w14:textId="77777777" w:rsidTr="005421A5"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E9029F" w14:textId="77777777" w:rsidR="005421A5" w:rsidRPr="005421A5" w:rsidRDefault="005421A5" w:rsidP="005421A5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优化指标</w:t>
            </w:r>
          </w:p>
          <w:p w14:paraId="031653D3" w14:textId="77777777" w:rsidR="005421A5" w:rsidRPr="005421A5" w:rsidRDefault="005421A5" w:rsidP="005421A5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（20分）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9A72C3" w14:textId="77777777" w:rsidR="005421A5" w:rsidRPr="005421A5" w:rsidRDefault="005421A5" w:rsidP="005421A5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1.优化目标</w:t>
            </w: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</w:p>
        </w:tc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3163A7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20分</w:t>
            </w:r>
          </w:p>
        </w:tc>
        <w:tc>
          <w:tcPr>
            <w:tcW w:w="10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C8F313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• 创新性：优化算法是否有创新；</w:t>
            </w:r>
          </w:p>
          <w:p w14:paraId="0721DC4C" w14:textId="77777777" w:rsidR="005421A5" w:rsidRPr="005421A5" w:rsidRDefault="005421A5" w:rsidP="005421A5">
            <w:pPr>
              <w:widowControl/>
              <w:ind w:left="72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• 收敛性：满足技术指标下，仿真收敛速度越好；</w:t>
            </w:r>
          </w:p>
        </w:tc>
      </w:tr>
      <w:tr w:rsidR="005421A5" w:rsidRPr="005421A5" w14:paraId="03925E60" w14:textId="77777777" w:rsidTr="005421A5">
        <w:tc>
          <w:tcPr>
            <w:tcW w:w="196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8C5A06" w14:textId="77777777" w:rsidR="005421A5" w:rsidRPr="005421A5" w:rsidRDefault="005421A5" w:rsidP="005421A5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文档与现场表现</w:t>
            </w:r>
          </w:p>
          <w:p w14:paraId="34666CA0" w14:textId="77777777" w:rsidR="005421A5" w:rsidRPr="005421A5" w:rsidRDefault="005421A5" w:rsidP="005421A5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（20分）</w:t>
            </w:r>
          </w:p>
        </w:tc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6204CC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1.现场答辩和演示</w:t>
            </w:r>
          </w:p>
        </w:tc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5EFBAC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10分</w:t>
            </w:r>
          </w:p>
        </w:tc>
        <w:tc>
          <w:tcPr>
            <w:tcW w:w="10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E9CF1A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1.答辩和问答表现</w:t>
            </w:r>
          </w:p>
          <w:p w14:paraId="7DBAD535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2.现场演示效果</w:t>
            </w:r>
          </w:p>
        </w:tc>
      </w:tr>
      <w:tr w:rsidR="005421A5" w:rsidRPr="005421A5" w14:paraId="65AE540D" w14:textId="77777777" w:rsidTr="005421A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3B2FC4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A43017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2.文档质量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D5E3E9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10分</w:t>
            </w:r>
          </w:p>
        </w:tc>
        <w:tc>
          <w:tcPr>
            <w:tcW w:w="10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95175F" w14:textId="77777777" w:rsidR="005421A5" w:rsidRPr="005421A5" w:rsidRDefault="005421A5" w:rsidP="005421A5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 汇报PPT重点突出、条理清晰。</w:t>
            </w:r>
          </w:p>
        </w:tc>
      </w:tr>
      <w:tr w:rsidR="005421A5" w:rsidRPr="005421A5" w14:paraId="48A1A0B0" w14:textId="77777777" w:rsidTr="005421A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DB6DEE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15434A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C3433A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0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F6DDA3" w14:textId="77777777" w:rsidR="005421A5" w:rsidRPr="005421A5" w:rsidRDefault="005421A5" w:rsidP="005421A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421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 设计方案原理分析合理、逻辑清晰。</w:t>
            </w:r>
          </w:p>
        </w:tc>
      </w:tr>
    </w:tbl>
    <w:p w14:paraId="7B9E5E1E" w14:textId="77777777" w:rsidR="005421A5" w:rsidRPr="005421A5" w:rsidRDefault="005421A5" w:rsidP="005421A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421A5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八、注意事项：</w:t>
      </w:r>
    </w:p>
    <w:p w14:paraId="058DB178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Arial" w:eastAsia="微软雅黑" w:hAnsi="Arial" w:cs="Arial"/>
          <w:color w:val="000000"/>
          <w:kern w:val="0"/>
          <w:szCs w:val="21"/>
        </w:rPr>
        <w:t>1. </w:t>
      </w: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参加杯赛的作品，杯赛出题企业有权在同等条件下优先购买参加本</w:t>
      </w:r>
      <w:proofErr w:type="gramStart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企业杯赛</w:t>
      </w:r>
      <w:proofErr w:type="gramEnd"/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及单项奖获奖团队作品的知识产权。</w:t>
      </w:r>
    </w:p>
    <w:p w14:paraId="27DDF2C8" w14:textId="77777777" w:rsidR="005421A5" w:rsidRPr="005421A5" w:rsidRDefault="005421A5" w:rsidP="005421A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421A5">
        <w:rPr>
          <w:rFonts w:ascii="Arial" w:eastAsia="微软雅黑" w:hAnsi="Arial" w:cs="Arial"/>
          <w:color w:val="000000"/>
          <w:kern w:val="0"/>
          <w:szCs w:val="21"/>
        </w:rPr>
        <w:t>2. </w:t>
      </w:r>
      <w:r w:rsidRPr="005421A5">
        <w:rPr>
          <w:rFonts w:ascii="微软雅黑" w:eastAsia="微软雅黑" w:hAnsi="微软雅黑" w:cs="宋体" w:hint="eastAsia"/>
          <w:color w:val="000000"/>
          <w:kern w:val="0"/>
          <w:szCs w:val="21"/>
        </w:rPr>
        <w:t>大赛组委会对参赛作品的提交材料拥有使用权和展示权。</w:t>
      </w:r>
    </w:p>
    <w:p w14:paraId="629157DE" w14:textId="77777777" w:rsidR="00DB7C89" w:rsidRPr="005421A5" w:rsidRDefault="00DB7C89"/>
    <w:sectPr w:rsidR="00DB7C89" w:rsidRPr="0054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C8"/>
    <w:rsid w:val="000315F0"/>
    <w:rsid w:val="002556BC"/>
    <w:rsid w:val="005421A5"/>
    <w:rsid w:val="00DB7C89"/>
    <w:rsid w:val="00E3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A0FA-2060-4227-9BC0-A52223AA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21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421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421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1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421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421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42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421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21A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42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2023-02-03T12:01:00Z</dcterms:created>
  <dcterms:modified xsi:type="dcterms:W3CDTF">2023-02-03T12:32:00Z</dcterms:modified>
</cp:coreProperties>
</file>