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ListTable3-Accent5"/>
        <w:tblW w:w="1516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13"/>
        <w:gridCol w:w="2549"/>
        <w:gridCol w:w="2277"/>
        <w:gridCol w:w="2577"/>
        <w:gridCol w:w="2378"/>
        <w:gridCol w:w="2488"/>
        <w:gridCol w:w="2081"/>
      </w:tblGrid>
      <w:tr w:rsidR="00D933C1" w:rsidRPr="007F12A9" w14:paraId="63DB2C58" w14:textId="77777777" w:rsidTr="007F12A9">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834" w:type="dxa"/>
            <w:tcBorders>
              <w:bottom w:val="none" w:sz="0" w:space="0" w:color="auto"/>
              <w:right w:val="none" w:sz="0" w:space="0" w:color="auto"/>
            </w:tcBorders>
            <w:vAlign w:val="center"/>
          </w:tcPr>
          <w:p w14:paraId="07CF0795" w14:textId="65B6CA42" w:rsidR="00D933C1" w:rsidRPr="007F12A9" w:rsidRDefault="004A1515" w:rsidP="007F12A9">
            <w:pPr>
              <w:jc w:val="center"/>
              <w:rPr>
                <w:rFonts w:ascii="Times New Roman" w:hAnsi="Times New Roman" w:cs="Times New Roman"/>
                <w:sz w:val="28"/>
                <w:szCs w:val="28"/>
                <w:lang w:val="en-US"/>
              </w:rPr>
            </w:pPr>
            <w:r w:rsidRPr="007F12A9">
              <w:rPr>
                <w:rFonts w:ascii="Times New Roman" w:hAnsi="Times New Roman" w:cs="Times New Roman"/>
                <w:sz w:val="28"/>
                <w:szCs w:val="28"/>
                <w:lang w:val="en-US"/>
              </w:rPr>
              <w:t>STT</w:t>
            </w:r>
          </w:p>
        </w:tc>
        <w:tc>
          <w:tcPr>
            <w:tcW w:w="2097" w:type="dxa"/>
            <w:vAlign w:val="center"/>
          </w:tcPr>
          <w:p w14:paraId="2C628485" w14:textId="383F9CF6" w:rsidR="00D933C1" w:rsidRPr="007F12A9" w:rsidRDefault="004A1515" w:rsidP="004A151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Thông tin cốt lõi (Tác giả, Năm, Tựa đề, Nguồn)</w:t>
            </w:r>
          </w:p>
        </w:tc>
        <w:tc>
          <w:tcPr>
            <w:tcW w:w="2477" w:type="dxa"/>
            <w:vAlign w:val="center"/>
          </w:tcPr>
          <w:p w14:paraId="5A82AE4B" w14:textId="0AA02482" w:rsidR="00D933C1" w:rsidRPr="007F12A9" w:rsidRDefault="004A1515" w:rsidP="004A151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Vấn đề / Câu hỏi nghiên cứu (Problem Statement)</w:t>
            </w:r>
          </w:p>
        </w:tc>
        <w:tc>
          <w:tcPr>
            <w:tcW w:w="2763" w:type="dxa"/>
            <w:vAlign w:val="center"/>
          </w:tcPr>
          <w:p w14:paraId="62655420" w14:textId="6572A8BA" w:rsidR="00D933C1" w:rsidRPr="007F12A9" w:rsidRDefault="004A1515" w:rsidP="004A151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Phương pháp / Công nghệ (Methodology)</w:t>
            </w:r>
          </w:p>
        </w:tc>
        <w:tc>
          <w:tcPr>
            <w:tcW w:w="2498" w:type="dxa"/>
            <w:vAlign w:val="center"/>
          </w:tcPr>
          <w:p w14:paraId="64594A81" w14:textId="7D5EED4E" w:rsidR="00D933C1" w:rsidRPr="007F12A9" w:rsidRDefault="004A1515" w:rsidP="004A151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Kết quả / Đóng góp chính (Key Contributions)</w:t>
            </w:r>
          </w:p>
        </w:tc>
        <w:tc>
          <w:tcPr>
            <w:tcW w:w="2392" w:type="dxa"/>
            <w:vAlign w:val="center"/>
          </w:tcPr>
          <w:p w14:paraId="508C32DE" w14:textId="6B5A3FA7" w:rsidR="00D933C1" w:rsidRPr="007F12A9" w:rsidRDefault="004A1515" w:rsidP="004A151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Hạn chế / Khoảng trống (Limitations/Gaps)</w:t>
            </w:r>
          </w:p>
        </w:tc>
        <w:tc>
          <w:tcPr>
            <w:tcW w:w="2102" w:type="dxa"/>
            <w:vAlign w:val="center"/>
          </w:tcPr>
          <w:p w14:paraId="2D886017" w14:textId="223EE210" w:rsidR="00D933C1" w:rsidRPr="007F12A9" w:rsidRDefault="004A1515" w:rsidP="004A1515">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 xml:space="preserve">Ý tưởng ứng dụng </w:t>
            </w:r>
            <w:r w:rsidR="00C96CFC" w:rsidRPr="007F12A9">
              <w:rPr>
                <w:rFonts w:ascii="Times New Roman" w:hAnsi="Times New Roman" w:cs="Times New Roman"/>
                <w:sz w:val="28"/>
                <w:szCs w:val="28"/>
              </w:rPr>
              <w:t>gợi ý</w:t>
            </w:r>
          </w:p>
        </w:tc>
      </w:tr>
      <w:tr w:rsidR="00D933C1" w:rsidRPr="007F12A9" w14:paraId="44478B77" w14:textId="77777777" w:rsidTr="007F1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Borders>
              <w:top w:val="none" w:sz="0" w:space="0" w:color="auto"/>
              <w:bottom w:val="none" w:sz="0" w:space="0" w:color="auto"/>
              <w:right w:val="none" w:sz="0" w:space="0" w:color="auto"/>
            </w:tcBorders>
          </w:tcPr>
          <w:p w14:paraId="6A410B93" w14:textId="034DF0D6" w:rsidR="007F12A9" w:rsidRPr="007F12A9" w:rsidRDefault="007F12A9" w:rsidP="007F12A9">
            <w:pPr>
              <w:jc w:val="center"/>
              <w:rPr>
                <w:rFonts w:ascii="Times New Roman" w:hAnsi="Times New Roman" w:cs="Times New Roman"/>
                <w:b w:val="0"/>
                <w:bCs w:val="0"/>
                <w:sz w:val="28"/>
                <w:szCs w:val="28"/>
                <w:lang w:val="en-US"/>
              </w:rPr>
            </w:pPr>
            <w:r>
              <w:rPr>
                <w:rFonts w:ascii="Times New Roman" w:hAnsi="Times New Roman" w:cs="Times New Roman"/>
                <w:sz w:val="28"/>
                <w:szCs w:val="28"/>
                <w:lang w:val="en-US"/>
              </w:rPr>
              <w:t>1</w:t>
            </w:r>
          </w:p>
        </w:tc>
        <w:tc>
          <w:tcPr>
            <w:tcW w:w="2097" w:type="dxa"/>
            <w:tcBorders>
              <w:top w:val="none" w:sz="0" w:space="0" w:color="auto"/>
              <w:bottom w:val="none" w:sz="0" w:space="0" w:color="auto"/>
            </w:tcBorders>
          </w:tcPr>
          <w:p w14:paraId="5C65FDE9" w14:textId="0EB901F2" w:rsidR="00D933C1" w:rsidRPr="007F12A9" w:rsidRDefault="004A15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G. Y. Mostafa, N. M. Galal, K. S. El-Kilany. Sustainable Dynamic Pricing for Perishable Food with Stochastic Demand.</w:t>
            </w:r>
          </w:p>
        </w:tc>
        <w:tc>
          <w:tcPr>
            <w:tcW w:w="2477" w:type="dxa"/>
            <w:tcBorders>
              <w:top w:val="none" w:sz="0" w:space="0" w:color="auto"/>
              <w:bottom w:val="none" w:sz="0" w:space="0" w:color="auto"/>
            </w:tcBorders>
          </w:tcPr>
          <w:p w14:paraId="4FCAC8FB" w14:textId="755DD886" w:rsidR="00D933C1" w:rsidRPr="007F12A9" w:rsidRDefault="004A15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Các nhà bán lẻ phải chịu áp lực kép: tối đa hóa lợi nhuận đồng thời phải giảm thiểu rác thải thực phẩm đối với các mặt hàng dễ hỏng. Khách hàng không muốn mua sản phẩm giảm chất lượng (do để lâu) nếu giá không được giảm. Chiến lược giá cố định dẫn đến lượng hàng hỏng lớn và giảm doanh thu.</w:t>
            </w:r>
          </w:p>
        </w:tc>
        <w:tc>
          <w:tcPr>
            <w:tcW w:w="2763" w:type="dxa"/>
            <w:tcBorders>
              <w:top w:val="none" w:sz="0" w:space="0" w:color="auto"/>
              <w:bottom w:val="none" w:sz="0" w:space="0" w:color="auto"/>
            </w:tcBorders>
          </w:tcPr>
          <w:p w14:paraId="318D3042" w14:textId="348C7999" w:rsidR="00D933C1" w:rsidRPr="007F12A9" w:rsidRDefault="004A15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Xây dựng mô hình mô phỏng bằng phần mềm ExtendSim 9.2. Mô phỏng nhu cầu ngẫu nhiên (Stochastic demand) dựa trên giá cả và tuổi thọ sản phẩm , sử dụng phân phối Poisson. Hệ thống áp dụng chính sách nhập hàng định kỳ hàng ngày và nguyên tắc xuất kho FIFO (Nhập trước xuất trước).</w:t>
            </w:r>
          </w:p>
        </w:tc>
        <w:tc>
          <w:tcPr>
            <w:tcW w:w="2498" w:type="dxa"/>
            <w:tcBorders>
              <w:top w:val="none" w:sz="0" w:space="0" w:color="auto"/>
              <w:bottom w:val="none" w:sz="0" w:space="0" w:color="auto"/>
            </w:tcBorders>
          </w:tcPr>
          <w:p w14:paraId="10811D1C" w14:textId="1BB4327F" w:rsidR="00D933C1" w:rsidRPr="007F12A9" w:rsidRDefault="004A15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Chứng minh giá động (Dynamic pricing) vượt trội hoàn toàn so với giá cố định cả về lợi nhuận lẫn khả năng giảm rác thải. Chiến lược giá động đạt doanh thu ròng 1.516.349 USD, cao hơn rất nhiều so với mức 227.567 USD của giá cố định. Xác định số lượng nhập hàng tối ưu hàng ngày là 1.000 đơn vị.</w:t>
            </w:r>
          </w:p>
        </w:tc>
        <w:tc>
          <w:tcPr>
            <w:tcW w:w="2392" w:type="dxa"/>
            <w:tcBorders>
              <w:top w:val="none" w:sz="0" w:space="0" w:color="auto"/>
              <w:bottom w:val="none" w:sz="0" w:space="0" w:color="auto"/>
            </w:tcBorders>
          </w:tcPr>
          <w:p w14:paraId="44467970" w14:textId="5798F3DF" w:rsidR="00D933C1" w:rsidRPr="007F12A9" w:rsidRDefault="004A15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Mô hình chỉ giả định cho một sản phẩm duy nhất và giả định khách hàng có tầm nhìn ngắn hạn (chỉ mua dựa trên giá hiện tại). Bỏ qua các chi phí quan trọng như chi phí điều chỉnh giá (menu costs), chi phí thiết lập và chi phí lưu kho. Không cho phép đặt hàng muộn (backorders).</w:t>
            </w:r>
          </w:p>
        </w:tc>
        <w:tc>
          <w:tcPr>
            <w:tcW w:w="2102" w:type="dxa"/>
            <w:tcBorders>
              <w:top w:val="none" w:sz="0" w:space="0" w:color="auto"/>
              <w:bottom w:val="none" w:sz="0" w:space="0" w:color="auto"/>
            </w:tcBorders>
          </w:tcPr>
          <w:p w14:paraId="5EAD955A" w14:textId="0B05161D" w:rsidR="00D933C1" w:rsidRPr="007F12A9" w:rsidRDefault="004A1515">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Thuật toán định giá động này rất hữu ích để tham khảo khi viết các quy tắc nghiệp vụ (Business Rules) cho hệ thống e-commerce thực phẩm. Có thể cân nhắc thêm các biến số về chi phí lưu kho nếu lập trình mô phỏng lại hệ thống này.</w:t>
            </w:r>
          </w:p>
        </w:tc>
      </w:tr>
      <w:tr w:rsidR="00D933C1" w:rsidRPr="007F12A9" w14:paraId="22004FCF" w14:textId="77777777" w:rsidTr="007F12A9">
        <w:tc>
          <w:tcPr>
            <w:cnfStyle w:val="001000000000" w:firstRow="0" w:lastRow="0" w:firstColumn="1" w:lastColumn="0" w:oddVBand="0" w:evenVBand="0" w:oddHBand="0" w:evenHBand="0" w:firstRowFirstColumn="0" w:firstRowLastColumn="0" w:lastRowFirstColumn="0" w:lastRowLastColumn="0"/>
            <w:tcW w:w="834" w:type="dxa"/>
            <w:tcBorders>
              <w:right w:val="none" w:sz="0" w:space="0" w:color="auto"/>
            </w:tcBorders>
          </w:tcPr>
          <w:p w14:paraId="07BE320B" w14:textId="4BB1413C" w:rsidR="007F12A9" w:rsidRPr="007F12A9" w:rsidRDefault="007F12A9" w:rsidP="007F12A9">
            <w:pPr>
              <w:jc w:val="center"/>
              <w:rPr>
                <w:rFonts w:ascii="Times New Roman" w:hAnsi="Times New Roman" w:cs="Times New Roman"/>
                <w:b w:val="0"/>
                <w:bCs w:val="0"/>
                <w:sz w:val="28"/>
                <w:szCs w:val="28"/>
                <w:lang w:val="en-US"/>
              </w:rPr>
            </w:pPr>
            <w:r>
              <w:rPr>
                <w:rFonts w:ascii="Times New Roman" w:hAnsi="Times New Roman" w:cs="Times New Roman"/>
                <w:sz w:val="28"/>
                <w:szCs w:val="28"/>
                <w:lang w:val="en-US"/>
              </w:rPr>
              <w:t>2</w:t>
            </w:r>
          </w:p>
        </w:tc>
        <w:tc>
          <w:tcPr>
            <w:tcW w:w="2097" w:type="dxa"/>
          </w:tcPr>
          <w:p w14:paraId="2692935C" w14:textId="7B0641F9"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Kayikci et al. (2022). Data-driven optimal dynamic pricing strategy for reducing perishable food waste at retailers. Journal of Cleaner Production.</w:t>
            </w:r>
          </w:p>
        </w:tc>
        <w:tc>
          <w:tcPr>
            <w:tcW w:w="2477" w:type="dxa"/>
          </w:tcPr>
          <w:p w14:paraId="602BEF36" w14:textId="38D245CE"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 xml:space="preserve">Việc định giá không chính xác tại các nhà bán lẻ dẫn đến lượng lớn thực phẩm tươi sống (lên tới 40% ở các nước thu nhập thấp và </w:t>
            </w:r>
            <w:r w:rsidRPr="007F12A9">
              <w:rPr>
                <w:rFonts w:ascii="Times New Roman" w:hAnsi="Times New Roman" w:cs="Times New Roman"/>
                <w:sz w:val="28"/>
                <w:szCs w:val="28"/>
              </w:rPr>
              <w:lastRenderedPageBreak/>
              <w:t>trung bình) bị vứt bỏ hoặc tái phân phối, gây thiệt hại nghiêm trọng về kinh tế.</w:t>
            </w:r>
          </w:p>
        </w:tc>
        <w:tc>
          <w:tcPr>
            <w:tcW w:w="2763" w:type="dxa"/>
          </w:tcPr>
          <w:p w14:paraId="1084CCB4" w14:textId="58BF953A"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Đề xuất chiến lược giá động 4 giai đoạn áp dụng phương pháp quy hoạch động đa giai đoạn (multi-stage dynamic programming). Sử </w:t>
            </w:r>
            <w:r w:rsidRPr="007F12A9">
              <w:rPr>
                <w:rFonts w:ascii="Times New Roman" w:hAnsi="Times New Roman" w:cs="Times New Roman"/>
                <w:sz w:val="28"/>
                <w:szCs w:val="28"/>
              </w:rPr>
              <w:lastRenderedPageBreak/>
              <w:t>dụng dữ liệu thời gian thực từ cảm biến IoT (cụ thể là cảm biến hình ảnh siêu phổ - hyperspectral imaging sensors) để tính toán điểm độ tươi (freshness score).</w:t>
            </w:r>
          </w:p>
        </w:tc>
        <w:tc>
          <w:tcPr>
            <w:tcW w:w="2498" w:type="dxa"/>
          </w:tcPr>
          <w:p w14:paraId="51ADBFF3" w14:textId="585931D5"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Mô hình giúp nhà bán lẻ thiết lập mức giá tối ưu, từ đó tăng doanh thu, cải thiện sự hài lòng của khách hàng và giảm lượng hàng vứt bỏ. </w:t>
            </w:r>
            <w:r w:rsidRPr="007F12A9">
              <w:rPr>
                <w:rFonts w:ascii="Times New Roman" w:hAnsi="Times New Roman" w:cs="Times New Roman"/>
                <w:sz w:val="28"/>
                <w:szCs w:val="28"/>
              </w:rPr>
              <w:lastRenderedPageBreak/>
              <w:t>Kết quả mô phỏng thực tế chỉ ra mức chiết khấu 7% giúp tối đa hóa lợi nhuận và đưa lượng thực phẩm lãng phí về mức 0.</w:t>
            </w:r>
          </w:p>
        </w:tc>
        <w:tc>
          <w:tcPr>
            <w:tcW w:w="2392" w:type="dxa"/>
          </w:tcPr>
          <w:p w14:paraId="11A9ADB7" w14:textId="3A1D902A"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Mô hình chưa xem xét các ràng buộc về quy mô lô hàng (lot-sizing constraints). Cần nghiên cứu thêm việc tích hợp các cảm biến khác </w:t>
            </w:r>
            <w:r w:rsidRPr="007F12A9">
              <w:rPr>
                <w:rFonts w:ascii="Times New Roman" w:hAnsi="Times New Roman" w:cs="Times New Roman"/>
                <w:sz w:val="28"/>
                <w:szCs w:val="28"/>
              </w:rPr>
              <w:lastRenderedPageBreak/>
              <w:t>(nhiệt độ, hóa chất) và giải pháp đóng gói "không chạm" để đáp ứng an toàn phòng dịch.</w:t>
            </w:r>
          </w:p>
        </w:tc>
        <w:tc>
          <w:tcPr>
            <w:tcW w:w="2102" w:type="dxa"/>
          </w:tcPr>
          <w:p w14:paraId="3579F031" w14:textId="1FFBF67D"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Luồng logic tự động cập nhật giá dựa trên điểm độ tươi thu thập từ IoT cung cấp một hệ quy chiếu rất tốt để thiết kế các </w:t>
            </w:r>
            <w:r w:rsidRPr="007F12A9">
              <w:rPr>
                <w:rFonts w:ascii="Times New Roman" w:hAnsi="Times New Roman" w:cs="Times New Roman"/>
                <w:sz w:val="28"/>
                <w:szCs w:val="28"/>
              </w:rPr>
              <w:lastRenderedPageBreak/>
              <w:t>ca sử dụng (Use Cases) cũng như biên soạn các quy tắc nghiệp vụ (Business Rules) chặt chẽ cho hệ thống backend của các nền tảng bán lẻ.</w:t>
            </w:r>
          </w:p>
        </w:tc>
      </w:tr>
      <w:tr w:rsidR="00D933C1" w:rsidRPr="007F12A9" w14:paraId="4071A023" w14:textId="77777777" w:rsidTr="007F1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Borders>
              <w:top w:val="none" w:sz="0" w:space="0" w:color="auto"/>
              <w:bottom w:val="none" w:sz="0" w:space="0" w:color="auto"/>
              <w:right w:val="none" w:sz="0" w:space="0" w:color="auto"/>
            </w:tcBorders>
          </w:tcPr>
          <w:p w14:paraId="01028109" w14:textId="6A207BC0" w:rsidR="00D933C1" w:rsidRPr="007F12A9" w:rsidRDefault="007F12A9" w:rsidP="007F12A9">
            <w:pPr>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3</w:t>
            </w:r>
          </w:p>
        </w:tc>
        <w:tc>
          <w:tcPr>
            <w:tcW w:w="2097" w:type="dxa"/>
            <w:tcBorders>
              <w:top w:val="none" w:sz="0" w:space="0" w:color="auto"/>
              <w:bottom w:val="none" w:sz="0" w:space="0" w:color="auto"/>
            </w:tcBorders>
          </w:tcPr>
          <w:p w14:paraId="581CD8A9" w14:textId="128F5159" w:rsidR="00D933C1" w:rsidRPr="007F12A9" w:rsidRDefault="00C96C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Bhattarai et al. (2024). QR-based Canteen Management System. Journal of Information Technology and Digital World.</w:t>
            </w:r>
          </w:p>
        </w:tc>
        <w:tc>
          <w:tcPr>
            <w:tcW w:w="2477" w:type="dxa"/>
            <w:tcBorders>
              <w:top w:val="none" w:sz="0" w:space="0" w:color="auto"/>
              <w:bottom w:val="none" w:sz="0" w:space="0" w:color="auto"/>
            </w:tcBorders>
          </w:tcPr>
          <w:p w14:paraId="65B0B38B" w14:textId="6C507BE1" w:rsidR="00D933C1" w:rsidRPr="007F12A9" w:rsidRDefault="00C96C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Các hệ thống quản lý căng-tin truyền thống (ghi chép thủ công, giao dịch tiền mặt) kém hiệu quả, dẫn đến tình trạng xếp hàng dài, khó khăn trong việc thối tiền lẻ và sai sót dữ liệu. Các giải pháp dùng thẻ RFID trước đây lại có chi phí phần cứng cao và dễ bị hao mòn.</w:t>
            </w:r>
          </w:p>
        </w:tc>
        <w:tc>
          <w:tcPr>
            <w:tcW w:w="2763" w:type="dxa"/>
            <w:tcBorders>
              <w:top w:val="none" w:sz="0" w:space="0" w:color="auto"/>
              <w:bottom w:val="none" w:sz="0" w:space="0" w:color="auto"/>
            </w:tcBorders>
          </w:tcPr>
          <w:p w14:paraId="46E4D33B" w14:textId="34ABF1AF" w:rsidR="00D933C1" w:rsidRPr="007F12A9" w:rsidRDefault="00C96C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Xây dựng ứng dụng Desktop bằng ngôn ngữ C# và .NET framework, kết hợp cơ sở dữ liệu SQL Server. Hệ thống thay thế đầu đọc RFID bằng công nghệ quét mã QR để khách hàng đăng nhập. Tích hợp các cổng thanh toán điện tử (như eSewa, Khalti) với mã hóa SSL/TLS để giao dịch không tiền mặt.</w:t>
            </w:r>
          </w:p>
        </w:tc>
        <w:tc>
          <w:tcPr>
            <w:tcW w:w="2498" w:type="dxa"/>
            <w:tcBorders>
              <w:top w:val="none" w:sz="0" w:space="0" w:color="auto"/>
              <w:bottom w:val="none" w:sz="0" w:space="0" w:color="auto"/>
            </w:tcBorders>
          </w:tcPr>
          <w:p w14:paraId="53886250" w14:textId="0DF3D865" w:rsidR="00D933C1" w:rsidRPr="007F12A9" w:rsidRDefault="00C96C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Tự động hóa thành công toàn bộ quy trình từ khâu đặt món, trừ tiền trong ví điện tử đến in phiếu nhận đồ ăn và ghi nhận doanh thu. Loại bỏ giao dịch tiền mặt giúp giảm thời gian phục vụ, hạn chế sai sót và nâng cao tính bảo mật cho chủ cửa hàng.</w:t>
            </w:r>
          </w:p>
        </w:tc>
        <w:tc>
          <w:tcPr>
            <w:tcW w:w="2392" w:type="dxa"/>
            <w:tcBorders>
              <w:top w:val="none" w:sz="0" w:space="0" w:color="auto"/>
              <w:bottom w:val="none" w:sz="0" w:space="0" w:color="auto"/>
            </w:tcBorders>
          </w:tcPr>
          <w:p w14:paraId="323075C6" w14:textId="1D925877" w:rsidR="00D933C1" w:rsidRPr="007F12A9" w:rsidRDefault="00C96C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Hệ thống chỉ hoạt động dưới dạng Desktop Application, đòi hỏi phải trang bị phần cứng máy tính và webcam tại chỗ. Quy trình đăng ký người dùng mới vẫn cần thông qua sự can thiệp thủ công của quản trị viên (Admin).</w:t>
            </w:r>
          </w:p>
        </w:tc>
        <w:tc>
          <w:tcPr>
            <w:tcW w:w="2102" w:type="dxa"/>
            <w:tcBorders>
              <w:top w:val="none" w:sz="0" w:space="0" w:color="auto"/>
              <w:bottom w:val="none" w:sz="0" w:space="0" w:color="auto"/>
            </w:tcBorders>
          </w:tcPr>
          <w:p w14:paraId="0822F730" w14:textId="647ECA13" w:rsidR="00D933C1" w:rsidRPr="007F12A9" w:rsidRDefault="00C96CFC">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Một tài liệu tham khảo rất sát sườn để sinh viên học cách xây dựng hệ thống Kiosk tự phục vụ (Self-ordering Kiosk) hoặc phần mềm POS cơ bản. Sinh viên có thể đề xuất cải tiến bằng cách phát triển thêm phiên bản Web/Mobile App để khách hàng đặt trước từ xa.</w:t>
            </w:r>
          </w:p>
        </w:tc>
      </w:tr>
      <w:tr w:rsidR="00D933C1" w:rsidRPr="007F12A9" w14:paraId="12822F39" w14:textId="77777777" w:rsidTr="007F12A9">
        <w:tc>
          <w:tcPr>
            <w:cnfStyle w:val="001000000000" w:firstRow="0" w:lastRow="0" w:firstColumn="1" w:lastColumn="0" w:oddVBand="0" w:evenVBand="0" w:oddHBand="0" w:evenHBand="0" w:firstRowFirstColumn="0" w:firstRowLastColumn="0" w:lastRowFirstColumn="0" w:lastRowLastColumn="0"/>
            <w:tcW w:w="834" w:type="dxa"/>
            <w:tcBorders>
              <w:right w:val="none" w:sz="0" w:space="0" w:color="auto"/>
            </w:tcBorders>
          </w:tcPr>
          <w:p w14:paraId="6219454A" w14:textId="7B387699" w:rsidR="00D933C1" w:rsidRPr="007F12A9" w:rsidRDefault="007F12A9" w:rsidP="007F12A9">
            <w:pPr>
              <w:jc w:val="center"/>
              <w:rPr>
                <w:rFonts w:ascii="Times New Roman" w:hAnsi="Times New Roman" w:cs="Times New Roman"/>
                <w:sz w:val="28"/>
                <w:szCs w:val="28"/>
                <w:lang w:val="en-US"/>
              </w:rPr>
            </w:pPr>
            <w:r>
              <w:rPr>
                <w:rFonts w:ascii="Times New Roman" w:hAnsi="Times New Roman" w:cs="Times New Roman"/>
                <w:sz w:val="28"/>
                <w:szCs w:val="28"/>
                <w:lang w:val="en-US"/>
              </w:rPr>
              <w:t>4</w:t>
            </w:r>
          </w:p>
        </w:tc>
        <w:tc>
          <w:tcPr>
            <w:tcW w:w="2097" w:type="dxa"/>
          </w:tcPr>
          <w:p w14:paraId="7E841B45" w14:textId="4CAA904D"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 xml:space="preserve">Rajkumar R, S. Sangeetha (2025). SMARTCANTEEN: </w:t>
            </w:r>
            <w:r w:rsidRPr="007F12A9">
              <w:rPr>
                <w:rFonts w:ascii="Times New Roman" w:hAnsi="Times New Roman" w:cs="Times New Roman"/>
                <w:sz w:val="28"/>
                <w:szCs w:val="28"/>
              </w:rPr>
              <w:lastRenderedPageBreak/>
              <w:t>EFFICIENT FOOD ORDERING FOR COLLEGE CAMPUSES. IRJMETS.</w:t>
            </w:r>
          </w:p>
        </w:tc>
        <w:tc>
          <w:tcPr>
            <w:tcW w:w="2477" w:type="dxa"/>
          </w:tcPr>
          <w:p w14:paraId="2D171BC8" w14:textId="60258501"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Hệ thống căng-tin truyền thống phụ thuộc vào việc ghi </w:t>
            </w:r>
            <w:r w:rsidRPr="007F12A9">
              <w:rPr>
                <w:rFonts w:ascii="Times New Roman" w:hAnsi="Times New Roman" w:cs="Times New Roman"/>
                <w:sz w:val="28"/>
                <w:szCs w:val="28"/>
              </w:rPr>
              <w:lastRenderedPageBreak/>
              <w:t>nhận thủ công dẫn đến xếp hàng dài, sai sót giao tiếp và chậm trễ. Các giao dịch bằng tiền mặt gây bất tiện, rủi ro bảo mật, kèm theo việc thiếu hệ thống quản lý tồn kho và đánh giá chất lượng.</w:t>
            </w:r>
          </w:p>
        </w:tc>
        <w:tc>
          <w:tcPr>
            <w:tcW w:w="2763" w:type="dxa"/>
          </w:tcPr>
          <w:p w14:paraId="6A9188EB" w14:textId="7D89B78B"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Xây dựng nền tảng đặt đồ ăn trực tuyến trên nền web (web-</w:t>
            </w:r>
            <w:r w:rsidRPr="007F12A9">
              <w:rPr>
                <w:rFonts w:ascii="Times New Roman" w:hAnsi="Times New Roman" w:cs="Times New Roman"/>
                <w:sz w:val="28"/>
                <w:szCs w:val="28"/>
              </w:rPr>
              <w:lastRenderedPageBreak/>
              <w:t>based platform) với kiến trúc 3 lớp (3-tier model). Lớp ứng dụng sử dụng Python (framework Flask), cơ sở dữ liệu MySQL và giao diện dùng Bootstrap. Hệ thống phân quyền rõ ràng cho 4 nhóm: Sinh viên, Cán bộ, Admin Trường và Admin Căng-tin.</w:t>
            </w:r>
          </w:p>
        </w:tc>
        <w:tc>
          <w:tcPr>
            <w:tcW w:w="2498" w:type="dxa"/>
          </w:tcPr>
          <w:p w14:paraId="6C3E813A" w14:textId="44E2EB2D"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Số hóa quy trình đặt món, cho phép theo dõi trạng thái </w:t>
            </w:r>
            <w:r w:rsidRPr="007F12A9">
              <w:rPr>
                <w:rFonts w:ascii="Times New Roman" w:hAnsi="Times New Roman" w:cs="Times New Roman"/>
                <w:sz w:val="28"/>
                <w:szCs w:val="28"/>
              </w:rPr>
              <w:lastRenderedPageBreak/>
              <w:t>đơn hàng theo thời gian thực và tự động hóa giao tiếp giữa bếp và quầy. Nâng cao hiệu quả vận hành, tính minh bạch và trải nghiệm người dùng trong khuôn viên trường học.</w:t>
            </w:r>
          </w:p>
        </w:tc>
        <w:tc>
          <w:tcPr>
            <w:tcW w:w="2392" w:type="dxa"/>
          </w:tcPr>
          <w:p w14:paraId="34F07074" w14:textId="1935CF87"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Chưa làm rõ việc tích hợp cụ thể API cổng thanh toán </w:t>
            </w:r>
            <w:r w:rsidRPr="007F12A9">
              <w:rPr>
                <w:rFonts w:ascii="Times New Roman" w:hAnsi="Times New Roman" w:cs="Times New Roman"/>
                <w:sz w:val="28"/>
                <w:szCs w:val="28"/>
              </w:rPr>
              <w:lastRenderedPageBreak/>
              <w:t>trực tuyến nào (chỉ ghi chung là hỗ trợ thanh toán online và COD). Đặc biệt, phần Kết quả (Results) của bài báo có lỗi biên tập nghiêm trọng khi điền nhầm kết quả của một hệ thống nhân sự (Virtual HR system) thay vì hệ thống đồ ăn.</w:t>
            </w:r>
          </w:p>
        </w:tc>
        <w:tc>
          <w:tcPr>
            <w:tcW w:w="2102" w:type="dxa"/>
          </w:tcPr>
          <w:p w14:paraId="0716D8A7" w14:textId="6F420725" w:rsidR="00D933C1" w:rsidRPr="007F12A9" w:rsidRDefault="00C96CF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Stack công nghệ (Python/Flask + MySQL + </w:t>
            </w:r>
            <w:r w:rsidRPr="007F12A9">
              <w:rPr>
                <w:rFonts w:ascii="Times New Roman" w:hAnsi="Times New Roman" w:cs="Times New Roman"/>
                <w:sz w:val="28"/>
                <w:szCs w:val="28"/>
              </w:rPr>
              <w:lastRenderedPageBreak/>
              <w:t>Bootstrap) được nêu trong bài rất gọn nhẹ, phù hợp để sinh viên IT làm đồ án môn học. Lỗi "copy-paste" nhầm râu ông nọ cắm cằm bà kia ở phần Results là một lời nhắc nhở tuyệt vời cho sinh viên về tầm quan trọng của việc rà soát kỹ lưỡng (proofreading) trước khi xuất bản báo cáo khoa học.</w:t>
            </w:r>
          </w:p>
        </w:tc>
      </w:tr>
      <w:tr w:rsidR="00D933C1" w:rsidRPr="007F12A9" w14:paraId="0E37ED79" w14:textId="77777777" w:rsidTr="007F1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Borders>
              <w:top w:val="none" w:sz="0" w:space="0" w:color="auto"/>
              <w:bottom w:val="none" w:sz="0" w:space="0" w:color="auto"/>
              <w:right w:val="none" w:sz="0" w:space="0" w:color="auto"/>
            </w:tcBorders>
          </w:tcPr>
          <w:p w14:paraId="275A6C29" w14:textId="402AC378" w:rsidR="00D933C1" w:rsidRPr="007F12A9" w:rsidRDefault="007F12A9" w:rsidP="007F12A9">
            <w:pPr>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5</w:t>
            </w:r>
          </w:p>
        </w:tc>
        <w:tc>
          <w:tcPr>
            <w:tcW w:w="2097" w:type="dxa"/>
            <w:tcBorders>
              <w:top w:val="none" w:sz="0" w:space="0" w:color="auto"/>
              <w:bottom w:val="none" w:sz="0" w:space="0" w:color="auto"/>
            </w:tcBorders>
          </w:tcPr>
          <w:p w14:paraId="52F41B30" w14:textId="762D1E5B" w:rsidR="00D933C1" w:rsidRPr="007F12A9" w:rsidRDefault="00013B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Khan et al. (2020). Effective Demand Forecasting Model Using Business Intelligence Empowered With Machine Learning. IEEE Access.</w:t>
            </w:r>
          </w:p>
        </w:tc>
        <w:tc>
          <w:tcPr>
            <w:tcW w:w="2477" w:type="dxa"/>
            <w:tcBorders>
              <w:top w:val="none" w:sz="0" w:space="0" w:color="auto"/>
              <w:bottom w:val="none" w:sz="0" w:space="0" w:color="auto"/>
            </w:tcBorders>
          </w:tcPr>
          <w:p w14:paraId="79C3E669" w14:textId="37846F1C" w:rsidR="00D933C1" w:rsidRPr="007F12A9" w:rsidRDefault="00013B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 xml:space="preserve">Các phương pháp dự báo thủ công (dựa trên Excel) có độ chính xác thấp (chỉ khoảng 50%), phụ thuộc nhiều vào cá nhân, thiếu kiểm soát tập trung, dễ dẫn đến quản lý </w:t>
            </w:r>
            <w:r w:rsidRPr="007F12A9">
              <w:rPr>
                <w:rFonts w:ascii="Times New Roman" w:hAnsi="Times New Roman" w:cs="Times New Roman"/>
                <w:sz w:val="28"/>
                <w:szCs w:val="28"/>
              </w:rPr>
              <w:lastRenderedPageBreak/>
              <w:t>hàng tồn kho kém hiệu quả.</w:t>
            </w:r>
          </w:p>
        </w:tc>
        <w:tc>
          <w:tcPr>
            <w:tcW w:w="2763" w:type="dxa"/>
            <w:tcBorders>
              <w:top w:val="none" w:sz="0" w:space="0" w:color="auto"/>
              <w:bottom w:val="none" w:sz="0" w:space="0" w:color="auto"/>
            </w:tcBorders>
          </w:tcPr>
          <w:p w14:paraId="6B6B5283" w14:textId="3C72FF46" w:rsidR="00D933C1" w:rsidRPr="007F12A9" w:rsidRDefault="00013B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Đề xuất hệ thống kết hợp BI và Machine Learning sử dụng thuật toán DeepAR trên nền tảng Amazon SageMaker (dựa trên mạng nơ-ron hồi quy RNN cho chuỗi thời gian). Hệ thống lấy dữ liệu </w:t>
            </w:r>
            <w:r w:rsidRPr="007F12A9">
              <w:rPr>
                <w:rFonts w:ascii="Times New Roman" w:hAnsi="Times New Roman" w:cs="Times New Roman"/>
                <w:sz w:val="28"/>
                <w:szCs w:val="28"/>
              </w:rPr>
              <w:lastRenderedPageBreak/>
              <w:t>đầu vào gồm lịch sử bán hàng, tồn kho và lịch sự kiện. Tích hợp Web App (Angular) để phê duyệt và đồng bộ với hệ thống ERP Dynamics AX.</w:t>
            </w:r>
          </w:p>
        </w:tc>
        <w:tc>
          <w:tcPr>
            <w:tcW w:w="2498" w:type="dxa"/>
            <w:tcBorders>
              <w:top w:val="none" w:sz="0" w:space="0" w:color="auto"/>
              <w:bottom w:val="none" w:sz="0" w:space="0" w:color="auto"/>
            </w:tcBorders>
          </w:tcPr>
          <w:p w14:paraId="0F495BE9" w14:textId="3A99E228" w:rsidR="00D933C1" w:rsidRPr="007F12A9" w:rsidRDefault="00013B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Mô hình đạt độ chính xác lên tới 92,38% trong dự báo nhu cầu cửa hàng, vượt trội so với mức 50% của hệ thống cũ. Giúp giảm chi phí chuỗi cung ứng, tăng vòng quay hàng </w:t>
            </w:r>
            <w:r w:rsidRPr="007F12A9">
              <w:rPr>
                <w:rFonts w:ascii="Times New Roman" w:hAnsi="Times New Roman" w:cs="Times New Roman"/>
                <w:sz w:val="28"/>
                <w:szCs w:val="28"/>
              </w:rPr>
              <w:lastRenderedPageBreak/>
              <w:t>tồn kho và cải thiện việc ra quyết định.</w:t>
            </w:r>
          </w:p>
        </w:tc>
        <w:tc>
          <w:tcPr>
            <w:tcW w:w="2392" w:type="dxa"/>
            <w:tcBorders>
              <w:top w:val="none" w:sz="0" w:space="0" w:color="auto"/>
              <w:bottom w:val="none" w:sz="0" w:space="0" w:color="auto"/>
            </w:tcBorders>
          </w:tcPr>
          <w:p w14:paraId="0C57B7EA" w14:textId="7D7815A0" w:rsidR="00D933C1" w:rsidRPr="007F12A9" w:rsidRDefault="00013B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Đối với các cửa hàng mới mở không có hoặc có ít dữ liệu lịch sử, thuật toán ML hoạt động chưa hiệu quả và hệ thống phải tạm thời phụ thuộc vào công cụ dự báo dựa trên </w:t>
            </w:r>
            <w:r w:rsidRPr="007F12A9">
              <w:rPr>
                <w:rFonts w:ascii="Times New Roman" w:hAnsi="Times New Roman" w:cs="Times New Roman"/>
                <w:sz w:val="28"/>
                <w:szCs w:val="28"/>
              </w:rPr>
              <w:lastRenderedPageBreak/>
              <w:t>quy tắc (rule-based engine).</w:t>
            </w:r>
          </w:p>
        </w:tc>
        <w:tc>
          <w:tcPr>
            <w:tcW w:w="2102" w:type="dxa"/>
            <w:tcBorders>
              <w:top w:val="none" w:sz="0" w:space="0" w:color="auto"/>
              <w:bottom w:val="none" w:sz="0" w:space="0" w:color="auto"/>
            </w:tcBorders>
          </w:tcPr>
          <w:p w14:paraId="1C373D50" w14:textId="7569495C" w:rsidR="00D933C1" w:rsidRPr="007F12A9" w:rsidRDefault="00013B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Bài báo cung cấp một kiến trúc hệ thống mẫu mực (Pipeline) từ khâu thu thập dữ liệu -&gt; huấn luyện ML -&gt; giao diện Web -&gt; đồng bộ ERP. </w:t>
            </w:r>
            <w:r w:rsidRPr="007F12A9">
              <w:rPr>
                <w:rFonts w:ascii="Times New Roman" w:hAnsi="Times New Roman" w:cs="Times New Roman"/>
                <w:sz w:val="28"/>
                <w:szCs w:val="28"/>
              </w:rPr>
              <w:lastRenderedPageBreak/>
              <w:t>Sinh viên có thể tham khảo luồng kiến trúc này để thiết kế hệ thống backend cho các đồ án có tích hợp AI.</w:t>
            </w:r>
          </w:p>
        </w:tc>
      </w:tr>
      <w:tr w:rsidR="00013BD3" w:rsidRPr="007F12A9" w14:paraId="1621CA1D" w14:textId="77777777" w:rsidTr="007F12A9">
        <w:tc>
          <w:tcPr>
            <w:cnfStyle w:val="001000000000" w:firstRow="0" w:lastRow="0" w:firstColumn="1" w:lastColumn="0" w:oddVBand="0" w:evenVBand="0" w:oddHBand="0" w:evenHBand="0" w:firstRowFirstColumn="0" w:firstRowLastColumn="0" w:lastRowFirstColumn="0" w:lastRowLastColumn="0"/>
            <w:tcW w:w="834" w:type="dxa"/>
          </w:tcPr>
          <w:p w14:paraId="0FFFB19B" w14:textId="43999E0C" w:rsidR="00013BD3" w:rsidRPr="007F12A9" w:rsidRDefault="007F12A9" w:rsidP="007F12A9">
            <w:pPr>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6</w:t>
            </w:r>
          </w:p>
        </w:tc>
        <w:tc>
          <w:tcPr>
            <w:tcW w:w="2097" w:type="dxa"/>
          </w:tcPr>
          <w:p w14:paraId="5F4D4F63" w14:textId="4E9A1224" w:rsidR="00013BD3" w:rsidRPr="007F12A9" w:rsidRDefault="003F614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S. K. Panda, S. N. Mohanty (2023). Time Series Forecasting and Modeling of Food Demand Supply Chain Based on Regressors Analysis. IEEE Access.</w:t>
            </w:r>
          </w:p>
        </w:tc>
        <w:tc>
          <w:tcPr>
            <w:tcW w:w="2477" w:type="dxa"/>
          </w:tcPr>
          <w:p w14:paraId="33EB7F21" w14:textId="3109EED9" w:rsidR="00013BD3" w:rsidRPr="007F12A9" w:rsidRDefault="003F614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Dự báo nhu cầu chính xác trong ngành thực phẩm là cực kỳ quan trọng vì nhiều sản phẩm có hạn sử dụng ngắn. Việc quản lý hàng tồn kho kém sẽ dẫn đến lãng phí và tổn thất đáng kể cho doanh nghiệp.</w:t>
            </w:r>
          </w:p>
        </w:tc>
        <w:tc>
          <w:tcPr>
            <w:tcW w:w="2763" w:type="dxa"/>
          </w:tcPr>
          <w:p w14:paraId="6C78D99F" w14:textId="3230F2EE" w:rsidR="00013BD3" w:rsidRPr="007F12A9" w:rsidRDefault="003F614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Sử dụng tập dữ liệu "Food Demand Forecasting" (Dự báo nhu cầu thực phẩm) của Genpact. Đề xuất đánh giá và so sánh 7 mô hình hồi quy (regressors) bao gồm: Random Forest (dùng làm cơ sở - baseline), Gradient Boosting (GBR), LightGBM, XGBoost, Cat Boost, Long Short-Term Memory (LSTM) và Bidirectional LSTM (BiLSTM).</w:t>
            </w:r>
          </w:p>
        </w:tc>
        <w:tc>
          <w:tcPr>
            <w:tcW w:w="2498" w:type="dxa"/>
          </w:tcPr>
          <w:p w14:paraId="73419149" w14:textId="5194C701" w:rsidR="00013BD3" w:rsidRPr="007F12A9" w:rsidRDefault="003F614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Chứng minh tiềm năng to lớn của các mô hình học sâu (deep learning) trong bài toán dự báo chuỗi thời gian. Đặc biệt, thuật toán LSTM cho thấy sự vượt trội so với các thuật toán khác. Hệ thống đạt các chỉ số sai số rất thấp: RMSLE = 0.28, RMSE = 18.83, MAPE = 6.56% và MAE = 14.18.</w:t>
            </w:r>
          </w:p>
        </w:tc>
        <w:tc>
          <w:tcPr>
            <w:tcW w:w="2392" w:type="dxa"/>
          </w:tcPr>
          <w:p w14:paraId="356F8658" w14:textId="0192ABB9" w:rsidR="00013BD3" w:rsidRPr="007F12A9" w:rsidRDefault="003F6141">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Chỉ sử dụng các đặc trưng như độ trễ (lag) và trung bình trượt trọng số mũ (EWMA) cho mô hình LSTM. Chưa khám phá sâu các chiến lược kết hợp (ensemble) phức tạp hơn – ví dụ như Voting Regression kết hợp giữa các thuật toán – để giúp giảm thiểu hiện tượng quá khớp (overfitting).</w:t>
            </w:r>
          </w:p>
        </w:tc>
        <w:tc>
          <w:tcPr>
            <w:tcW w:w="2102" w:type="dxa"/>
          </w:tcPr>
          <w:p w14:paraId="1281BC4E" w14:textId="285D60C6" w:rsidR="00013BD3" w:rsidRPr="007F12A9" w:rsidRDefault="003F6141" w:rsidP="003F6141">
            <w:pPr>
              <w:spacing w:after="48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Bài báo cung cấp một kịch bản đánh giá (benchmark) tuyệt vời khi so sánh hàng loạt thuật toán từ học máy truyền thống đến các thuật toán Boosting và mạng học sâu. Sinh viên có thể áp dụng cách tiếp cận này để thực hiện đồ án môn Machine Learning trên một tập dữ liệu mở.</w:t>
            </w:r>
          </w:p>
        </w:tc>
      </w:tr>
      <w:tr w:rsidR="00013BD3" w:rsidRPr="007F12A9" w14:paraId="2398DF8B" w14:textId="77777777" w:rsidTr="007F1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605ACBED" w14:textId="775108D3" w:rsidR="00013BD3" w:rsidRPr="007F12A9" w:rsidRDefault="007F12A9" w:rsidP="007F12A9">
            <w:pPr>
              <w:jc w:val="center"/>
              <w:rPr>
                <w:rFonts w:ascii="Times New Roman" w:hAnsi="Times New Roman" w:cs="Times New Roman"/>
                <w:sz w:val="28"/>
                <w:szCs w:val="28"/>
                <w:lang w:val="en-US"/>
              </w:rPr>
            </w:pPr>
            <w:r>
              <w:rPr>
                <w:rFonts w:ascii="Times New Roman" w:hAnsi="Times New Roman" w:cs="Times New Roman"/>
                <w:sz w:val="28"/>
                <w:szCs w:val="28"/>
                <w:lang w:val="en-US"/>
              </w:rPr>
              <w:t>7</w:t>
            </w:r>
          </w:p>
        </w:tc>
        <w:tc>
          <w:tcPr>
            <w:tcW w:w="2097" w:type="dxa"/>
          </w:tcPr>
          <w:p w14:paraId="164E1EBD" w14:textId="71299BC6" w:rsidR="00013BD3" w:rsidRPr="007F12A9" w:rsidRDefault="00C573B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 xml:space="preserve">De Menna et al. (2020). A combined </w:t>
            </w:r>
            <w:r w:rsidRPr="007F12A9">
              <w:rPr>
                <w:rFonts w:ascii="Times New Roman" w:hAnsi="Times New Roman" w:cs="Times New Roman"/>
                <w:sz w:val="28"/>
                <w:szCs w:val="28"/>
              </w:rPr>
              <w:lastRenderedPageBreak/>
              <w:t>framework for the life cycle assessment and costing of food waste prevention and valorization: an application to school canteens. Agricultural and Food Economics.</w:t>
            </w:r>
          </w:p>
        </w:tc>
        <w:tc>
          <w:tcPr>
            <w:tcW w:w="2477" w:type="dxa"/>
          </w:tcPr>
          <w:p w14:paraId="4DFDF1C1" w14:textId="7532E2DF" w:rsidR="00013BD3" w:rsidRPr="007F12A9" w:rsidRDefault="00C573B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Khoảng một phần ba lượng thực </w:t>
            </w:r>
            <w:r w:rsidRPr="007F12A9">
              <w:rPr>
                <w:rFonts w:ascii="Times New Roman" w:hAnsi="Times New Roman" w:cs="Times New Roman"/>
                <w:sz w:val="28"/>
                <w:szCs w:val="28"/>
              </w:rPr>
              <w:lastRenderedPageBreak/>
              <w:t>phẩm ăn được trên toàn cầu bị thất thoát hoặc lãng phí, gây tiêu hao tài nguyên thiên nhiên và kinh tế. Dù Đánh giá Vòng đời (Life Cycle Assessment) có thể giúp tìm ra giải pháp, hiện vẫn thiếu một hệ thống hướng dẫn chuẩn mực. Tính linh hoạt quá cao trong việc xác định mục tiêu và phạm vi khiến các kịch bản lãng phí thực phẩm rất khó so sánh với nhau.</w:t>
            </w:r>
          </w:p>
        </w:tc>
        <w:tc>
          <w:tcPr>
            <w:tcW w:w="2763" w:type="dxa"/>
          </w:tcPr>
          <w:p w14:paraId="223062B0" w14:textId="2385A808" w:rsidR="00013BD3" w:rsidRPr="007F12A9" w:rsidRDefault="00C573B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Xây dựng một khuôn khổ kết hợp </w:t>
            </w:r>
            <w:r w:rsidRPr="007F12A9">
              <w:rPr>
                <w:rFonts w:ascii="Times New Roman" w:hAnsi="Times New Roman" w:cs="Times New Roman"/>
                <w:sz w:val="28"/>
                <w:szCs w:val="28"/>
              </w:rPr>
              <w:lastRenderedPageBreak/>
              <w:t>giữa Đánh giá Vòng đời (LCA) và Tính toán Chi phí Vòng đời Môi trường (Environmental Life Cycle Costing). Phương pháp này cung cấp hướng dẫn từng bước gồm: xác định mục đích, 3 "cây quyết định" (tình huống đánh giá, phương pháp tính chi phí, loại hình nghiên cứu) và các khuyến nghị, áp dụng thử nghiệm vào bối cảnh căng-tin trường học.</w:t>
            </w:r>
          </w:p>
        </w:tc>
        <w:tc>
          <w:tcPr>
            <w:tcW w:w="2498" w:type="dxa"/>
          </w:tcPr>
          <w:p w14:paraId="3546D128" w14:textId="49095A50" w:rsidR="00013BD3" w:rsidRPr="007F12A9" w:rsidRDefault="00C573B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Cung cấp một phương pháp tiếp </w:t>
            </w:r>
            <w:r w:rsidRPr="007F12A9">
              <w:rPr>
                <w:rFonts w:ascii="Times New Roman" w:hAnsi="Times New Roman" w:cs="Times New Roman"/>
                <w:sz w:val="28"/>
                <w:szCs w:val="28"/>
              </w:rPr>
              <w:lastRenderedPageBreak/>
              <w:t>cận vòng đời tích hợp, nhất quán để hiểu rõ tác động của các biện pháp can thiệp. Hỗ trợ các bên liên quan đưa ra quyết định chính xác, thúc đẩy việc thiết kế các giải pháp bền vững, tối ưu chi phí nhằm tạo ra chuỗi cung ứng thực phẩm hiệu quả hơn.</w:t>
            </w:r>
          </w:p>
        </w:tc>
        <w:tc>
          <w:tcPr>
            <w:tcW w:w="2392" w:type="dxa"/>
          </w:tcPr>
          <w:p w14:paraId="78D2AF7D" w14:textId="5FA7A1F7" w:rsidR="00013BD3" w:rsidRPr="007F12A9" w:rsidRDefault="00C573B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Để sử dụng hiệu quả phương pháp </w:t>
            </w:r>
            <w:r w:rsidRPr="007F12A9">
              <w:rPr>
                <w:rFonts w:ascii="Times New Roman" w:hAnsi="Times New Roman" w:cs="Times New Roman"/>
                <w:sz w:val="28"/>
                <w:szCs w:val="28"/>
              </w:rPr>
              <w:lastRenderedPageBreak/>
              <w:t>đánh giá hiệu suất bền vững này, các nhà quản lý và người thực hành cần được trang bị các năng lực chuyên môn mới về Đánh giá Vòng đời và Tác động Xã hội. Việc đánh giá mở rộng có thể trở nên rất phức tạp khi phải đo lường cả hiệu ứng trực tiếp và gián tiếp.</w:t>
            </w:r>
          </w:p>
        </w:tc>
        <w:tc>
          <w:tcPr>
            <w:tcW w:w="2102" w:type="dxa"/>
          </w:tcPr>
          <w:p w14:paraId="45A344F2" w14:textId="5D04FB96" w:rsidR="00013BD3" w:rsidRPr="007F12A9" w:rsidRDefault="00C573B8">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Bài báo cung cấp một góc </w:t>
            </w:r>
            <w:r w:rsidRPr="007F12A9">
              <w:rPr>
                <w:rFonts w:ascii="Times New Roman" w:hAnsi="Times New Roman" w:cs="Times New Roman"/>
                <w:sz w:val="28"/>
                <w:szCs w:val="28"/>
              </w:rPr>
              <w:lastRenderedPageBreak/>
              <w:t>nhìn tuyệt vời về quản lý Chuỗi cung ứng xanh (Green Supply Chain). Sinh viên IT có thể mô hình hóa các "cây quyết định" (decision trees) được đề cập trong nghiên cứu này thành các thuật toán cốt lõi để xây dựng một Hệ thống Hỗ trợ Ra quyết định (Decision Support System - DSS) nhằm quản lý thực phẩm thừa.</w:t>
            </w:r>
          </w:p>
        </w:tc>
      </w:tr>
      <w:tr w:rsidR="00013BD3" w:rsidRPr="007F12A9" w14:paraId="19D5A36A" w14:textId="77777777" w:rsidTr="007F12A9">
        <w:tc>
          <w:tcPr>
            <w:cnfStyle w:val="001000000000" w:firstRow="0" w:lastRow="0" w:firstColumn="1" w:lastColumn="0" w:oddVBand="0" w:evenVBand="0" w:oddHBand="0" w:evenHBand="0" w:firstRowFirstColumn="0" w:firstRowLastColumn="0" w:lastRowFirstColumn="0" w:lastRowLastColumn="0"/>
            <w:tcW w:w="834" w:type="dxa"/>
          </w:tcPr>
          <w:p w14:paraId="61F0BF26" w14:textId="7ACC7804" w:rsidR="00013BD3" w:rsidRPr="007F12A9" w:rsidRDefault="007F12A9" w:rsidP="007F12A9">
            <w:pPr>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8</w:t>
            </w:r>
          </w:p>
        </w:tc>
        <w:tc>
          <w:tcPr>
            <w:tcW w:w="2097" w:type="dxa"/>
          </w:tcPr>
          <w:p w14:paraId="6BE200D9" w14:textId="78DD6435" w:rsidR="00013BD3" w:rsidRPr="007F12A9" w:rsidRDefault="003427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Garcia-Herrero et al. (2021). Eating away at sustainability. Food consumption and waste patterns in a US school canteen. Journal of Cleaner Production.</w:t>
            </w:r>
          </w:p>
        </w:tc>
        <w:tc>
          <w:tcPr>
            <w:tcW w:w="2477" w:type="dxa"/>
          </w:tcPr>
          <w:p w14:paraId="58478230" w14:textId="5F2C8FE7" w:rsidR="00013BD3" w:rsidRPr="007F12A9" w:rsidRDefault="003427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 xml:space="preserve">Căng-tin trường học tạo ra lượng lớn rác thải thực phẩm, gây mâu thuẫn với mục tiêu giáo dục học sinh về tiêu dùng bền vững. Cần có một đánh giá toàn </w:t>
            </w:r>
            <w:r w:rsidRPr="007F12A9">
              <w:rPr>
                <w:rFonts w:ascii="Times New Roman" w:hAnsi="Times New Roman" w:cs="Times New Roman"/>
                <w:sz w:val="28"/>
                <w:szCs w:val="28"/>
              </w:rPr>
              <w:lastRenderedPageBreak/>
              <w:t>diện về tác động của việc tiêu thụ và lãng phí thức ăn đối với dinh dưỡng, môi trường và kinh tế.</w:t>
            </w:r>
          </w:p>
        </w:tc>
        <w:tc>
          <w:tcPr>
            <w:tcW w:w="2763" w:type="dxa"/>
          </w:tcPr>
          <w:p w14:paraId="4A5A40EE" w14:textId="71C0D205" w:rsidR="00013BD3" w:rsidRPr="007F12A9" w:rsidRDefault="003427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Sử dụng Đánh giá Vòng đời (LCA) và Tính toán Chi phí Vòng đời Môi trường (E-LCC). Thực hiện kiểm toán rác thải bằng cách kết hợp cân đo vật lý, phân loại và chụp </w:t>
            </w:r>
            <w:r w:rsidRPr="007F12A9">
              <w:rPr>
                <w:rFonts w:ascii="Times New Roman" w:hAnsi="Times New Roman" w:cs="Times New Roman"/>
                <w:sz w:val="28"/>
                <w:szCs w:val="28"/>
              </w:rPr>
              <w:lastRenderedPageBreak/>
              <w:t>ảnh kỹ thuật số (digital photography) để đánh giá trực quan khay thức ăn của 4 nhóm người dùng (từ học sinh tiểu học đến nhân viên).</w:t>
            </w:r>
          </w:p>
        </w:tc>
        <w:tc>
          <w:tcPr>
            <w:tcW w:w="2498" w:type="dxa"/>
          </w:tcPr>
          <w:p w14:paraId="0379CDF8" w14:textId="3FE4E62A" w:rsidR="00013BD3" w:rsidRPr="007F12A9" w:rsidRDefault="003427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Lượng thức ăn thừa trên khay (plate waste) chiếm 27-53% thức ăn được phục vụ. Khâu thu mua tạo ra tác động môi trường lớn nhất (85%), trong khi </w:t>
            </w:r>
            <w:r w:rsidRPr="007F12A9">
              <w:rPr>
                <w:rFonts w:ascii="Times New Roman" w:hAnsi="Times New Roman" w:cs="Times New Roman"/>
                <w:sz w:val="28"/>
                <w:szCs w:val="28"/>
              </w:rPr>
              <w:lastRenderedPageBreak/>
              <w:t>chi phí phần lớn nằm ở khâu chuẩn bị thức ăn và mua nguyên liệu. Tác động môi trường "ẩn" của lượng thức ăn bị vứt đi chiếm 40-57% tổng lượng khí thải nhà kính (GWP) của cả bữa ăn.</w:t>
            </w:r>
          </w:p>
        </w:tc>
        <w:tc>
          <w:tcPr>
            <w:tcW w:w="2392" w:type="dxa"/>
          </w:tcPr>
          <w:p w14:paraId="72DF5EF5" w14:textId="22458A76" w:rsidR="00013BD3" w:rsidRPr="007F12A9" w:rsidRDefault="003427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Nghiên cứu chỉ được thực hiện dưới dạng tình huống điển hình (case study) tại một trường học ở Mỹ, do đó không mang tính đại diện thống kê rộng rãi. Ngoài </w:t>
            </w:r>
            <w:r w:rsidRPr="007F12A9">
              <w:rPr>
                <w:rFonts w:ascii="Times New Roman" w:hAnsi="Times New Roman" w:cs="Times New Roman"/>
                <w:sz w:val="28"/>
                <w:szCs w:val="28"/>
              </w:rPr>
              <w:lastRenderedPageBreak/>
              <w:t>ra, tác động của khâu vận chuyển có thể bị tính thấp hơn thực tế do thiếu dữ liệu tuyến đường chính xác cho từng mặt hàng.</w:t>
            </w:r>
          </w:p>
        </w:tc>
        <w:tc>
          <w:tcPr>
            <w:tcW w:w="2102" w:type="dxa"/>
          </w:tcPr>
          <w:p w14:paraId="7E4AE239" w14:textId="1D4F9835" w:rsidR="00013BD3" w:rsidRPr="007F12A9" w:rsidRDefault="003427CC">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Phương pháp kết hợp "Cân điện tử + Chụp ảnh" là một gợi ý xuất sắc. Sinh viên IT có thể phát triển thêm ứng dụng áp dụng Computer </w:t>
            </w:r>
            <w:r w:rsidRPr="007F12A9">
              <w:rPr>
                <w:rFonts w:ascii="Times New Roman" w:hAnsi="Times New Roman" w:cs="Times New Roman"/>
                <w:sz w:val="28"/>
                <w:szCs w:val="28"/>
              </w:rPr>
              <w:lastRenderedPageBreak/>
              <w:t>Vision (Thị giác máy tính) để hệ thống tự động nhận diện phần thức ăn thừa trên khay qua camera, thay vì phải phân tích ảnh thủ công.</w:t>
            </w:r>
          </w:p>
        </w:tc>
      </w:tr>
      <w:tr w:rsidR="00013BD3" w:rsidRPr="007F12A9" w14:paraId="5B2F83FD" w14:textId="77777777" w:rsidTr="007F12A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4" w:type="dxa"/>
          </w:tcPr>
          <w:p w14:paraId="207112C9" w14:textId="11252AEA" w:rsidR="00013BD3" w:rsidRPr="007F12A9" w:rsidRDefault="007F12A9" w:rsidP="007F12A9">
            <w:pPr>
              <w:jc w:val="center"/>
              <w:rPr>
                <w:rFonts w:ascii="Times New Roman" w:hAnsi="Times New Roman" w:cs="Times New Roman"/>
                <w:sz w:val="28"/>
                <w:szCs w:val="28"/>
                <w:lang w:val="en-US"/>
              </w:rPr>
            </w:pPr>
            <w:r>
              <w:rPr>
                <w:rFonts w:ascii="Times New Roman" w:hAnsi="Times New Roman" w:cs="Times New Roman"/>
                <w:sz w:val="28"/>
                <w:szCs w:val="28"/>
                <w:lang w:val="en-US"/>
              </w:rPr>
              <w:lastRenderedPageBreak/>
              <w:t>9</w:t>
            </w:r>
          </w:p>
        </w:tc>
        <w:tc>
          <w:tcPr>
            <w:tcW w:w="2097" w:type="dxa"/>
          </w:tcPr>
          <w:p w14:paraId="2CEA7D2A" w14:textId="7ED61EC0" w:rsidR="00013BD3" w:rsidRPr="007F12A9" w:rsidRDefault="009E625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Vici et al. (2025). An evaluation and optimization of nutrition, environmental footprint, and food waste in Italian primary school menus: a case study. Journal of Translational Medicine.</w:t>
            </w:r>
          </w:p>
        </w:tc>
        <w:tc>
          <w:tcPr>
            <w:tcW w:w="2477" w:type="dxa"/>
          </w:tcPr>
          <w:p w14:paraId="3AD08D6C" w14:textId="4AC1340B" w:rsidR="00013BD3" w:rsidRPr="007F12A9" w:rsidRDefault="007F12A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Tỷ lệ trẻ em thừa cân và béo phì đang gia tăng tại Ý do thói quen ăn uống kém, tiêu thụ nhiều thực phẩm chế biến sẵn và ít tuân thủ chế độ ăn Địa Trung Hải. Căng-tin trường học có vai trò quan trọng trong việc định hình thói quen này nhưng lại tạo ra lượng rác thải thực phẩm rất lớn (ước tính 35-40%).</w:t>
            </w:r>
          </w:p>
        </w:tc>
        <w:tc>
          <w:tcPr>
            <w:tcW w:w="2763" w:type="dxa"/>
          </w:tcPr>
          <w:p w14:paraId="6DCE47EA" w14:textId="5574FA10" w:rsidR="00013BD3" w:rsidRPr="007F12A9" w:rsidRDefault="007F12A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 xml:space="preserve">Thực hiện nghiên cứu tình huống tại một trường tiểu học ở Ý, tối ưu hóa thực đơn từ chu kỳ 4 tuần lên 8 tuần (tăng các loại đậu, giảm thịt và loại bỏ thịt chế biến sẵn). Sử dụng phần mềm WinFood để đánh giá dinh dưỡng. Đánh giá dấu chân carbon (CF) và dấu chân nước (WF) bằng cơ sở dữ liệu của Trung tâm Barilla. Rác thải thực phẩm được cân đo trực tiếp theo </w:t>
            </w:r>
            <w:r w:rsidRPr="007F12A9">
              <w:rPr>
                <w:rFonts w:ascii="Times New Roman" w:hAnsi="Times New Roman" w:cs="Times New Roman"/>
                <w:sz w:val="28"/>
                <w:szCs w:val="28"/>
              </w:rPr>
              <w:lastRenderedPageBreak/>
              <w:t>từng món sau bữa ăn.</w:t>
            </w:r>
          </w:p>
        </w:tc>
        <w:tc>
          <w:tcPr>
            <w:tcW w:w="2498" w:type="dxa"/>
          </w:tcPr>
          <w:p w14:paraId="7773887A" w14:textId="77777777" w:rsidR="007F12A9" w:rsidRPr="007F12A9" w:rsidRDefault="007F12A9" w:rsidP="007F12A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Thực đơn mới giúp giảm đáng kể dấu chân carbon từ $5.2 \pm 1.6$ xuống còn $3.7 \pm 0.9$ kg CO2eq/bữa ăn và giảm dấu chân nước xuống mức 4608 lít/bữa ăn. Lượng chất xơ được cải thiện, tăng lên $8.9 \pm 1.2$ g/bữa. Tỷ lệ thức ăn thừa ghi nhận là 24.4% (món đầu), 26.0% (món thứ hai) và cao nhất ở món </w:t>
            </w:r>
            <w:r w:rsidRPr="007F12A9">
              <w:rPr>
                <w:rFonts w:ascii="Times New Roman" w:hAnsi="Times New Roman" w:cs="Times New Roman"/>
                <w:sz w:val="28"/>
                <w:szCs w:val="28"/>
              </w:rPr>
              <w:lastRenderedPageBreak/>
              <w:t>phụ (31.4% - chủ yếu là rau).</w:t>
            </w:r>
          </w:p>
          <w:p w14:paraId="1DA9DA7D" w14:textId="77777777" w:rsidR="00013BD3" w:rsidRPr="007F12A9" w:rsidRDefault="00013BD3">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c>
          <w:tcPr>
            <w:tcW w:w="2392" w:type="dxa"/>
          </w:tcPr>
          <w:p w14:paraId="182FB844" w14:textId="683A07C6" w:rsidR="00013BD3" w:rsidRPr="007F12A9" w:rsidRDefault="007F12A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Việc đánh giá rác thải thực phẩm thiếu thiết kế so sánh trước - sau (pre-post design) do chỉ được đo lường sau khi áp dụng thực đơn mới. Thiếu dữ liệu về lượng vi chất dinh dưỡng (micronutrients) và không khảo sát mức độ hiểu biết hay sở thích của trẻ. Cơ sở dữ liệu môi trường được dùng mang thiên kiến châu Âu (Eurocentric bias) và không phân biệt </w:t>
            </w:r>
            <w:r w:rsidRPr="007F12A9">
              <w:rPr>
                <w:rFonts w:ascii="Times New Roman" w:hAnsi="Times New Roman" w:cs="Times New Roman"/>
                <w:sz w:val="28"/>
                <w:szCs w:val="28"/>
              </w:rPr>
              <w:lastRenderedPageBreak/>
              <w:t>được nguồn gốc thực phẩm địa phương.</w:t>
            </w:r>
          </w:p>
        </w:tc>
        <w:tc>
          <w:tcPr>
            <w:tcW w:w="2102" w:type="dxa"/>
          </w:tcPr>
          <w:p w14:paraId="79BCCDC9" w14:textId="12657D4F" w:rsidR="00013BD3" w:rsidRPr="007F12A9" w:rsidRDefault="007F12A9">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Một bài báo rất toàn diện kết hợp cả 3 yếu tố: Dinh dưỡng - Môi trường - Lãng phí. Sinh viên có thể lấy ý tưởng này để xây dựng các thuật toán gợi ý thực đơn (Menu Recommender), giải quyết bài toán tối ưu hóa đa mục tiêu: vừa đảm bảo Calo/Chất xơ, vừa giảm CO2, vừa hạn chế tỷ lệ thừa mứa.</w:t>
            </w:r>
          </w:p>
        </w:tc>
      </w:tr>
      <w:tr w:rsidR="00013BD3" w:rsidRPr="007F12A9" w14:paraId="664471C4" w14:textId="77777777" w:rsidTr="007F12A9">
        <w:tc>
          <w:tcPr>
            <w:cnfStyle w:val="001000000000" w:firstRow="0" w:lastRow="0" w:firstColumn="1" w:lastColumn="0" w:oddVBand="0" w:evenVBand="0" w:oddHBand="0" w:evenHBand="0" w:firstRowFirstColumn="0" w:firstRowLastColumn="0" w:lastRowFirstColumn="0" w:lastRowLastColumn="0"/>
            <w:tcW w:w="834" w:type="dxa"/>
          </w:tcPr>
          <w:p w14:paraId="07CE0C87" w14:textId="514B377E" w:rsidR="00013BD3" w:rsidRPr="007F12A9" w:rsidRDefault="007F12A9" w:rsidP="007F12A9">
            <w:pPr>
              <w:jc w:val="center"/>
              <w:rPr>
                <w:rFonts w:ascii="Times New Roman" w:hAnsi="Times New Roman" w:cs="Times New Roman"/>
                <w:sz w:val="28"/>
                <w:szCs w:val="28"/>
                <w:lang w:val="en-US"/>
              </w:rPr>
            </w:pPr>
            <w:r>
              <w:rPr>
                <w:rFonts w:ascii="Times New Roman" w:hAnsi="Times New Roman" w:cs="Times New Roman"/>
                <w:sz w:val="28"/>
                <w:szCs w:val="28"/>
                <w:lang w:val="en-US"/>
              </w:rPr>
              <w:t>10</w:t>
            </w:r>
          </w:p>
        </w:tc>
        <w:tc>
          <w:tcPr>
            <w:tcW w:w="2097" w:type="dxa"/>
          </w:tcPr>
          <w:p w14:paraId="06C35384" w14:textId="2C76B4EF" w:rsidR="00013BD3" w:rsidRPr="007F12A9" w:rsidRDefault="007F12A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Anggraeni et al. (2021). Role of Artificial Intelligence in the Management of Food Waste. IEEE.</w:t>
            </w:r>
          </w:p>
        </w:tc>
        <w:tc>
          <w:tcPr>
            <w:tcW w:w="2477" w:type="dxa"/>
          </w:tcPr>
          <w:p w14:paraId="0E679279" w14:textId="03B19344" w:rsidR="00013BD3" w:rsidRPr="007F12A9" w:rsidRDefault="007F12A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Lãng phí thực phẩm xuất phát từ những hành vi phức tạp, có tính liên kết chặt chẽ ở cả cấp độ nhà cung cấp và người tiêu dùng. Cần có các mô hình tính toán để mô phỏng, chẩn đoán và dự đoán các khía cạnh biến động của việc phát sinh và ngăn ngừa lãng phí thực phẩm.</w:t>
            </w:r>
          </w:p>
        </w:tc>
        <w:tc>
          <w:tcPr>
            <w:tcW w:w="2763" w:type="dxa"/>
          </w:tcPr>
          <w:p w14:paraId="366AE32E" w14:textId="23A71291" w:rsidR="00013BD3" w:rsidRPr="007F12A9" w:rsidRDefault="007F12A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Sử dụng 3 mô hình tính toán: (1) Mô hình tích hợp Mạng Bayesian (BN) và Mô phỏng dựa trên Tác nhân (ABM) kết hợp Học máy để đánh giá lượng thực phẩm bị vứt bỏ ở cấp hộ gia đình; (2) Mô hình ABM để đánh giá việc áp dụng công nghệ giảm lãng phí tại cơ sở bán lẻ; (3) Mô hình ABM cho mạng lưới chuỗi cung ứng (người tiêu dùng, thương lái, nhà sản xuất) để đánh giá khả năng chống chịu các cú sốc (shock).</w:t>
            </w:r>
          </w:p>
        </w:tc>
        <w:tc>
          <w:tcPr>
            <w:tcW w:w="2498" w:type="dxa"/>
          </w:tcPr>
          <w:p w14:paraId="3D9A3088" w14:textId="139C9E92" w:rsidR="00013BD3" w:rsidRPr="007F12A9" w:rsidRDefault="007F12A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 xml:space="preserve">Thuật toán Học máy (mạng nơ-ron) giúp mô hình dự đoán hành vi lãng phí tăng độ chính xác từ 47% lên 69%. Việc áp dụng công nghệ giảm lãng phí ở cấp bán lẻ phụ thuộc mạnh vào mạng lưới liên kết giữa các nhà bán lẻ và nhận thức của người tiêu dùng, thay vì chỉ dựa vào lợi ích kinh tế. Phát hiện ra sự đánh đổi (trade-off) trong chuỗi cung ứng: mạng lưới có hiệu suất luân chuyển cao thì nhạy cảm và dễ vỡ trước các "cú sốc", trong khi mạng lưới kém hiệu quả hơn lại có </w:t>
            </w:r>
            <w:r w:rsidRPr="007F12A9">
              <w:rPr>
                <w:rFonts w:ascii="Times New Roman" w:hAnsi="Times New Roman" w:cs="Times New Roman"/>
                <w:sz w:val="28"/>
                <w:szCs w:val="28"/>
              </w:rPr>
              <w:lastRenderedPageBreak/>
              <w:t>khả năng phục hồi tốt hơn.</w:t>
            </w:r>
          </w:p>
        </w:tc>
        <w:tc>
          <w:tcPr>
            <w:tcW w:w="2392" w:type="dxa"/>
          </w:tcPr>
          <w:p w14:paraId="1A0F7FB8" w14:textId="77777777" w:rsidR="007F12A9" w:rsidRPr="007F12A9" w:rsidRDefault="007F12A9" w:rsidP="007F12A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lastRenderedPageBreak/>
              <w:t xml:space="preserve">Các mô hình BN và ABM mới chỉ chỉ ra được sự phụ thuộc lẫn nhau giữa các biến số chứ chưa giải thích được quan hệ nhân quả hay cơ chế cốt lõi. Mô hình ABM giả định các "tác nhân" luôn hành động theo nguyên tắc tối ưu hóa kinh tế mà bỏ qua các hành vi thực tế như tư duy chiến lược hay khả năng học hỏi. Mô hình cũng chưa được kiểm chứng đầy đủ bằng bộ dữ liệu thực tế ở quy mô lớn. </w:t>
            </w:r>
          </w:p>
          <w:p w14:paraId="5F449C8F" w14:textId="77777777" w:rsidR="00013BD3" w:rsidRPr="007F12A9" w:rsidRDefault="00013BD3">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p>
        </w:tc>
        <w:tc>
          <w:tcPr>
            <w:tcW w:w="2102" w:type="dxa"/>
          </w:tcPr>
          <w:p w14:paraId="6636FAE8" w14:textId="3ADB224E" w:rsidR="00013BD3" w:rsidRPr="007F12A9" w:rsidRDefault="007F12A9">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7F12A9">
              <w:rPr>
                <w:rFonts w:ascii="Times New Roman" w:hAnsi="Times New Roman" w:cs="Times New Roman"/>
                <w:sz w:val="28"/>
                <w:szCs w:val="28"/>
              </w:rPr>
              <w:t>Bài báo này cung cấp cái nhìn tuyệt vời về cách ứng dụng Trí tuệ nhân tạo (Machine Learning, Bayesian Network) và Mô phỏng đa tác nhân (ABM) vào bài toán quản lý chuỗi cung ứng. Tư duy thiết kế "Tác nhân" (Agent) rất gần gũi với kiến trúc Microservices và Lập trình Hướng đối tượng (OOP) mà sinh viên IT cần nắm vững.</w:t>
            </w:r>
          </w:p>
        </w:tc>
      </w:tr>
    </w:tbl>
    <w:p w14:paraId="3D0138E0" w14:textId="77777777" w:rsidR="00F200DC" w:rsidRPr="007F12A9" w:rsidRDefault="00F200DC">
      <w:pPr>
        <w:rPr>
          <w:rFonts w:ascii="Times New Roman" w:hAnsi="Times New Roman" w:cs="Times New Roman"/>
          <w:sz w:val="28"/>
          <w:szCs w:val="28"/>
        </w:rPr>
      </w:pPr>
    </w:p>
    <w:sectPr w:rsidR="00F200DC" w:rsidRPr="007F12A9" w:rsidSect="004A1515">
      <w:pgSz w:w="16838" w:h="11906" w:orient="landscape" w:code="9"/>
      <w:pgMar w:top="851" w:right="851" w:bottom="851" w:left="85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6FEC"/>
    <w:rsid w:val="00013BD3"/>
    <w:rsid w:val="000622FF"/>
    <w:rsid w:val="000B421A"/>
    <w:rsid w:val="003427CC"/>
    <w:rsid w:val="003F6141"/>
    <w:rsid w:val="004A1515"/>
    <w:rsid w:val="004B04C4"/>
    <w:rsid w:val="007F12A9"/>
    <w:rsid w:val="007F505A"/>
    <w:rsid w:val="009A59BD"/>
    <w:rsid w:val="009E6256"/>
    <w:rsid w:val="00A909F8"/>
    <w:rsid w:val="00BC773C"/>
    <w:rsid w:val="00C573B8"/>
    <w:rsid w:val="00C91231"/>
    <w:rsid w:val="00C96CFC"/>
    <w:rsid w:val="00CF5385"/>
    <w:rsid w:val="00D933C1"/>
    <w:rsid w:val="00DC6EB3"/>
    <w:rsid w:val="00EE6FEC"/>
    <w:rsid w:val="00F200DC"/>
    <w:rsid w:val="00FA0CF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C1E3C0"/>
  <w15:chartTrackingRefBased/>
  <w15:docId w15:val="{1BF42AF1-8857-4B1C-890F-9028611210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vi-VN"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6FE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E6FE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E6FE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E6FE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E6FE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E6FE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6FE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6FE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6FE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6FE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E6FE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E6FE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E6FE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E6FE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E6FE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6FE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6FE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6FEC"/>
    <w:rPr>
      <w:rFonts w:eastAsiaTheme="majorEastAsia" w:cstheme="majorBidi"/>
      <w:color w:val="272727" w:themeColor="text1" w:themeTint="D8"/>
    </w:rPr>
  </w:style>
  <w:style w:type="paragraph" w:styleId="Title">
    <w:name w:val="Title"/>
    <w:basedOn w:val="Normal"/>
    <w:next w:val="Normal"/>
    <w:link w:val="TitleChar"/>
    <w:uiPriority w:val="10"/>
    <w:qFormat/>
    <w:rsid w:val="00EE6FE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6FE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6FE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6FE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6FEC"/>
    <w:pPr>
      <w:spacing w:before="160"/>
      <w:jc w:val="center"/>
    </w:pPr>
    <w:rPr>
      <w:i/>
      <w:iCs/>
      <w:color w:val="404040" w:themeColor="text1" w:themeTint="BF"/>
    </w:rPr>
  </w:style>
  <w:style w:type="character" w:customStyle="1" w:styleId="QuoteChar">
    <w:name w:val="Quote Char"/>
    <w:basedOn w:val="DefaultParagraphFont"/>
    <w:link w:val="Quote"/>
    <w:uiPriority w:val="29"/>
    <w:rsid w:val="00EE6FEC"/>
    <w:rPr>
      <w:i/>
      <w:iCs/>
      <w:color w:val="404040" w:themeColor="text1" w:themeTint="BF"/>
    </w:rPr>
  </w:style>
  <w:style w:type="paragraph" w:styleId="ListParagraph">
    <w:name w:val="List Paragraph"/>
    <w:basedOn w:val="Normal"/>
    <w:uiPriority w:val="34"/>
    <w:qFormat/>
    <w:rsid w:val="00EE6FEC"/>
    <w:pPr>
      <w:ind w:left="720"/>
      <w:contextualSpacing/>
    </w:pPr>
  </w:style>
  <w:style w:type="character" w:styleId="IntenseEmphasis">
    <w:name w:val="Intense Emphasis"/>
    <w:basedOn w:val="DefaultParagraphFont"/>
    <w:uiPriority w:val="21"/>
    <w:qFormat/>
    <w:rsid w:val="00EE6FEC"/>
    <w:rPr>
      <w:i/>
      <w:iCs/>
      <w:color w:val="2F5496" w:themeColor="accent1" w:themeShade="BF"/>
    </w:rPr>
  </w:style>
  <w:style w:type="paragraph" w:styleId="IntenseQuote">
    <w:name w:val="Intense Quote"/>
    <w:basedOn w:val="Normal"/>
    <w:next w:val="Normal"/>
    <w:link w:val="IntenseQuoteChar"/>
    <w:uiPriority w:val="30"/>
    <w:qFormat/>
    <w:rsid w:val="00EE6FE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E6FEC"/>
    <w:rPr>
      <w:i/>
      <w:iCs/>
      <w:color w:val="2F5496" w:themeColor="accent1" w:themeShade="BF"/>
    </w:rPr>
  </w:style>
  <w:style w:type="character" w:styleId="IntenseReference">
    <w:name w:val="Intense Reference"/>
    <w:basedOn w:val="DefaultParagraphFont"/>
    <w:uiPriority w:val="32"/>
    <w:qFormat/>
    <w:rsid w:val="00EE6FEC"/>
    <w:rPr>
      <w:b/>
      <w:bCs/>
      <w:smallCaps/>
      <w:color w:val="2F5496" w:themeColor="accent1" w:themeShade="BF"/>
      <w:spacing w:val="5"/>
    </w:rPr>
  </w:style>
  <w:style w:type="table" w:styleId="TableGrid">
    <w:name w:val="Table Grid"/>
    <w:basedOn w:val="TableNormal"/>
    <w:uiPriority w:val="39"/>
    <w:rsid w:val="00D933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5">
    <w:name w:val="List Table 3 Accent 5"/>
    <w:basedOn w:val="TableNormal"/>
    <w:uiPriority w:val="48"/>
    <w:rsid w:val="004A151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57</TotalTime>
  <Pages>8</Pages>
  <Words>2391</Words>
  <Characters>13633</Characters>
  <Application>Microsoft Office Word</Application>
  <DocSecurity>0</DocSecurity>
  <Lines>113</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dell5LVFLX3@outlook.com</dc:creator>
  <cp:keywords/>
  <dc:description/>
  <cp:lastModifiedBy>dell5LVFLX3@outlook.com</cp:lastModifiedBy>
  <cp:revision>4</cp:revision>
  <dcterms:created xsi:type="dcterms:W3CDTF">2026-05-25T14:38:00Z</dcterms:created>
  <dcterms:modified xsi:type="dcterms:W3CDTF">2026-05-28T13:34:00Z</dcterms:modified>
</cp:coreProperties>
</file>