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BẢNG TỔNG HỢP CÁC BÀI BÁO NGHIÊN CỨU</w:t>
      </w:r>
    </w:p>
    <w:p>
      <w:pPr>
        <w:jc w:val="center"/>
      </w:pPr>
      <w:r>
        <w:rPr>
          <w:rFonts w:ascii="Times New Roman" w:hAnsi="Times New Roman" w:eastAsia="Times New Roman"/>
          <w:i/>
          <w:sz w:val="18"/>
        </w:rPr>
        <w:t>Các cột: Tên bài báo - Nhiệm vụ - Dữ liệu - Tiền xử lí - Mô hình - Kiến trúc dữ liệu - Kết quả - Hạn chế</w:t>
      </w:r>
    </w:p>
    <w:tbl>
      <w:tblPr>
        <w:tblStyle w:val="TableGrid"/>
        <w:tblW w:type="auto" w:w="0"/>
        <w:jc w:val="center"/>
        <w:tblLayout w:type="fixed"/>
        <w:tblLook w:firstColumn="1" w:firstRow="1" w:lastColumn="0" w:lastRow="0" w:noHBand="0" w:noVBand="1" w:val="04A0"/>
      </w:tblPr>
      <w:tblGrid>
        <w:gridCol w:w="2835"/>
        <w:gridCol w:w="2835"/>
        <w:gridCol w:w="2835"/>
        <w:gridCol w:w="2835"/>
        <w:gridCol w:w="2835"/>
        <w:gridCol w:w="2835"/>
        <w:gridCol w:w="2835"/>
        <w:gridCol w:w="2835"/>
      </w:tblGrid>
      <w:tr>
        <w:trPr>
          <w:tblHeader w:val="true"/>
        </w:trPr>
        <w:tc>
          <w:tcPr>
            <w:tcW w:type="dxa" w:w="3816"/>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Tên bài báo</w:t>
            </w:r>
          </w:p>
        </w:tc>
        <w:tc>
          <w:tcPr>
            <w:tcW w:type="dxa" w:w="2880"/>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Nhiệm vụ</w:t>
            </w:r>
          </w:p>
        </w:tc>
        <w:tc>
          <w:tcPr>
            <w:tcW w:type="dxa" w:w="2951"/>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Dữ liệu</w:t>
            </w:r>
          </w:p>
        </w:tc>
        <w:tc>
          <w:tcPr>
            <w:tcW w:type="dxa" w:w="2520"/>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Tiền xử lí</w:t>
            </w:r>
          </w:p>
        </w:tc>
        <w:tc>
          <w:tcPr>
            <w:tcW w:type="dxa" w:w="2951"/>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Mô hình</w:t>
            </w:r>
          </w:p>
        </w:tc>
        <w:tc>
          <w:tcPr>
            <w:tcW w:type="dxa" w:w="3240"/>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Kiến trúc dữ liệu</w:t>
            </w:r>
          </w:p>
        </w:tc>
        <w:tc>
          <w:tcPr>
            <w:tcW w:type="dxa" w:w="2951"/>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Kết quả</w:t>
            </w:r>
          </w:p>
        </w:tc>
        <w:tc>
          <w:tcPr>
            <w:tcW w:type="dxa" w:w="2448"/>
            <w:shd w:fill="D9EAF7"/>
            <w:vAlign w:val="center"/>
          </w:tcPr>
          <w:p>
            <w:pPr>
              <w:spacing w:after="0" w:before="0" w:line="240" w:lineRule="auto"/>
              <w:jc w:val="left"/>
            </w:pPr>
            <w:r>
              <w:rPr>
                <w:rFonts w:ascii="Times New Roman" w:hAnsi="Times New Roman" w:eastAsia="Times New Roman"/>
              </w:rPr>
            </w:r>
            <w:r>
              <w:rPr>
                <w:rFonts w:ascii="Times New Roman" w:hAnsi="Times New Roman" w:eastAsia="Times New Roman"/>
                <w:b/>
                <w:sz w:val="17"/>
              </w:rPr>
              <w:t>Hạn chế</w:t>
            </w:r>
          </w:p>
        </w:tc>
      </w:tr>
      <w:tr>
        <w:tc>
          <w:tcPr>
            <w:tcW w:type="dxa" w:w="3816"/>
            <w:vAlign w:val="top"/>
          </w:tcPr>
          <w:p>
            <w:pPr>
              <w:spacing w:after="0" w:before="0" w:line="240" w:lineRule="auto"/>
            </w:pPr>
            <w:r>
              <w:rPr>
                <w:rFonts w:ascii="Times New Roman" w:hAnsi="Times New Roman" w:eastAsia="Times New Roman"/>
              </w:rPr>
            </w:r>
            <w:hyperlink r:id="rId9">
              <w:r>
                <w:rPr>
                  <w:rFonts w:ascii="Times New Roman" w:hAnsi="Times New Roman" w:eastAsia="Times New Roman"/>
                  <w:sz w:val="15"/>
                  <w:color w:val="0563C1"/>
                  <w:u w:val="single"/>
                </w:rPr>
                <w:t>Preserving cultural landscapes: an integrated framework for the conservation and sustainable development of Mang Thit Pottery Village, Vietnam</w:t>
              </w:r>
            </w:hyperlink>
          </w:p>
          <w:p>
            <w:pPr>
              <w:spacing w:after="0" w:before="0" w:line="240" w:lineRule="auto"/>
            </w:pPr>
            <w:r>
              <w:rPr>
                <w:rFonts w:ascii="Times New Roman" w:hAnsi="Times New Roman" w:eastAsia="Times New Roman"/>
                <w:i/>
                <w:sz w:val="13"/>
              </w:rPr>
              <w:t>Link: https://link.springer.com/article/10.1007/s43995-025-00255-5</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Xây dựng khung giải pháp tích hợp để bảo tồn cảnh quan văn hóa làng gốm Mang Thít, đồng thời phát triển kinh tế và du lịch bền vững.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Trường hợp nghiên cứu là làng gốm Mang Thít, Vĩnh Long: lò gạch/lò gốm, cảnh quan ven sông, nghề thủ công, cộng đồng địa phương và bối cảnh đô thị hóa.</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Tổng hợp tài liệu, nhận diện giá trị di sản, phân tích các vấn đề suy giảm nghề truyền thống, lao động trẻ rời quê, lò nung bỏ hoang và áp lực phát triển.</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Khung bảo tồn - phát triển tích hợp: bảo tồn di sản, du lịch văn hóa, phát triển sinh kế địa phương và quy hoạch bền vững.</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được tổ chức theo nhóm: giá trị văn hóa/kiến trúc, cảnh quan, cộng đồng, hoạt động du lịch, kinh tế địa phương và quản trị quy hoạch.</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Đề xuất hướng giữ hệ thống lò gạch, bảo tồn kỹ thuật thủ công, tạo tour trải nghiệm, chuyển lò cũ thành không gian trưng bày/sáng tạo và tăng vai trò cộng đồng.</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Chủ yếu là khung định hướng; cần thêm dữ liệu triển khai, đo lường tác động kinh tế - xã hội và cơ chế tài chính cụ thể.</w:t>
            </w:r>
          </w:p>
        </w:tc>
      </w:tr>
      <w:tr>
        <w:tc>
          <w:tcPr>
            <w:tcW w:type="dxa" w:w="3816"/>
            <w:vAlign w:val="top"/>
          </w:tcPr>
          <w:p>
            <w:pPr>
              <w:spacing w:after="0" w:before="0" w:line="240" w:lineRule="auto"/>
            </w:pPr>
            <w:r>
              <w:rPr>
                <w:rFonts w:ascii="Times New Roman" w:hAnsi="Times New Roman" w:eastAsia="Times New Roman"/>
              </w:rPr>
            </w:r>
            <w:hyperlink r:id="rId10">
              <w:r>
                <w:rPr>
                  <w:rFonts w:ascii="Times New Roman" w:hAnsi="Times New Roman" w:eastAsia="Times New Roman"/>
                  <w:sz w:val="15"/>
                  <w:color w:val="0563C1"/>
                  <w:u w:val="single"/>
                </w:rPr>
                <w:t>Understanding Best Practices of Cultural Heritage Adaptive Reuse in the Perspective of the Circular Economy: In-Depth Assessment of Case Studies</w:t>
              </w:r>
            </w:hyperlink>
          </w:p>
          <w:p>
            <w:pPr>
              <w:spacing w:after="0" w:before="0" w:line="240" w:lineRule="auto"/>
            </w:pPr>
            <w:r>
              <w:rPr>
                <w:rFonts w:ascii="Times New Roman" w:hAnsi="Times New Roman" w:eastAsia="Times New Roman"/>
                <w:i/>
                <w:sz w:val="13"/>
              </w:rPr>
              <w:t>Link: https://link.springer.com/chapter/10.1007/978-3-031-67628-4_7</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Tìm các thực hành tốt nhất trong tái sử dụng di sản văn hóa theo góc nhìn kinh tế tuần hoàn.</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Nhiều case study về công trình/di sản được chuyển đổi công năng như nhà máy cũ, kho xưởng, công trình lịch sử, không gian văn hóa - sáng tạo.</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Thu thập và phân loại case study; đánh giá theo tiêu chí kinh tế, xã hội, bảo tồn văn hóa và môi trường.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Mô hình adaptive reuse kết hợp circular economy: tái sử dụng thay vì phá bỏ, kéo dài vòng đời công trình, giảm lãng phí và tạo giá trị mới.</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case study được nhóm theo loại di sản, công năng mới, tác động kinh tế, tác động xã hội, mức bảo tồn giá trị gốc và hiệu quả môi trường.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Các case tốt thường có cộng đồng tham gia, mô hình tài chính rõ, chức năng mới phù hợp, bảo tồn bản sắc và có khả năng tự vận hành lâu dài.</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Khó áp dụng một mẫu chung cho mọi địa phương vì phụ thuộc bối cảnh văn hóa, luật pháp, nguồn vốn và năng lực quản trị.</w:t>
            </w:r>
          </w:p>
        </w:tc>
      </w:tr>
      <w:tr>
        <w:tc>
          <w:tcPr>
            <w:tcW w:type="dxa" w:w="3816"/>
            <w:vAlign w:val="top"/>
          </w:tcPr>
          <w:p>
            <w:pPr>
              <w:spacing w:after="0" w:before="0" w:line="240" w:lineRule="auto"/>
            </w:pPr>
            <w:r>
              <w:rPr>
                <w:rFonts w:ascii="Times New Roman" w:hAnsi="Times New Roman" w:eastAsia="Times New Roman"/>
              </w:rPr>
            </w:r>
            <w:hyperlink r:id="rId11">
              <w:r>
                <w:rPr>
                  <w:rFonts w:ascii="Times New Roman" w:hAnsi="Times New Roman" w:eastAsia="Times New Roman"/>
                  <w:sz w:val="15"/>
                  <w:color w:val="0563C1"/>
                  <w:u w:val="single"/>
                </w:rPr>
                <w:t>Approaching Work Stories with a Craft Mindset</w:t>
              </w:r>
            </w:hyperlink>
          </w:p>
          <w:p>
            <w:pPr>
              <w:spacing w:after="0" w:before="0" w:line="240" w:lineRule="auto"/>
            </w:pPr>
            <w:r>
              <w:rPr>
                <w:rFonts w:ascii="Times New Roman" w:hAnsi="Times New Roman" w:eastAsia="Times New Roman"/>
                <w:i/>
                <w:sz w:val="13"/>
              </w:rPr>
              <w:t>Link: https://link.springer.com/chapter/10.1007/978-3-030-89446-7_7</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Khám phá cách collaborative storytelling giúp con người hiểu công việc, thay đổi tổ chức và xây dựng ý nghĩa trong môi trường làm việc.</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Các câu chuyện công việc, trải nghiệm của thành viên tổ chức và case minh họa Health Village.</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Thu thập câu chuyện, lắng nghe nhiều góc nhìn, diễn giải trải nghiệm và kết nối các mảnh narrative trong tổ chức.</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Craft mindset trong storytelling: tỉ mỉ, cộng tác, lắng nghe, sáng tạo, chú trọng ý nghĩa và niềm tự hào nghề nghiệp.</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dạng narrative: người kể, bối cảnh, trải nghiệm, thay đổi, quan hệ cộng đồng và ý nghĩa được tạo ra qua kể chuyện.</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Storytelling giúp tăng đồng cảm, gắn kết nhóm, tạo bản sắc tổ chức và hỗ trợ thay đổi theo hướng nhân văn hơn.</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Không phải nghiên cứu định lượng; kết quả phụ thuộc ngữ cảnh và khó đo bằng chỉ số hiệu suất trực tiếp.</w:t>
            </w:r>
          </w:p>
        </w:tc>
      </w:tr>
      <w:tr>
        <w:tc>
          <w:tcPr>
            <w:tcW w:type="dxa" w:w="3816"/>
            <w:vAlign w:val="top"/>
          </w:tcPr>
          <w:p>
            <w:pPr>
              <w:spacing w:after="0" w:before="0" w:line="240" w:lineRule="auto"/>
            </w:pPr>
            <w:r>
              <w:rPr>
                <w:rFonts w:ascii="Times New Roman" w:hAnsi="Times New Roman" w:eastAsia="Times New Roman"/>
              </w:rPr>
            </w:r>
            <w:hyperlink r:id="rId12">
              <w:r>
                <w:rPr>
                  <w:rFonts w:ascii="Times New Roman" w:hAnsi="Times New Roman" w:eastAsia="Times New Roman"/>
                  <w:sz w:val="15"/>
                  <w:color w:val="0563C1"/>
                  <w:u w:val="single"/>
                </w:rPr>
                <w:t>Operation and Management of Festival and Tourism Activities</w:t>
              </w:r>
            </w:hyperlink>
          </w:p>
          <w:p>
            <w:pPr>
              <w:spacing w:after="0" w:before="0" w:line="240" w:lineRule="auto"/>
            </w:pPr>
            <w:r>
              <w:rPr>
                <w:rFonts w:ascii="Times New Roman" w:hAnsi="Times New Roman" w:eastAsia="Times New Roman"/>
                <w:i/>
                <w:sz w:val="13"/>
              </w:rPr>
              <w:t>Link: https://link.springer.com/chapter/10.1007/978-981-95-5469-0_7</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Phân tích cách vận hành và quản lý lễ hội/hoạt động du lịch văn hóa để vừa thu hút khách vừa bảo tồn giá trị truyền thống.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Các hoạt động lễ hội, sự kiện văn hóa, du lịch cộng đồng, logistics, lưu trú, giao thông, truyền thông và tác động đến địa phương.</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Phân loại hoạt động lễ hội theo tổ chức sự kiện, du lịch, văn hóa, marketing, an ninh và quản lý tài nguyên.</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Mô hình quản trị lễ hội bền vững: cân bằng kinh tế, trải nghiệm du khách, bản sắc văn hóa, môi trường và sự tham gia cộng đồng.</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quản lý gồm lịch trình, nhân sự, dòng khách, hạ tầng, truyền thông, doanh thu, phản hồi du khách và rủi ro môi trường - xã hội.</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Lễ hội có thể tạo việc làm, tăng doanh thu, quảng bá hình ảnh địa phương và củng cố bản sắc cộng đồng nếu được quy hoạch dài hạn.</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Nguy cơ quá tải du khách, ô nhiễm, thương mại hóa văn hóa và mất tính nguyên bản nếu quản lý yếu.</w:t>
            </w:r>
          </w:p>
        </w:tc>
      </w:tr>
      <w:tr>
        <w:tc>
          <w:tcPr>
            <w:tcW w:type="dxa" w:w="3816"/>
            <w:vAlign w:val="top"/>
          </w:tcPr>
          <w:p>
            <w:pPr>
              <w:spacing w:after="0" w:before="0" w:line="240" w:lineRule="auto"/>
            </w:pPr>
            <w:r>
              <w:rPr>
                <w:rFonts w:ascii="Times New Roman" w:hAnsi="Times New Roman" w:eastAsia="Times New Roman"/>
              </w:rPr>
            </w:r>
            <w:hyperlink r:id="rId13">
              <w:r>
                <w:rPr>
                  <w:rFonts w:ascii="Times New Roman" w:hAnsi="Times New Roman" w:eastAsia="Times New Roman"/>
                  <w:sz w:val="15"/>
                  <w:color w:val="0563C1"/>
                  <w:u w:val="single"/>
                </w:rPr>
                <w:t>A Natural Language Interface for Querying a Vietnamese Historical and Cultural Tourism Knowledge Base</w:t>
              </w:r>
            </w:hyperlink>
          </w:p>
          <w:p>
            <w:pPr>
              <w:spacing w:after="0" w:before="0" w:line="240" w:lineRule="auto"/>
            </w:pPr>
            <w:r>
              <w:rPr>
                <w:rFonts w:ascii="Times New Roman" w:hAnsi="Times New Roman" w:eastAsia="Times New Roman"/>
                <w:i/>
                <w:sz w:val="13"/>
              </w:rPr>
              <w:t>Link: https://link.springer.com/chapter/10.1007/978-981-96-9191-3_44</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Xây dựng giao diện ngôn ngữ tự nhiên để người dùng truy vấn cơ sở tri thức du lịch lịch sử - văn hóa Việt Nam bằng tiếng Việt.</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Cơ sở tri thức về di tích, lễ hội, địa danh văn hóa, thông tin du lịch và các thực thể liên quan đến văn hóa Việt Nam.</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Phân tích câu hỏi tiếng Việt, nhận diện thực thể như địa danh/di tích/lễ hội, xác định ý định người dùng và ánh xạ sang truy vấn dữ liệu.</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Natural Language Interface/Question Answering kết hợp NLP, semantic parsing, ontology/knowledge graph và query processing.</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Kiến trúc gồm lớp nhập câu hỏi tự nhiên, xử lý NLP, nhận diện intent/entity, truy vấn knowledge base và trả lời cho người dùng.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Giúp người dùng phổ thông tra cứu thông tin du lịch văn hóa dễ hơn, phù hợp chatbot, trợ lý ảo và hệ thống smart tourism.</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Độ chính xác phụ thuộc chất lượng knowledge base, khả năng hiểu tiếng Việt, độ phủ thực thể và xử lý câu hỏi mơ hồ.</w:t>
            </w:r>
          </w:p>
        </w:tc>
      </w:tr>
      <w:tr>
        <w:tc>
          <w:tcPr>
            <w:tcW w:type="dxa" w:w="3816"/>
            <w:vAlign w:val="top"/>
          </w:tcPr>
          <w:p>
            <w:pPr>
              <w:spacing w:after="0" w:before="0" w:line="240" w:lineRule="auto"/>
            </w:pPr>
            <w:r>
              <w:rPr>
                <w:rFonts w:ascii="Times New Roman" w:hAnsi="Times New Roman" w:eastAsia="Times New Roman"/>
              </w:rPr>
            </w:r>
            <w:hyperlink r:id="rId14">
              <w:r>
                <w:rPr>
                  <w:rFonts w:ascii="Times New Roman" w:hAnsi="Times New Roman" w:eastAsia="Times New Roman"/>
                  <w:sz w:val="15"/>
                  <w:color w:val="0563C1"/>
                  <w:u w:val="single"/>
                </w:rPr>
                <w:t>Development of management effectiveness indicators and their evaluation for Cu Lao Cham-Hoi An biosphere reserve in Vietnam</w:t>
              </w:r>
            </w:hyperlink>
          </w:p>
          <w:p>
            <w:pPr>
              <w:spacing w:after="0" w:before="0" w:line="240" w:lineRule="auto"/>
            </w:pPr>
            <w:r>
              <w:rPr>
                <w:rFonts w:ascii="Times New Roman" w:hAnsi="Times New Roman" w:eastAsia="Times New Roman"/>
                <w:i/>
                <w:sz w:val="13"/>
              </w:rPr>
              <w:t>Link: https://link.springer.com/article/10.1007/s43621-024-00436-7</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Xây dựng và đánh giá bộ chỉ số hiệu quả quản lý cho Khu dự trữ sinh quyển Cù Lao Chàm - Hội An.</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thực địa, phỏng vấn chuyên gia, dữ liệu địa phương và tiêu chí UNESCO về sinh thái, kinh tế, xã hội, quản trị và phát triển bền vững.</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Chuẩn hóa chỉ số, chấm điểm định lượng, nhóm chỉ số theo lĩnh vực và tính điểm đánh giá hiệu quả quản lý tổng thể.</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Bộ chỉ số đánh giá management effectiveness cho khu sinh quyển, kết hợp bảo tồn tài nguyên, sinh kế, cộng đồng và quản trị.</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dạng chỉ số nhiều tầng: nhóm chỉ số -&gt; tiêu chí -&gt; điểm số -&gt; đánh giá tổng hợp cho từng khía cạnh quản lý.</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Bảo tồn biển và nhận thức cộng đồng khá tốt; du lịch sinh thái phát triển; bộ chỉ số có thể hỗ trợ theo dõi và ra quyết định quản lý.</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Áp lực du lịch, ô nhiễm, khai thác tài nguyên, thiếu nguồn lực và giám sát dài hạn vẫn là vấn đề.</w:t>
            </w:r>
          </w:p>
        </w:tc>
      </w:tr>
      <w:tr>
        <w:tc>
          <w:tcPr>
            <w:tcW w:type="dxa" w:w="3816"/>
            <w:vAlign w:val="top"/>
          </w:tcPr>
          <w:p>
            <w:pPr>
              <w:spacing w:after="0" w:before="0" w:line="240" w:lineRule="auto"/>
            </w:pPr>
            <w:r>
              <w:rPr>
                <w:rFonts w:ascii="Times New Roman" w:hAnsi="Times New Roman" w:eastAsia="Times New Roman"/>
              </w:rPr>
            </w:r>
            <w:hyperlink r:id="rId15">
              <w:r>
                <w:rPr>
                  <w:rFonts w:ascii="Times New Roman" w:hAnsi="Times New Roman" w:eastAsia="Times New Roman"/>
                  <w:sz w:val="15"/>
                  <w:color w:val="0563C1"/>
                  <w:u w:val="single"/>
                </w:rPr>
                <w:t>Tourists’ Intention to Revisit World Cultural Heritage Sites: An Evidence from Hue City, Vietnam</w:t>
              </w:r>
            </w:hyperlink>
          </w:p>
          <w:p>
            <w:pPr>
              <w:spacing w:after="0" w:before="0" w:line="240" w:lineRule="auto"/>
            </w:pPr>
            <w:r>
              <w:rPr>
                <w:rFonts w:ascii="Times New Roman" w:hAnsi="Times New Roman" w:eastAsia="Times New Roman"/>
                <w:i/>
                <w:sz w:val="13"/>
              </w:rPr>
              <w:t>Link: https://link.springer.com/chapter/10.1007/978-3-031-69351-9_10</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Xác định các yếu tố ảnh hưởng đến ý định quay lại các di sản văn hóa thế giới tại Huế.</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Khảo sát khách du lịch tại Huế; dữ liệu về chất lượng dịch vụ, trải nghiệm văn hóa, hình ảnh điểm đến, sự hài lòng, giá trị cảm nhận và hạ tầng.</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Thiết kế bảng hỏi, thu thập phản hồi khách du lịch, mã hóa biến nghiên cứu và phân tích thống kê hành vi.</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Mô hình hành vi du khách/revisit intention: các biến trải nghiệm, chất lượng dịch vụ, hình ảnh điểm đến, hài lòng và giá trị cảm nhận ảnh hưởng đến ý định quay lại.</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khảo sát được tổ chức theo biến độc lập, biến trung gian như sự hài lòng và biến phụ thuộc là ý định quay lại.</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Sự hài lòng là yếu tố quan trọng; giá trị văn hóa, trải nghiệm di sản, chất lượng dịch vụ và hình ảnh Huế ảnh hưởng mạnh đến ý định quay lại.</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Hạ tầng chưa đồng bộ, dịch vụ chưa chuyên nghiệp ở một số khu vực, thiếu sản phẩm du lịch mới và thời gian lưu trú còn ngắn.</w:t>
            </w:r>
          </w:p>
        </w:tc>
      </w:tr>
      <w:tr>
        <w:tc>
          <w:tcPr>
            <w:tcW w:type="dxa" w:w="3816"/>
            <w:vAlign w:val="top"/>
          </w:tcPr>
          <w:p>
            <w:pPr>
              <w:spacing w:after="0" w:before="0" w:line="240" w:lineRule="auto"/>
            </w:pPr>
            <w:r>
              <w:rPr>
                <w:rFonts w:ascii="Times New Roman" w:hAnsi="Times New Roman" w:eastAsia="Times New Roman"/>
              </w:rPr>
            </w:r>
            <w:hyperlink r:id="rId16">
              <w:r>
                <w:rPr>
                  <w:rFonts w:ascii="Times New Roman" w:hAnsi="Times New Roman" w:eastAsia="Times New Roman"/>
                  <w:sz w:val="15"/>
                  <w:color w:val="0563C1"/>
                  <w:u w:val="single"/>
                </w:rPr>
                <w:t>Digital Transformation Promotes Sustainable Development of Vietnam Urban Tourism</w:t>
              </w:r>
            </w:hyperlink>
          </w:p>
          <w:p>
            <w:pPr>
              <w:spacing w:after="0" w:before="0" w:line="240" w:lineRule="auto"/>
            </w:pPr>
            <w:r>
              <w:rPr>
                <w:rFonts w:ascii="Times New Roman" w:hAnsi="Times New Roman" w:eastAsia="Times New Roman"/>
                <w:i/>
                <w:sz w:val="13"/>
              </w:rPr>
              <w:t>Link: https://link.springer.com/chapter/10.1007/978-981-96-5206-8_38</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Phân tích vai trò của chuyển đổi số trong phát triển bền vững du lịch đô thị Việt Nam.</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Bối cảnh du lịch đô thị Việt Nam, công nghệ số như AI, Big Data, IoT, mobile app, thanh toán điện tử, bản đồ số, mạng xã hội, VR/AR.</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Tổng hợp thực trạng, phân loại công nghệ, phân tích tác động theo ba trụ cột bền vững: kinh tế, xã hội và môi trường.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Khung smart tourism/smart city: dùng công nghệ số để cá nhân hóa trải nghiệm, quản lý khách, marketing, vận hành và phát triển bền vững.</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du lịch đô thị gồm hành vi du khách, dịch vụ số, bản đồ/GIS, nền tảng online, dữ liệu doanh nghiệp, dữ liệu quản lý đô thị và phản hồi mạng xã hội.</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Chuyển đổi số giúp tăng trải nghiệm, giảm chi phí, hỗ trợ SME tiếp cận khách hàng, quản lý lượng khách và thúc đẩy du lịch bền vững.</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Hạ tầng chưa đồng đều, thiếu nhân lực số, dữ liệu chưa liên thông, SME khó đầu tư công nghệ và rủi ro bảo mật thông tin.</w:t>
            </w:r>
          </w:p>
        </w:tc>
      </w:tr>
      <w:tr>
        <w:tc>
          <w:tcPr>
            <w:tcW w:type="dxa" w:w="3816"/>
            <w:vAlign w:val="top"/>
          </w:tcPr>
          <w:p>
            <w:pPr>
              <w:spacing w:after="0" w:before="0" w:line="240" w:lineRule="auto"/>
            </w:pPr>
            <w:r>
              <w:rPr>
                <w:rFonts w:ascii="Times New Roman" w:hAnsi="Times New Roman" w:eastAsia="Times New Roman"/>
              </w:rPr>
            </w:r>
            <w:hyperlink r:id="rId17">
              <w:r>
                <w:rPr>
                  <w:rFonts w:ascii="Times New Roman" w:hAnsi="Times New Roman" w:eastAsia="Times New Roman"/>
                  <w:sz w:val="15"/>
                  <w:color w:val="0563C1"/>
                  <w:u w:val="single"/>
                </w:rPr>
                <w:t>Setting the Scene: Heritage Tourism in Vietnam and Asia</w:t>
              </w:r>
            </w:hyperlink>
          </w:p>
          <w:p>
            <w:pPr>
              <w:spacing w:after="0" w:before="0" w:line="240" w:lineRule="auto"/>
            </w:pPr>
            <w:r>
              <w:rPr>
                <w:rFonts w:ascii="Times New Roman" w:hAnsi="Times New Roman" w:eastAsia="Times New Roman"/>
                <w:i/>
                <w:sz w:val="13"/>
              </w:rPr>
              <w:t>Link: https://link.springer.com/chapter/10.1007/978-981-96-5427-7_1</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Cung cấp nền tảng lý thuyết và bối cảnh về du lịch di sản tại Việt Nam và châu Á.</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Các ví dụ di sản Việt Nam và châu Á như Hội An, Huế, Mỹ Sơn, Hạ Long; dữ liệu khái niệm về heritage tourism, authenticity, cultural identity, sustainability.</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Tổng hợp lý thuyết, phân tích bối cảnh khu vực, nhận diện vai trò kinh tế - văn hóa - xã hội và các thách thức quản lý di sản.</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Khung heritage tourism: di sản là tài nguyên văn hóa - lịch sử được khai thác cho trải nghiệm du lịch nhưng cần bảo tồn tính nguyên bản.</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được tổ chức theo lớp: khái niệm học thuật, loại di sản, tác động kinh tế, tác động văn hóa, tác động xã hội và rủi ro quản lý.</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Bài báo làm rõ lợi thế di sản của Việt Nam, vai trò tạo doanh thu, việc làm, quảng bá văn hóa và nâng cao nhận thức cộng đồng.</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Rủi ro thương mại hóa, quá tải du khách, toàn cầu hóa làm biến đổi bản sắc và mâu thuẫn giữa bảo tồn - phát triển.</w:t>
            </w:r>
          </w:p>
        </w:tc>
      </w:tr>
      <w:tr>
        <w:tc>
          <w:tcPr>
            <w:tcW w:type="dxa" w:w="3816"/>
            <w:vAlign w:val="top"/>
          </w:tcPr>
          <w:p>
            <w:pPr>
              <w:spacing w:after="0" w:before="0" w:line="240" w:lineRule="auto"/>
            </w:pPr>
            <w:r>
              <w:rPr>
                <w:rFonts w:ascii="Times New Roman" w:hAnsi="Times New Roman" w:eastAsia="Times New Roman"/>
              </w:rPr>
            </w:r>
            <w:hyperlink r:id="rId18">
              <w:r>
                <w:rPr>
                  <w:rFonts w:ascii="Times New Roman" w:hAnsi="Times New Roman" w:eastAsia="Times New Roman"/>
                  <w:sz w:val="15"/>
                  <w:color w:val="0563C1"/>
                  <w:u w:val="single"/>
                </w:rPr>
                <w:t>Climate Change Resilience in Tourism Destinations: An Exploratory Study of Tan Hoa Weather-Adaptive Tourism Village in Vietnam</w:t>
              </w:r>
            </w:hyperlink>
          </w:p>
          <w:p>
            <w:pPr>
              <w:spacing w:after="0" w:before="0" w:line="240" w:lineRule="auto"/>
            </w:pPr>
            <w:r>
              <w:rPr>
                <w:rFonts w:ascii="Times New Roman" w:hAnsi="Times New Roman" w:eastAsia="Times New Roman"/>
                <w:i/>
                <w:sz w:val="13"/>
              </w:rPr>
              <w:t>Link: https://link.springer.com/chapter/10.1007/978-3-031-99128-8_12</w:t>
            </w:r>
          </w:p>
        </w:tc>
        <w:tc>
          <w:tcPr>
            <w:tcW w:type="dxa" w:w="288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Đánh giá khả năng thích ứng biến đổi khí hậu của điểm đến du lịch thông qua trường hợp làng du lịch thích ứng thời tiết Tân Hóa.</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Case Tân Hóa, Quảng Bình; dữ liệu về bão lũ, ngập lụt, du lịch cộng đồng, nhà chống lũ, sinh kế người dân và quản lý rủi ro thiên tai.</w:t>
            </w:r>
          </w:p>
        </w:tc>
        <w:tc>
          <w:tcPr>
            <w:tcW w:type="dxa" w:w="252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Phân tích bối cảnh khí hậu, thu thập thông tin từ cộng đồng/du khách/chính quyền, nhận diện tác động và giải pháp thích ứng.</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Mô hình climate resilience trong du lịch: thích nghi, phục hồi và duy trì hoạt động thông qua hạ tầng thích ứng, du lịch cộng đồng và quản lý rủi ro.</w:t>
            </w:r>
          </w:p>
        </w:tc>
        <w:tc>
          <w:tcPr>
            <w:tcW w:type="dxa" w:w="3240"/>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Dữ liệu gồm nguy cơ khí hậu, tài nguyên du lịch, năng lực cộng đồng, hạ tầng chống chịu, kế hoạch cảnh báo/sơ tán và tác động sinh kế.</w:t>
            </w:r>
          </w:p>
        </w:tc>
        <w:tc>
          <w:tcPr>
            <w:tcW w:type="dxa" w:w="2951"/>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Cộng đồng địa phương là trung tâm của khả năng chống chịu; nhà chống lũ, du lịch cộng đồng và cảnh báo thời tiết giúp duy trì du lịch bền vững.</w:t>
            </w:r>
          </w:p>
        </w:tc>
        <w:tc>
          <w:tcPr>
            <w:tcW w:type="dxa" w:w="2448"/>
            <w:vAlign w:val="top"/>
          </w:tcPr>
          <w:p>
            <w:pPr>
              <w:spacing w:after="0" w:before="0" w:line="240" w:lineRule="auto"/>
              <w:jc w:val="left"/>
            </w:pPr>
            <w:r>
              <w:rPr>
                <w:rFonts w:ascii="Times New Roman" w:hAnsi="Times New Roman" w:eastAsia="Times New Roman"/>
              </w:rPr>
            </w:r>
            <w:r>
              <w:rPr>
                <w:rFonts w:ascii="Times New Roman" w:hAnsi="Times New Roman" w:eastAsia="Times New Roman"/>
                <w:b w:val="0"/>
                <w:sz w:val="15"/>
              </w:rPr>
              <w:t>Thời tiết khó dự đoán, thiên tai tăng, chi phí vận hành cao, rủi ro hạ tầng và áp lực bảo tồn môi trường.</w:t>
            </w:r>
          </w:p>
        </w:tc>
      </w:tr>
    </w:tbl>
    <w:p>
      <w:pPr>
        <w:jc w:val="left"/>
      </w:pPr>
      <w:r>
        <w:rPr>
          <w:rFonts w:ascii="Times New Roman" w:hAnsi="Times New Roman" w:eastAsia="Times New Roman"/>
          <w:i/>
          <w:sz w:val="16"/>
        </w:rPr>
        <w:t>Ghi chú: Nội dung được tái cấu trúc từ file Paper.docx cũ. Các link trong cột “Tên bài báo” là link Springer/DOI tra cứu theo tiêu đề bài báo; file Word cũ chỉ hiển thị chữ “Springer Nature Link”, không chứa hyperlink nhúng trong cấu trúc tài liệu.</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springer.com/article/10.1007/s43995-025-00255-5" TargetMode="External"/><Relationship Id="rId10" Type="http://schemas.openxmlformats.org/officeDocument/2006/relationships/hyperlink" Target="https://link.springer.com/chapter/10.1007/978-3-031-67628-4_7" TargetMode="External"/><Relationship Id="rId11" Type="http://schemas.openxmlformats.org/officeDocument/2006/relationships/hyperlink" Target="https://link.springer.com/chapter/10.1007/978-3-030-89446-7_7" TargetMode="External"/><Relationship Id="rId12" Type="http://schemas.openxmlformats.org/officeDocument/2006/relationships/hyperlink" Target="https://link.springer.com/chapter/10.1007/978-981-95-5469-0_7" TargetMode="External"/><Relationship Id="rId13" Type="http://schemas.openxmlformats.org/officeDocument/2006/relationships/hyperlink" Target="https://link.springer.com/chapter/10.1007/978-981-96-9191-3_44" TargetMode="External"/><Relationship Id="rId14" Type="http://schemas.openxmlformats.org/officeDocument/2006/relationships/hyperlink" Target="https://link.springer.com/article/10.1007/s43621-024-00436-7" TargetMode="External"/><Relationship Id="rId15" Type="http://schemas.openxmlformats.org/officeDocument/2006/relationships/hyperlink" Target="https://link.springer.com/chapter/10.1007/978-3-031-69351-9_10" TargetMode="External"/><Relationship Id="rId16" Type="http://schemas.openxmlformats.org/officeDocument/2006/relationships/hyperlink" Target="https://link.springer.com/chapter/10.1007/978-981-96-5206-8_38" TargetMode="External"/><Relationship Id="rId17" Type="http://schemas.openxmlformats.org/officeDocument/2006/relationships/hyperlink" Target="https://link.springer.com/chapter/10.1007/978-981-96-5427-7_1" TargetMode="External"/><Relationship Id="rId18" Type="http://schemas.openxmlformats.org/officeDocument/2006/relationships/hyperlink" Target="https://link.springer.com/chapter/10.1007/978-3-031-99128-8_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