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18"/>
          <w:szCs w:val="18"/>
        </w:rPr>
      </w:pPr>
      <w:r w:rsidDel="00000000" w:rsidR="00000000" w:rsidRPr="00000000">
        <w:rPr>
          <w:rtl w:val="0"/>
        </w:rPr>
      </w:r>
    </w:p>
    <w:tbl>
      <w:tblPr>
        <w:tblStyle w:val="Table1"/>
        <w:tblW w:w="16095.0" w:type="dxa"/>
        <w:jc w:val="left"/>
        <w:tblInd w:w="-105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635"/>
        <w:gridCol w:w="1590"/>
        <w:gridCol w:w="1755"/>
        <w:gridCol w:w="1485"/>
        <w:gridCol w:w="1605"/>
        <w:gridCol w:w="2160"/>
        <w:gridCol w:w="2385"/>
        <w:gridCol w:w="1860"/>
        <w:tblGridChange w:id="0">
          <w:tblGrid>
            <w:gridCol w:w="1620"/>
            <w:gridCol w:w="1635"/>
            <w:gridCol w:w="1590"/>
            <w:gridCol w:w="1755"/>
            <w:gridCol w:w="1485"/>
            <w:gridCol w:w="1605"/>
            <w:gridCol w:w="2160"/>
            <w:gridCol w:w="2385"/>
            <w:gridCol w:w="1860"/>
          </w:tblGrid>
        </w:tblGridChange>
      </w:tblGrid>
      <w:tr>
        <w:trPr>
          <w:cantSplit w:val="0"/>
          <w:trHeight w:val="420" w:hRule="atLeast"/>
          <w:tblHeader w:val="0"/>
        </w:trPr>
        <w:tc>
          <w:tcPr>
            <w:shd w:fill="ff9900"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Introduction</w:t>
            </w:r>
          </w:p>
        </w:tc>
        <w:tc>
          <w:tcPr>
            <w:gridSpan w:val="3"/>
            <w:shd w:fill="ff9900"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Related</w:t>
            </w:r>
          </w:p>
        </w:tc>
        <w:tc>
          <w:tcPr>
            <w:gridSpan w:val="3"/>
            <w:shd w:fill="ff9900"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Method</w:t>
            </w:r>
          </w:p>
        </w:tc>
        <w:tc>
          <w:tcPr>
            <w:gridSpan w:val="2"/>
            <w:shd w:fill="ff9900"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w:t>
            </w:r>
          </w:p>
        </w:tc>
      </w:tr>
      <w:tr>
        <w:trPr>
          <w:cantSplit w:val="0"/>
          <w:tblHeader w:val="0"/>
        </w:trPr>
        <w:tc>
          <w:tcPr>
            <w:shd w:fill="f9cb9c"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Paper</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Nhiệm vụ</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Tiền xử lý</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hình</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KTDL</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chế</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w:t>
            </w:r>
          </w:p>
        </w:tc>
        <w:tc>
          <w:tcPr>
            <w:shd w:fill="f9cb9c"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Tạp chí/Hội nghị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Household Food Waste—How to Avoid It? An Integrative Review</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Lisanne van Geffen, Erica van Herpen, Hans van Trijp (2019)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Phân tích nguyên nhân gây lãng phí thực phẩm trong hộ gia đình và đề xuất hướng can thiệp hành vi để giảm food waste. Đối với Smart Fridge, bài này hỗ trợ nền tảng cho các chức năng: quản lý kho thực phẩm, cảnh báo hạn dùng, nhắc dùng thực phẩm gần hết hạn và gợi ý sử dụng leftover.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sử dụng dataset thực nghiệm mới. Bài là integrative review, tổng hợp các nghiên cứu trước về hành vi mua sắm, lưu trữ, chuẩn bị, tiêu thụ và xử lý thực phẩm trong gia đình.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có bước tiền xử lý dữ liệu theo nghĩa kỹ thuật AI/DL. Cách xử lý chính là tổng hợp tài liệu, phân loại hành vi quản lý thực phẩm theo các giai đoạn: planning, shopping, storing, preparing, consumption và disposal.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sử dụng mô hình Machine Learning/Deep Learning. Bài sử dụng khung phân tích hành vi người tiêu dùng và phân biệt giữa goal setting và goal striving trong thay đổi hành vi giảm lãng phí.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áp dụng. Đây là bài review về hành vi và can thiệp giảm lãng phí thực phẩm, không phải bài xây dựng mô hình DL.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cung cấp kiến trúc phần mềm, mô hình AI, dataset cụ thể hoặc kết quả đo bằng accuracy/F1. Khi áp dụng vào Smart Fridge, bài này chỉ nên dùng làm cơ sở lý thuyết cho vấn đề và yêu cầu chức năng, không dùng để mô tả thuật toán.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Bài chỉ ra food waste tại hộ gia đình thường đến từ việc mua nhiều hơn nhu cầu, lập kế hoạch kém, lưu trữ không hợp lý, nhầm lẫn nhãn hạn dùng và không tận dụng đồ thừa. Các can thiệp hiệu quả nên giúp người dùng nhớ thực phẩm đang có, lập kế hoạch, lưu trữ đúng và ưu tiên dùng thực phẩm trước khi hỏng.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hyperlink r:id="rId6">
              <w:r w:rsidDel="00000000" w:rsidR="00000000" w:rsidRPr="00000000">
                <w:rPr>
                  <w:rFonts w:ascii="Times New Roman" w:cs="Times New Roman" w:eastAsia="Times New Roman" w:hAnsi="Times New Roman"/>
                  <w:color w:val="0563c1"/>
                  <w:sz w:val="18"/>
                  <w:szCs w:val="18"/>
                  <w:u w:val="single"/>
                  <w:rtl w:val="0"/>
                </w:rPr>
                <w:t xml:space="preserve">https://link.springer.com/chapter/10.1007/978-3-030-20561-4_2</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Access Book Chapter trong sách Food Waste Management, Springer Nature Link. First Online: 04 September 2019, pp. 27–55.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88"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Adaptafood: an intelligent system to adapt recipes to specialised diets and healthy lifestyles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Andrea Morales-Garzón, Karel Gutiérrez-Batista, Maria J. Martin-Bautista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Xây dựng hệ thống thông minh để điều chỉnh công thức nấu ăn theo ràng buộc ăn uống, dị ứng, sở thích dinh dưỡng và lối sống lành mạnh. Đối với Smart Fridge, bài này hỗ trợ module recipe recommendation, cá nhân hóa món ăn, thay thế nguyên liệu và lọc món theo mục tiêu sức khỏe/calo.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 gồm recipe image hoặc recipe object, thông tin nguyên liệu từ nhiều nguồn dữ liệu thực phẩm/dinh dưỡng. Bài sử dụng MealRec cho image-captioning theo nhóm món ăn như appetizers, main dishes, desserts và dùng Food-101 để đánh giá bổ sung khả năng nhận diện/thể hiện thực phẩm qua ảnh.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Trích xuất nguyên liệu từ ảnh công thức bằng mô hình image-captioning hoặc lấy trực tiếp từ recipe features nếu đầu vào là recipe object. Sau đó căn chỉnh tên thực phẩm từ nhiều nguồn, chuẩn hóa biểu diễn nguyên liệu, tạo embedding ngữ nghĩa và xử lý dữ liệu dị biệt giữa recipe data và nutrition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Sử dụng fine-tuned image-captioning model để trích xuất nguyên liệu từ ảnh; sử dụng BERT/SBERT attention-based language model để học ngữ nghĩa nguyên liệu, căn chỉnh food items giữa nhiều nguồn và phát hiện nguyên liệu thay thế. Bài cũng so sánh với hướng domain-specific word2vec.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Language model dựa trên BERT/SBERT để tạo embedding ngữ nghĩa, dùng mean pooling/max pooling/CLS token và re-train theo food computing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Bài tập trung vào recipe adaptation hơn là quản lý kho thực phẩm. Hệ thống chưa trực tiếp giải quyết bài toán hạn sử dụng, tồn kho, freezer inventory hoặc cảnh báo hết hạn. Việc áp dụng vào Smart Fridge cần bổ sung inventory database, expiry priority và calorie calculation theo dữ liệu người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hình học được tri thức chuyên biệt trong miền food computing sau khi re-training. Việc kết hợp image-captioning, BERT-based semantic representation và chiến lược thay thế nguyên liệu giúp tạo ra các phiên bản công thức chất lượng hơn, đồng thời xử lý tốt dữ liệu thực phẩm không đồng nhất từ ảnh, văn bản và nguồn dinh dưỡng.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hyperlink r:id="rId7">
              <w:r w:rsidDel="00000000" w:rsidR="00000000" w:rsidRPr="00000000">
                <w:rPr>
                  <w:rFonts w:ascii="Times New Roman" w:cs="Times New Roman" w:eastAsia="Times New Roman" w:hAnsi="Times New Roman"/>
                  <w:color w:val="0563c1"/>
                  <w:sz w:val="18"/>
                  <w:szCs w:val="18"/>
                  <w:u w:val="single"/>
                  <w:rtl w:val="0"/>
                </w:rPr>
                <w:t xml:space="preserve">https://link.springer.com/article/10.1007/s00530-025-01667-y</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Open Access Regular Paper trên tạp chí Multimedia Systems, Springer Nature Link. Published: 01 February 2025, Volume 31, Article number 87.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Effects of food sources on food waste behaviour: evidence from urban regions of 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ảnh hưởng của nguồn gốc thực phẩm đối với hành vi lãng phí thực phẩm. Cụ thể, bài báo so sánh các thực hành quản lý thực phẩm thừa từ các nguồn cung cấp khác nhau và kiểm tra tác động của nguồn gốc thực phẩm đến quyết định giữ lại thức ăn (không vứt bỏ) của người tiêu dùng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 được thu thập qua một cuộc khảo sát trực tuyến tại các khu vực đô thị ở Việt Nam (Hà Nội, Hải Phòng, TP. Hồ Chí Minh) vào tháng 11 và 12 năm 2022, thu về 616 phản hồi hợp lệ</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Làm sạch dữ liệu bằng cách loại bỏ các trường hợp không vượt qua bài kiểm tra hướng dẫn (instructional manipulation check) và loại bỏ những người có chế độ ăn thuần chay (vegan) ra khỏi mẫu phân tích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Bài báo sử dụng các mô hình/phương pháp thống kê kinh tế lượng bao gồm: Kiểm định Chi bình phương Pearson (Pearson’s chi-squared test), kiểm định tỷ lệ hai mẫu (two-sample proportion test) và mô hình hồi quy probit hai biến (bivariate probit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chỉ được thực hiện ở các khu vực đô thị nên không đại diện cho nhóm dân cư nông thôn. Nghiên cứu cũng chưa kiểm chứng thực nghiệm được mối liên hệ giữa nguồn thực phẩm và giá trị cảm nhận của người tiêu dùng. Cuối cùng, việc khảo sát dựa trên các tình huống giả định (scenario-based) có thể khác với hành vi quản lý thực phẩm thừa ngoài đời thực vì thực tế còn bị chi phối bởi các yếu tố cảm quan và bối cảnh xã hội</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Thực phẩm có nguồn gốc từ nông dân quen biết (dù là mua hay được tặng từ thức ăn thừa) có khả năng được người tiêu dùng giữ lại cao hơn hẳn so với thực phẩm mua từ siêu thị. Cụ thể, tỷ lệ vứt bỏ thấp nhất thuộc về thịt mua từ nông dân quen (62%) và rau củ từ thức ăn thừa của bữa tiệc (27%)</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Ngoài ra, những người thường xuyên tiêu thụ thịt sẽ có xu hướng giữ lại thịt thừa cao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Tạp chí Agricultural and Food Economics (Năm xuất bản: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Impact of food waste reduction on food security and sustainability in the European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Khám phá mối quan hệ giữa việc giảm lãng phí thực phẩm và an ninh lương thực trong khuôn khổ Thỏa thuận Xanh (Green Deal) của Liên minh Châu Âu (EU). Nghiên cứu xác định các nguyên nhân chính gây lãng phí thực phẩm và đánh giá các tác động về mặt môi trường, kinh tế, xã hội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 thứ cấp được lấy từ các tổ chức như Eurostat, FAO, Our World in Data (bao gồm tỷ lệ suy dinh dưỡng, chỉ số giá thực phẩm, GDP từ khoảng năm 2000-2024). Đồng thời sử dụng bộ dữ liệu gồm 74 bài báo khoa học tiếng Anh được thu thập qua cơ sở dữ liệu Web of Science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 quy trình chuẩn PRISMA để lọc tài liệu: từ 472 bài báo tìm kiếm ban đầu, loại bỏ các bài trùng lặp (còn 435 bài), sàng lọc qua tiêu đề và tóm tắt (còn 160 bài), đọc toàn văn và dùng bảng kiểm tra cấu trúc để đánh giá (còn 146 bài) và cuối cùng chọn ra 74 bài báo đáp ứng đủ tiêu chuẩn để tổng hợp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pháp đánh giá tài liệu hệ thống định tính (Qualitative systematic literature review), phân tích nội dung theo chủ đề (Thematic content analysis), kết hợp với kỹ thuật thống kê mô tả (vẽ biểu đồ hộp, biểu đồ nhiệt) và dùng phần mềm VOSviewer để trực quan hóa mạng lưới liên kết thư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áp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chủ yếu dựa vào các nguồn dữ liệu thứ cấp và không có các nghiên cứu thực nghiệm gốc, do đó không thể khái quát hóa hoàn toàn về mặt thống kê. Ngoài ra, việc thiếu hụt dữ liệu chi tiết ở cấp độ một số quốc gia đã làm hạn chế khả năng phân tích sâu sắc hơn về sự chênh lệch giữa các khu vực trong 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 thất và lãng phí thực phẩm cao nhất xảy ra ở giai đoạn tiêu dùng/hộ gia đình</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Có sự phân hóa rõ rệt ở EU: các quốc gia Đông và Nam Âu đối mặt nhiều với tổn thất sau thu hoạch và rủi ro an ninh lương thực, trong khi các nước Tây và Bắc Âu lãng phí nhiều do mua sắm quá mức ở cấp hộ gia đình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Các can thiệp hiệu quả bao gồm: mở rộng ngân hàng thực phẩm (food banks), cải tiến công nghệ chuỗi cung ứng lạnh, giáo dục người tiêu dùng và các chính sách quy định nghiêm ngặt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Tạp chí Discover Sustainability (Năm xuất bản: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Towards sustainable food consumption: understanding household food waste drivers for improved waste management in urban Vietnam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Tập trung vào việc tìm hiểu lý do tại sao các hộ gia đình ở đô thị (cụ thể là TP. Hồ Chí Minh) lại lãng phí thức ăn. Điểm đặc biệt là nghiên cứu này chia nhỏ việc lãng phí thành hai nhóm: lãng phí nguyên liệu thô (như rau củ hư, thịt hỏng) và lãng phí thức ăn đã nấu chín (đồ ăn thừa), để từ đó tìm ra cách giải quyết riêng biệt cho từng nhóm.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Mẫu: Khảo sát trực tiếp từ 642 hộ gia đình tại nhiều quận huyện của TP. Hồ Chí Minh.</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gian: Dữ liệu được thu thập từ tháng 9 đến tháng 10 năm 2023.</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Tập trung vào các loại thực phẩm chính như thịt, trái cây và rau củ.</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Các điều tra viên được đào tạo bài bản để đặt câu hỏi trung lập, tránh gây áp lực cho người trả lời.</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 được thu thập qua nền tảng CommCare trên smartphone/máy tính bảng với các quy tắc kiểm tra logic để giảm thiểu sai sót.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Nhóm nghiên cứu đã thực hiện kiểm định Little’s MCAR để xử lý dữ liệu bị thiếu và loại bỏ các trường hợp thông tin không đầy đủ.</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Sử dụng thang đo Likert (từ 1 đến 7) để định lượng các hành vi và tâm lý của người dân.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sử dụng phương pháp Mô hình phương trình cấu trúc (SEM) với hai hướng tiếp cận:</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CB-SEM (Covariance-Based SEM): Dùng để kiểm tra các giả thuyết trên mẫu lớn (hơn 400 hộ có lãng phí thực phẩm).</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VB-SEM (Variance-Based SEM): Dùng để phân tích sâu một nhóm nhỏ đặc biệt gồm 113 hộ gia đình "không rác thải" (những hộ báo cáo không lãng phí thực phẩm).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đề cập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Ý định tốt không đồng nghĩa với hành động: Dù mọi người đều muốn giảm lãng phí, nhưng ý định này thường không biến thành kết quả thực tế (khoảng cách giữa ý định và hành vi).</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Kỹ năng là chìa khóa: Những người có kỹ năng nấu nướng tốt và hiểu rõ khẩu vị của các thành viên trong gia đình là những người ít lãng phí thức ăn nhất.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Thói quen đi chợ: Ở TP.HCM, việc đi chợ hàng ngày giúp giảm phụ thuộc vào việc lưu trữ, nên các kỹ năng như lập kế hoạch mua sắm hay bảo quản lại ít có tác động đến việc giảm lãng phí hơn so với các nước phương Tây.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Nghịch lý về sự hối lỗi: Ở những hộ lãng phí nhiều thức ăn đã nấu chín, cảm giác tội lỗi lại đi kèm với việc... lãng phí nhiều hơn, có thể là do họ cảm thấy tội lỗi sau khi đã lỡ bỏ đi rồi.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 tự báo cáo: Mọi con số đều dựa trên những gì người dân tự kể lại, nên có thể họ sẽ nói giảm nói tránh để trông "đẹp" hơn thực tế.</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Dữ liệu chỉ mang tính chất tức thời (tại một thời điểm cuối năm 2023), chưa theo dõi được sự thay đổi dài hạn.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Phạm vi thực phẩm: Mới chỉ tập trung vào thịt, rau, quả; chưa bao quát hết các loại thực phẩm khác như cơm, bánh mì hay đồ đóng hộp.</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Bài báo được đăng trên tạp chí Journal of Material Cycles and Waste Management vào năm 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AI nutrition recommendation using a deep generative model and 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Giải quyết vấn đề thiếu chính xác và thiếu tin cậy của các hệ thống tư vấn dinh dưỡng AI hiện nay. Nhóm tác giả muốn xây dựng một hệ thống có thể tạo ra thực đơn hàng tuần cá nhân hóa, vừa chính xác về mặt khoa học (dựa trên các hướng dẫn dinh dưỡng quốc tế), vừa phong phú về món ăn (nhờ tận dụng ChatGPT).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sử dụng nguồn dữ liệu khá đồ sộ:</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 ảo: 84.000 kế hoạch ăn uống hàng ngày được tạo ra cho 3.000 hồ sơ người dùng ảo với các đặc điểm nhân trắc học và tình trạng sức khỏe khác nhau (như béo phì, tiểu đường, bệnh tim...).</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 thực tế: 1.000 hồ sơ người dùng thật từ các nghiên cứu về béo phì và bệnh tim mạch để kiểm chứng.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Cơ sở dữ liệu thực phẩm: Sử dụng cơ sở dữ liệu Protein NAP (một bộ sưu tập mã nguồn mở về các bữa ăn quốc tế).</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ChatGPT: Được dùng để mở rộng kho thực đơn cho nhiều nền ẩm thực khác nhau như Hy Lạp, Ý, Bồ Đào Nha.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Dữ liệu đầu vào duy nhất là hồ sơ người dùng (cân nặng, chiều cao, tuổi, chỉ số BMI, mức độ hoạt động thể chất, tình trạng bệnh lý...)</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Các thông tin này được chuẩn hóa (normalized) và tổng hợp lại thành một vector đặc trưng để đưa vào mô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Hệ thống là một sự kết hợp thông minh giữa 3 thành phần chính:</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Variational Autoencoder (VAE): Để phân tích hồ sơ người dùng và nhóm những người có nhu cầu dinh dưỡng giống nhau vào cùng một "không gian".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Recurrent Neural Network (RNN): Cụ thể là dùng để tạo ra chuỗi các bữa ăn trong ngày (sáng, phụ sáng, trưa, phụ chiều, tối, đêm).</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Optimizer (Bộ tối ưu hóa): Đây là bước cuối cùng để điều chỉnh chính xác số lượng thực phẩm sao cho khớp hoàn toàn với nhu cầu năng lượng (calo) mục tiêu của từng người.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Deep Learning (DL)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Encoder: Gồm một lớp kết nối đầy đủ (fully connected layer) với 256 neuron.</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Latent Space (Không gian tiềm ẩn): Có kích thước 256 chiều để nắm bắt các đặc điểm dinh dưỡng tinh vi.</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Decoder: Sử dụng đơn vị GRU (Gated Recurrent Unit) với 2 lớp ẩn, mỗi lớp có 512 đơn vị để xử lý chuỗi thực đơn.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Hàm mất mát (Loss functions) đặc biệt: Nhóm tác giả thiết kế các hàm loss mới (Lmacro, LEI...) để ép mô hình phải tuân thủ nghiêm ngặt các hướng dẫn của EFSA và WHO ngay trong quá trình học.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Phạm vi áp dụng: Hiện tại mới chỉ là bản thử nghiệm (proof of concept). Nó cần được nâng cấp để xử lý các trường hợp dị ứng thực phẩm phức tạp hoặc các chế độ ăn kiêng đặc thù hơn (như thuần chay, không gluten) trong tương lai.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Cần đánh giá thực tế: Cần thêm các nghiên cứu trên người thật để xem mức độ hài lòng và liệu người dùng có thực sự tuân thủ theo thực đơn được gợi ý hay không.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Độ chính xác calo tuyệt đối: Nhờ có bộ tối ưu hóa, sai lệch về calo gần như bằng 0.</w:t>
            </w:r>
          </w:p>
          <w:p w:rsidR="00000000" w:rsidDel="00000000" w:rsidP="00000000" w:rsidRDefault="00000000" w:rsidRPr="00000000" w14:paraId="00000077">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Cân bằng dinh dưỡng tốt: Độ chính xác về các chất đa lượng (đạm, béo, bột đường) đạt trung bình khoảng 87% cho hồ sơ ảo và 84% cho hồ sơ thực.</w:t>
            </w:r>
          </w:p>
          <w:p w:rsidR="00000000" w:rsidDel="00000000" w:rsidP="00000000" w:rsidRDefault="00000000" w:rsidRPr="00000000" w14:paraId="00000078">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Vượt trội hơn ChatGPT thuần túy: Hệ thống này chính xác hơn ChatGPT thông thường khoảng 12% về mặt dinh dưỡng và ổn định hơn, không bị biến động thất thường giữa các ngày.</w:t>
            </w:r>
          </w:p>
          <w:p w:rsidR="00000000" w:rsidDel="00000000" w:rsidP="00000000" w:rsidRDefault="00000000" w:rsidRPr="00000000" w14:paraId="00000079">
            <w:pPr>
              <w:widowControl w:val="0"/>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Tốc độ nhanh: Chỉ mất khoảng 500 mili giây để tạo ra thực đơn cả tuần.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Bài báo được đăng trên tạp chí Scientific Reports (thuộc hệ thống Nature Portfolio) vào tháng 6 năm 2024.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ONFOODS: A Substitute Recommendation System in Food Recipes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highlight w:val="white"/>
                <w:rtl w:val="0"/>
              </w:rPr>
              <w:t xml:space="preserve">Đề xuất các phần thịt thay thế trong các công thức nấu ăn và tích hợp dữ liệu quản lý kho hàng để giúp đầu bếp/nhà hàng tận dụng tối đa toàn bộ các phần của động vật. Mục tiêu chính là giảm thiểu rác thải thực phẩm trong ngành ẩm thực và hỗ trợ lên thực đơn dựa trên lượng thịt có sẵn</w:t>
            </w:r>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hd w:fill="ffffff" w:val="clear"/>
              <w:spacing w:after="18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Cơ sở dữ liệu</w:t>
            </w:r>
            <w:r w:rsidDel="00000000" w:rsidR="00000000" w:rsidRPr="00000000">
              <w:rPr>
                <w:rFonts w:ascii="Times New Roman" w:cs="Times New Roman" w:eastAsia="Times New Roman" w:hAnsi="Times New Roman"/>
                <w:b w:val="1"/>
                <w:bCs w:val="1"/>
                <w:sz w:val="18"/>
                <w:szCs w:val="18"/>
                <w:u w:val="single"/>
                <w:rtl w:val="0"/>
              </w:rPr>
              <w:t xml:space="preserve"> </w:t>
            </w:r>
            <w:r w:rsidDel="00000000" w:rsidR="00000000" w:rsidRPr="00000000">
              <w:rPr>
                <w:rFonts w:ascii="Times New Roman" w:cs="Times New Roman" w:eastAsia="Times New Roman" w:hAnsi="Times New Roman"/>
                <w:b w:val="1"/>
                <w:bCs w:val="1"/>
                <w:sz w:val="18"/>
                <w:szCs w:val="18"/>
                <w:rtl w:val="0"/>
              </w:rPr>
              <w:t xml:space="preserve">thành phần dinh dưỡng của USDA (Mỹ):</w:t>
            </w:r>
            <w:r w:rsidDel="00000000" w:rsidR="00000000" w:rsidRPr="00000000">
              <w:rPr>
                <w:rFonts w:ascii="Times New Roman" w:cs="Times New Roman" w:eastAsia="Times New Roman" w:hAnsi="Times New Roman"/>
                <w:sz w:val="18"/>
                <w:szCs w:val="18"/>
                <w:rtl w:val="0"/>
              </w:rPr>
              <w:t xml:space="preserve"> Cung cấp thông tin dinh dưỡng của các phần thịt bò, bao gồm năng lượng, hàm lượng nước, và các chất dinh dưỡng vĩ mô/vi mô.</w:t>
            </w:r>
          </w:p>
          <w:p w:rsidR="00000000" w:rsidDel="00000000" w:rsidP="00000000" w:rsidRDefault="00000000" w:rsidRPr="00000000" w14:paraId="0000007E">
            <w:pPr>
              <w:widowControl w:val="0"/>
              <w:shd w:fill="ffffff" w:val="clear"/>
              <w:spacing w:after="180" w:line="240" w:lineRule="auto"/>
              <w:ind w:left="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bCs w:val="1"/>
                <w:sz w:val="18"/>
                <w:szCs w:val="18"/>
                <w:rtl w:val="0"/>
              </w:rPr>
              <w:t xml:space="preserve">Các trang web công thức nấu ăn trực tuyến:</w:t>
            </w:r>
            <w:r w:rsidDel="00000000" w:rsidR="00000000" w:rsidRPr="00000000">
              <w:rPr>
                <w:rFonts w:ascii="Times New Roman" w:cs="Times New Roman" w:eastAsia="Times New Roman" w:hAnsi="Times New Roman"/>
                <w:sz w:val="18"/>
                <w:szCs w:val="18"/>
                <w:rtl w:val="0"/>
              </w:rPr>
              <w:t xml:space="preserve"> Thu thập các công thức nấu ăn từ thịt bò, trích xuất các thông tin như loại thịt, số lượng, thời gian nấu và số khẩu phần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Để chuẩn bị dữ liệu cho việc tính toán độ tương tự giữa các loại thịt, hệ thống thực hiện các bước: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Các thuộc tính phân loại (độ mềm, kết cấu, hương vị) được ánh xạ thành các vector số học thông qua phương pháp nhúng từ Word2Vec</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Áp dụng chuẩn hóa Min-Max (Min-Max normalization) cho tất cả các thuộc tính (cả thuộc tính số và phân loại) để đưa các giá trị về phạm vi</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nhằm cân bằng trọng số</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Nối các thuộc tính cảm quan và dinh dưỡng thành một vector đặc trưng duy nhất cho mỗi phần thịt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Xây dựng Sơ đồ tri thức (Knowledge Graph) &amp; Bản thể học (Ontology): Sử dụng để mô hình hóa các công thức nấu ăn, các phần thịt và mối quan hệ thay thế giữa chúng</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hình chấm điểm (Scoring metrics): Sử dụng độ đo tương tự Cosin có trọng số (Weighted Cosine Similarity) trên các vector đặc trưng để tìm ra các loại thịt thay thế phù hợp nhất dựa trên cả thành phần dinh dưỡng và cảm quan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Tính toán định lượng: Khối lượng thịt thay thế cần dùng cho công thức sẽ được tính toán điều chỉnh dựa trên lượng chất khô (trừ đi tỷ lệ nước) của từng loại thịt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Kiến trúc hệ thống gồm 4 thành phần chính: Mô-đun thay thế (Substitution process), Ontology, Sơ đồ tri thức (Knowledge graph) và Giao diện người dùng (User interface)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Hệ quản trị cơ sở dữ liệu PostgreSQL được sử dụng để lưu trữ Knowledge Graph (dùng các bảng để biểu thị các nút và mối quan hệ) và dữ liệu kho hàng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Backend được xây dựng dựa trên framework ASP.NET MVC kết hợp với Razor để tạo giao diện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bản thử nghiệm (prototype) hiện tại, hệ thống chủ yếu dựa vào các thuộc tính dinh dưỡng với trọng số bằng nhau để xác định độ tương tự, do dữ liệu về thuộc tính cảm quan cho thịt bò chưa có sẵn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Hệ thống hiện tại mới chỉ được áp dụng dưới dạng một case-study cụ thể cho thịt bò (mặc dù hệ thống có khả năng mở rộng sang các loại thịt khác như thịt lợn, thịt cừu)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Chưa áp dụng các thuật toán Học máy (Machine Learning) tiên tiến để cải thiện độ chính xác dựa trên lịch sử sử dụng hoặc sở thích của đầu bếp (nhóm tác giả dự kiến phát triển ở tương lai)</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Phát triển thành công hệ thống Onfoods dưới dạng một ứng dụng web dễ sử dụng, cho phép gợi ý thịt thay thế, tùy chỉnh khẩu phần và quản lý số lượng, hạn sử dụng của thịt trong kho</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Thiết kế thành công một hệ thống phân cấp thịt gồm 3 cấp độ phù hợp với môi trường nhà hàng</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Hệ thống đã được thử nghiệm với 200 công thức nấu ăn thực tế và cho thấy khả năng duy trì hiệu suất hoạt động ổn định, phản hồi nhanh chóng cũng như dễ dàng mở rộng khi dữ liệu tăng lên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Tạp chí / Hội nghị Bài báo được xuất bản tại hội nghị DEXA 2025 (Database and Expert Systems Applications), nằm trong chuỗi sách LNCS (Lecture Notes in Computer Science) quyển 16047 của nhà xuất bản Springer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User-documented food consumption data from publicly available apps: an analysis of opportunities and challenges for nutrition research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đặc điểm khoa học, kỹ thuật, pháp lý và đạo đức của dữ liệu tiêu thụ thực phẩm do người dùng ghi lại trên các ứng dụng dinh dưỡng công khai</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Mục tiêu là xác định những cơ hội và thách thức của việc sử dụng loại dữ liệu này cho nghiên cứu dinh dưỡng, đồng thời hỗ trợ thiết kế cơ sở hạ tầng nghiên cứu (dự án RICHFIELDS của Liên minh Châu Âu) để thu thập, tích hợp và chia sẻ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sử dụng các thông tin công khai từ 176 ứng dụng thu thập dữ liệu tiêu thụ thực phẩm trên cửa hàng ứng dụng Google Play và iTunes của Vương quốc Anh (được tiến hành vào tháng 10 năm 2016)</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Nguồn dữ liệu để phân tích bao gồm: mô tả ứng dụng, ảnh chụp màn hình, các tính năng được quảng cáo, tài liệu hướng dẫn, điều khoản sử dụng và chính sách bảo mật do nhà phát triển cung cấp</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Để xây dựng tập dữ liệu gồm 176 ứng dụng, nhóm nghiên cứu đã tiến hành các bước: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Thu thập dữ liệu tự động bằng các module Nodejs (itunes-search và google-play-scraper) dựa trên 20 từ khóa tìm kiếm</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Với mỗi từ khóa, giới hạn thu thập 100 ứng dụng đầu tiên và loại bỏ những ứng dụng có điểm đánh giá trung bình thấp (&lt;= 2 sao) hoặc có ít hơn 10 lượt đánh giá</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Tiếp tục loại bỏ các ứng dụng không phục vụ mục đích ghi nhận thức ăn hoặc không hỗ trợ ngôn ngữ tiếng 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này không đề xuất một mô hình Học máy (Machine Learning) mà sử dụng cách tiếp cận phân tích định lượng: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Công cụ thu thập: Xây dựng một công cụ thu thập dữ liệu tùy chỉnh trên nền tảng web (sử dụng framework Keystonejs) với các biểu mẫu phân nhánh để nhập liệu và phân loại thông tin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Khung phân tích: Trích xuất thông tin dựa trên 3 nhóm đặc điểm cốt lõi: (1) Tính phù hợp khoa học (phương pháp đánh giá chế độ ăn, lượng dinh dưỡng, dữ liệu ngữ cảnh), (2) Khả năng quản lý dữ liệu (nguyên tắc FAIR về xuất và trao đổi dữ liệu) và (3) Quản trị pháp lý &amp; đạo đức (quyền sở hữu, quyền riêng tư)</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Trong nghiên cứu này, tiêu chí Kiến trúc &amp; Quản lý dữ liệu (Data management) của các ứng dụng được phân tích theo:</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Xuất dữ liệu: Đa số các ứng dụng chỉ cho phép xuất dữ liệu thông qua tải file thủ công (PDF, CSV) hoặc qua email, rất ít ứng dụng (chỉ khoảng 3%) cung cấp API công khai với định dạng chuẩn JSON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Tích hợp hệ thống: Dữ liệu tiêu thụ thực phẩm thường được liên kết với các trình theo dõi sức khỏe của bên thứ 3 và các trung tâm tổng hợp dữ liệu (Aggregators) phổ biến như Apple HealthKit, Google Fit thông qua API</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Nghiên cứu chỉ dựa trên các thông tin được công khai trên mạng mà không trực tiếp cài đặt hay sử dụng các ứng dụng để đánh giá trải nghiệm thực tế</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Do đó, có thể thiếu sót thông tin quan trọng hoặc thông tin bị sai lệch bởi chiến lược marketing của nhà phát triển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Việc chọn mẫu bị ảnh hưởng bởi thuật toán xếp hạng của cửa hàng ứng dụng tại một thời điểm nhất định (tháng 10/2016) và chỉ giới hạn ở khu vực Vương quốc Anh</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Không đánh giá được chất lượng hay độ chính xác thực tế của cơ sở dữ liệu thực phẩm (thành phần dinh dưỡng) mà các ứng dụng đang sử dụng</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Mặt khoa học: Nhật ký thực phẩm là phương pháp đánh giá phổ biến nhất, cung cấp lượng lớn "dữ liệu lớn" (big data) kết hợp với các dữ liệu ngữ cảnh phong phú (động lực, hoạt động thể chất, chỉ số sức khỏe) mang lại cơ hội cực lớn cho nghiên cứu thói quen tiêu dùng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Tuy nhiên, chất lượng biên dịch dữ liệu dinh dưỡng còn chưa minh bạch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Mặt kỹ thuật: Việc thiếu các giao thức, tài liệu API và định dạng chuẩn để trao đổi dữ liệu là rào cản lớn trong việc chia sẻ và tích hợp dữ liệu người dùng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Mặt pháp lý/Đạo đức: Có một sự thiếu hụt nghiêm trọng về các tài liệu điều khoản sử dụng và chính sách bảo mật rõ ràng. Dù người dùng là chủ sở hữu dữ liệu, các nhà cung cấp lại thường yêu cầu cấp giấy phép thương mại hóa vô điều kiện, đồng thời thu thập/chia sẻ nhiều thông tin nhận dạng cá nhân (PII), đe dọa đến tính toàn vẹn của dữ liệu nghiên cứu</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Bài báo được xuất bản trên tạp chí Nutrition Journal (thuộc nhà xuất bản BMC / Springer Nature) vào năm 2018 (Open Access)</w:t>
            </w:r>
          </w:p>
        </w:tc>
      </w:tr>
      <w:tr>
        <w:trPr>
          <w:cantSplit w:val="0"/>
          <w:trHeight w:val="1113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Can feedback nudges enhance user satisfaction? Kano analysis for different eco-feedback nudge features in a smart home app</w:t>
            </w:r>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Nghiên cứu đánh giá sở thích và sự hài lòng của người dùng (cả người đang sử dụng và người dùng tiềm năng) đối với các tính năng "cú hích" phản hồi sinh thái (eco-feedback nudges) trong các ứng dụng nhà thông minh (smart home app).</w:t>
            </w:r>
          </w:p>
          <w:p w:rsidR="00000000" w:rsidDel="00000000" w:rsidP="00000000" w:rsidRDefault="00000000" w:rsidRPr="00000000" w14:paraId="000000C5">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Đánh giá tính bền vững (độ ổn định) của mức độ hài lòng này theo thời gian để giúp các nhà phát triển xây dựng chiến lược ứng dụng trung hạn hiệu quả</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Study 1:</w:t>
            </w:r>
            <w:r w:rsidDel="00000000" w:rsidR="00000000" w:rsidRPr="00000000">
              <w:rPr>
                <w:rFonts w:ascii="Times New Roman" w:cs="Times New Roman" w:eastAsia="Times New Roman" w:hAnsi="Times New Roman"/>
                <w:color w:val="303030"/>
                <w:sz w:val="18"/>
                <w:szCs w:val="18"/>
                <w:rtl w:val="0"/>
              </w:rPr>
              <w:t xml:space="preserve"> Thu thập tháng 3-4/2022 với 188 người tham gia (trung bình 33,2 tuổi).</w:t>
            </w:r>
          </w:p>
          <w:p w:rsidR="00000000" w:rsidDel="00000000" w:rsidP="00000000" w:rsidRDefault="00000000" w:rsidRPr="00000000" w14:paraId="000000C8">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Study 2:</w:t>
            </w:r>
            <w:r w:rsidDel="00000000" w:rsidR="00000000" w:rsidRPr="00000000">
              <w:rPr>
                <w:rFonts w:ascii="Times New Roman" w:cs="Times New Roman" w:eastAsia="Times New Roman" w:hAnsi="Times New Roman"/>
                <w:color w:val="303030"/>
                <w:sz w:val="18"/>
                <w:szCs w:val="18"/>
                <w:rtl w:val="0"/>
              </w:rPr>
              <w:t xml:space="preserve"> Thu thập tháng 1-3/2023 với 178 người tham gia (trung bình 31,5 tuổi).</w:t>
            </w:r>
          </w:p>
          <w:p w:rsidR="00000000" w:rsidDel="00000000" w:rsidP="00000000" w:rsidRDefault="00000000" w:rsidRPr="00000000" w14:paraId="000000C9">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Nguồn:</w:t>
            </w:r>
            <w:r w:rsidDel="00000000" w:rsidR="00000000" w:rsidRPr="00000000">
              <w:rPr>
                <w:rFonts w:ascii="Times New Roman" w:cs="Times New Roman" w:eastAsia="Times New Roman" w:hAnsi="Times New Roman"/>
                <w:color w:val="303030"/>
                <w:sz w:val="18"/>
                <w:szCs w:val="18"/>
                <w:rtl w:val="0"/>
              </w:rPr>
              <w:t xml:space="preserve"> Khảo sát những người nói tiếng Đức thông qua LinkedIn, Instagram, Facebook và các mối quan hệ cá nhân. Dữ liệu bao gồm thông tin nhân khẩu học, mức độ gắn kết với công nghệ (ATI) và ý thức sinh thái (NEP)</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Loại bỏ các bài báo trùng lặp hoặc không phù hợp trong khâu tổng quan tài liệu.</w:t>
            </w:r>
          </w:p>
          <w:p w:rsidR="00000000" w:rsidDel="00000000" w:rsidP="00000000" w:rsidRDefault="00000000" w:rsidRPr="00000000" w14:paraId="000000CC">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Lọc những người tham gia thỏa mãn tiêu chí: nói tiếng Đức, là người trưởng thành và vượt qua được các câu hỏi kiểm tra độ chú ý (attention check) trong bảng khảo sát.</w:t>
            </w:r>
          </w:p>
          <w:p w:rsidR="00000000" w:rsidDel="00000000" w:rsidP="00000000" w:rsidRDefault="00000000" w:rsidRPr="00000000" w14:paraId="000000CD">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Phân chia tập dữ liệu thành các nhóm nhỏ (những người đã/đang dùng ứng dụng so với những người chưa dùng bao giờ) để phân tích đối chiếu.</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Bài báo sử dụng </w:t>
            </w:r>
            <w:r w:rsidDel="00000000" w:rsidR="00000000" w:rsidRPr="00000000">
              <w:rPr>
                <w:rFonts w:ascii="Times New Roman" w:cs="Times New Roman" w:eastAsia="Times New Roman" w:hAnsi="Times New Roman"/>
                <w:b w:val="1"/>
                <w:bCs w:val="1"/>
                <w:color w:val="303030"/>
                <w:sz w:val="18"/>
                <w:szCs w:val="18"/>
                <w:highlight w:val="white"/>
                <w:rtl w:val="0"/>
              </w:rPr>
              <w:t xml:space="preserve">Mô hình Kano (Kano model)</w:t>
            </w:r>
            <w:r w:rsidDel="00000000" w:rsidR="00000000" w:rsidRPr="00000000">
              <w:rPr>
                <w:rFonts w:ascii="Times New Roman" w:cs="Times New Roman" w:eastAsia="Times New Roman" w:hAnsi="Times New Roman"/>
                <w:color w:val="303030"/>
                <w:sz w:val="18"/>
                <w:szCs w:val="18"/>
                <w:highlight w:val="white"/>
                <w:rtl w:val="0"/>
              </w:rPr>
              <w:t xml:space="preserve"> nhằm đánh giá và phân loại các tính năng theo cách chúng tác động đến sự hài lòng của người dùng. Mô hình phân loại tính năng thành: Bắt buộc (Must-be), Một chiều (One-dimensional), Hấp dẫn (Attractive), Thờ ơ (Indifferent), và Đảo ngược (Reverse)</w:t>
            </w:r>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Đánh giá độ mạnh của các danh mục (Category strength) để xếp loại tính năng.</w:t>
            </w:r>
          </w:p>
          <w:p w:rsidR="00000000" w:rsidDel="00000000" w:rsidP="00000000" w:rsidRDefault="00000000" w:rsidRPr="00000000" w14:paraId="000000D1">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Sử dụng </w:t>
            </w:r>
            <w:r w:rsidDel="00000000" w:rsidR="00000000" w:rsidRPr="00000000">
              <w:rPr>
                <w:rFonts w:ascii="Times New Roman" w:cs="Times New Roman" w:eastAsia="Times New Roman" w:hAnsi="Times New Roman"/>
                <w:b w:val="1"/>
                <w:bCs w:val="1"/>
                <w:color w:val="303030"/>
                <w:sz w:val="18"/>
                <w:szCs w:val="18"/>
                <w:rtl w:val="0"/>
              </w:rPr>
              <w:t xml:space="preserve">Fong's test</w:t>
            </w:r>
            <w:r w:rsidDel="00000000" w:rsidR="00000000" w:rsidRPr="00000000">
              <w:rPr>
                <w:rFonts w:ascii="Times New Roman" w:cs="Times New Roman" w:eastAsia="Times New Roman" w:hAnsi="Times New Roman"/>
                <w:color w:val="303030"/>
                <w:sz w:val="18"/>
                <w:szCs w:val="18"/>
                <w:rtl w:val="0"/>
              </w:rPr>
              <w:t xml:space="preserve"> để tính toán giá trị tham chiếu nhằm xác định độ ý nghĩa phân loại ở mức 10%, và quy tắc luật (A, O, M) &lt; &gt; (I, R, Q) nếu Fong test không cho kết quả rõ ràng.</w:t>
            </w:r>
          </w:p>
          <w:p w:rsidR="00000000" w:rsidDel="00000000" w:rsidP="00000000" w:rsidRDefault="00000000" w:rsidRPr="00000000" w14:paraId="000000D2">
            <w:pPr>
              <w:widowControl w:val="0"/>
              <w:shd w:fill="ffffff" w:val="clear"/>
              <w:spacing w:after="180" w:line="288" w:lineRule="auto"/>
              <w:ind w:left="0" w:firstLine="0"/>
              <w:rPr>
                <w:rFonts w:ascii="Times New Roman" w:cs="Times New Roman" w:eastAsia="Times New Roman" w:hAnsi="Times New Roman"/>
                <w:i w:val="1"/>
                <w:iCs w:val="1"/>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Dùng </w:t>
            </w:r>
            <w:r w:rsidDel="00000000" w:rsidR="00000000" w:rsidRPr="00000000">
              <w:rPr>
                <w:rFonts w:ascii="Times New Roman" w:cs="Times New Roman" w:eastAsia="Times New Roman" w:hAnsi="Times New Roman"/>
                <w:b w:val="1"/>
                <w:bCs w:val="1"/>
                <w:color w:val="303030"/>
                <w:sz w:val="18"/>
                <w:szCs w:val="18"/>
                <w:rtl w:val="0"/>
              </w:rPr>
              <w:t xml:space="preserve">kiểm định Chi-square (</w:t>
            </w:r>
            <w:r w:rsidDel="00000000" w:rsidR="00000000" w:rsidRPr="00000000">
              <w:rPr>
                <w:rFonts w:ascii="Times New Roman" w:cs="Times New Roman" w:eastAsia="Times New Roman" w:hAnsi="Times New Roman"/>
                <w:i w:val="1"/>
                <w:iCs w:val="1"/>
                <w:color w:val="303030"/>
                <w:sz w:val="18"/>
                <w:szCs w:val="18"/>
                <w:rtl w:val="0"/>
              </w:rPr>
              <w:t xml:space="preserve">χ</w:t>
            </w:r>
          </w:p>
          <w:p w:rsidR="00000000" w:rsidDel="00000000" w:rsidP="00000000" w:rsidRDefault="00000000" w:rsidRPr="00000000" w14:paraId="000000D3">
            <w:pPr>
              <w:widowControl w:val="0"/>
              <w:shd w:fill="ffffff" w:val="clear"/>
              <w:spacing w:after="180" w:line="288" w:lineRule="auto"/>
              <w:ind w:left="0" w:right="2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2</w:t>
            </w:r>
            <w:r w:rsidDel="00000000" w:rsidR="00000000" w:rsidRPr="00000000">
              <w:rPr>
                <w:rFonts w:ascii="Times New Roman" w:cs="Times New Roman" w:eastAsia="Times New Roman" w:hAnsi="Times New Roman"/>
                <w:b w:val="1"/>
                <w:bCs w:val="1"/>
                <w:color w:val="303030"/>
                <w:sz w:val="18"/>
                <w:szCs w:val="18"/>
                <w:rtl w:val="0"/>
              </w:rPr>
              <w:t xml:space="preserve">)</w:t>
            </w:r>
            <w:r w:rsidDel="00000000" w:rsidR="00000000" w:rsidRPr="00000000">
              <w:rPr>
                <w:rFonts w:ascii="Times New Roman" w:cs="Times New Roman" w:eastAsia="Times New Roman" w:hAnsi="Times New Roman"/>
                <w:color w:val="303030"/>
                <w:sz w:val="18"/>
                <w:szCs w:val="18"/>
                <w:rtl w:val="0"/>
              </w:rPr>
              <w:t xml:space="preserve"> để đánh giá tính ý nghĩa của sự thay đổi sở thích giữa hai đợt khảo sát Study 1 và Study 2.</w:t>
            </w:r>
          </w:p>
          <w:p w:rsidR="00000000" w:rsidDel="00000000" w:rsidP="00000000" w:rsidRDefault="00000000" w:rsidRPr="00000000" w14:paraId="000000D4">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Dùng chỉ số </w:t>
            </w:r>
            <w:r w:rsidDel="00000000" w:rsidR="00000000" w:rsidRPr="00000000">
              <w:rPr>
                <w:rFonts w:ascii="Times New Roman" w:cs="Times New Roman" w:eastAsia="Times New Roman" w:hAnsi="Times New Roman"/>
                <w:b w:val="1"/>
                <w:bCs w:val="1"/>
                <w:color w:val="303030"/>
                <w:sz w:val="18"/>
                <w:szCs w:val="18"/>
                <w:rtl w:val="0"/>
              </w:rPr>
              <w:t xml:space="preserve">Cohen's kappa</w:t>
            </w:r>
            <w:r w:rsidDel="00000000" w:rsidR="00000000" w:rsidRPr="00000000">
              <w:rPr>
                <w:rFonts w:ascii="Times New Roman" w:cs="Times New Roman" w:eastAsia="Times New Roman" w:hAnsi="Times New Roman"/>
                <w:color w:val="303030"/>
                <w:sz w:val="18"/>
                <w:szCs w:val="18"/>
                <w:rtl w:val="0"/>
              </w:rPr>
              <w:t xml:space="preserve"> và </w:t>
            </w:r>
            <w:r w:rsidDel="00000000" w:rsidR="00000000" w:rsidRPr="00000000">
              <w:rPr>
                <w:rFonts w:ascii="Times New Roman" w:cs="Times New Roman" w:eastAsia="Times New Roman" w:hAnsi="Times New Roman"/>
                <w:b w:val="1"/>
                <w:bCs w:val="1"/>
                <w:color w:val="303030"/>
                <w:sz w:val="18"/>
                <w:szCs w:val="18"/>
                <w:rtl w:val="0"/>
              </w:rPr>
              <w:t xml:space="preserve">tỉ lệ phần trăm đồng thuận (percent agreement)</w:t>
            </w:r>
            <w:r w:rsidDel="00000000" w:rsidR="00000000" w:rsidRPr="00000000">
              <w:rPr>
                <w:rFonts w:ascii="Times New Roman" w:cs="Times New Roman" w:eastAsia="Times New Roman" w:hAnsi="Times New Roman"/>
                <w:color w:val="303030"/>
                <w:sz w:val="18"/>
                <w:szCs w:val="18"/>
                <w:rtl w:val="0"/>
              </w:rPr>
              <w:t xml:space="preserve"> để đánh giá độ tin cậy của việc phân loại giữa 2 đợt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Do khảo sát trực tuyến, người tham gia đôi khi phải "tưởng tượng" về tính năng, dẫn đến thiếu ngữ cảnh trải nghiệm thực tế.</w:t>
            </w:r>
          </w:p>
          <w:p w:rsidR="00000000" w:rsidDel="00000000" w:rsidP="00000000" w:rsidRDefault="00000000" w:rsidRPr="00000000" w14:paraId="000000D7">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Khảo sát chỉ đánh giá tính năng một lần duy nhất, trong khi ở thực tế, các nudge sẽ xuất hiện liên tục nhiều lần mỗi khi mở app.</w:t>
            </w:r>
          </w:p>
          <w:p w:rsidR="00000000" w:rsidDel="00000000" w:rsidP="00000000" w:rsidRDefault="00000000" w:rsidRPr="00000000" w14:paraId="000000D8">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Độ tuổi trung bình của mẫu khảo sát (31-33 tuổi) trẻ hơn so với độ tuổi trung bình chung của dân số Đức (44,6 tuổi), nên không mang tính đại diện tuyệt đối.</w:t>
            </w:r>
          </w:p>
          <w:p w:rsidR="00000000" w:rsidDel="00000000" w:rsidP="00000000" w:rsidRDefault="00000000" w:rsidRPr="00000000" w14:paraId="000000D9">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Bản thân mô hình Kano bị giới hạn bởi sự cứng nhắc trong 5 mức phân loại, bỏ qua các ưu tiên vô thức của người dùng và hoàn toàn không xem xét đến chi phí triển khai hay việc người dùng có sẵn sàng trả tiền cho tính năng đó hay không</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Kết quả phân loại trên tổng 25 tính năng rất ổn định sau 1 năm: có 23 tính năng không thay đổi thứ hạng, bao gồm 9 tính năng Thờ ơ (Indifferent), 11 Hấp dẫn (Attractive) và 2 Bắt buộc phải có (Must-be).</w:t>
            </w:r>
          </w:p>
          <w:p w:rsidR="00000000" w:rsidDel="00000000" w:rsidP="00000000" w:rsidRDefault="00000000" w:rsidRPr="00000000" w14:paraId="000000DC">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Chỉ có 1 tính năng "Tần suất cập nhật gần thời gian thực" có sự thay đổi mang ý nghĩa thống kê (từ mức Indifferent ở Study 1 lên Attractive ở Study 2). Tính năng "Trực quan hóa qua thời gian" chuyển từ mức hỗn hợp sang Must-be (nhưng không có ý nghĩa thống kê về độ chênh lệch).</w:t>
            </w:r>
          </w:p>
          <w:p w:rsidR="00000000" w:rsidDel="00000000" w:rsidP="00000000" w:rsidRDefault="00000000" w:rsidRPr="00000000" w14:paraId="000000DD">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Đối với người chưa dùng:</w:t>
            </w:r>
            <w:r w:rsidDel="00000000" w:rsidR="00000000" w:rsidRPr="00000000">
              <w:rPr>
                <w:rFonts w:ascii="Times New Roman" w:cs="Times New Roman" w:eastAsia="Times New Roman" w:hAnsi="Times New Roman"/>
                <w:color w:val="303030"/>
                <w:sz w:val="18"/>
                <w:szCs w:val="18"/>
                <w:rtl w:val="0"/>
              </w:rPr>
              <w:t xml:space="preserve"> Họ đánh giá cao và coi những tính năng mang tính sáng tạo mới mẻ là sự "Hấp dẫn" (Attractive).</w:t>
            </w:r>
          </w:p>
          <w:p w:rsidR="00000000" w:rsidDel="00000000" w:rsidP="00000000" w:rsidRDefault="00000000" w:rsidRPr="00000000" w14:paraId="000000DE">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Đối với người đang sử dụng:</w:t>
            </w:r>
            <w:r w:rsidDel="00000000" w:rsidR="00000000" w:rsidRPr="00000000">
              <w:rPr>
                <w:rFonts w:ascii="Times New Roman" w:cs="Times New Roman" w:eastAsia="Times New Roman" w:hAnsi="Times New Roman"/>
                <w:color w:val="303030"/>
                <w:sz w:val="18"/>
                <w:szCs w:val="18"/>
                <w:rtl w:val="0"/>
              </w:rPr>
              <w:t xml:space="preserve"> Họ có xu hướng coi những tính năng đó là hiển nhiên và "Thờ ơ" (Indifferent) với chúng, vì họ đã coi đó là tiêu chuẩn bình thường.</w:t>
            </w:r>
          </w:p>
          <w:p w:rsidR="00000000" w:rsidDel="00000000" w:rsidP="00000000" w:rsidRDefault="00000000" w:rsidRPr="00000000" w14:paraId="000000DF">
            <w:pPr>
              <w:widowControl w:val="0"/>
              <w:shd w:fill="ffffff" w:val="clear"/>
              <w:spacing w:after="18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Bài báo đề xuất 4 tính năng bắt buộc phải cài đặt (Must-be) để người dùng không bỏ ứng dụng: Cập nhật định kỳ, hiển thị theo chỉ số kWh, hiển thị tác động môi trường, và hiển thị trực quan theo thời gian. Không có tính năng nào bị người dùng đánh giá là Reverse (khiến họ ghét nếu được tích hợp).</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Tạp chí </w:t>
            </w:r>
            <w:r w:rsidDel="00000000" w:rsidR="00000000" w:rsidRPr="00000000">
              <w:rPr>
                <w:rFonts w:ascii="Times New Roman" w:cs="Times New Roman" w:eastAsia="Times New Roman" w:hAnsi="Times New Roman"/>
                <w:i w:val="1"/>
                <w:iCs w:val="1"/>
                <w:color w:val="303030"/>
                <w:sz w:val="18"/>
                <w:szCs w:val="18"/>
                <w:highlight w:val="white"/>
                <w:rtl w:val="0"/>
              </w:rPr>
              <w:t xml:space="preserve">Electronic Markets</w:t>
            </w:r>
            <w:r w:rsidDel="00000000" w:rsidR="00000000" w:rsidRPr="00000000">
              <w:rPr>
                <w:rFonts w:ascii="Times New Roman" w:cs="Times New Roman" w:eastAsia="Times New Roman" w:hAnsi="Times New Roman"/>
                <w:color w:val="303030"/>
                <w:sz w:val="18"/>
                <w:szCs w:val="18"/>
                <w:highlight w:val="white"/>
                <w:rtl w:val="0"/>
              </w:rPr>
              <w:t xml:space="preserve"> (2025)</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Deep learning framework for barcode localization and decoding using simulated UAV imagery</w:t>
            </w:r>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Nghiên cứu đề xuất một hệ thống framework học sâu (deep learning) nhằm tự động hóa việc định vị (localization) và giải mã (decoding) mã vạch (1D và 2D/QR) trong quản lý hàng tồn kho, thông qua hình ảnh góc nhìn từ máy bay không người lái (UAV). Sau khi định vị và giải mã thành công, hệ thống tự động cập nhật thông tin sản phẩm và số lượng vào cơ sở dữ liệu để theo dõi hàng tồn kho theo thời gian thực</w:t>
            </w:r>
            <w:r w:rsidDel="00000000" w:rsidR="00000000" w:rsidRPr="00000000">
              <w:rPr>
                <w:rFonts w:ascii="Times New Roman" w:cs="Times New Roman" w:eastAsia="Times New Roman" w:hAnsi="Times New Roman"/>
                <w:sz w:val="18"/>
                <w:szCs w:val="18"/>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Sử dụng bộ dữ liệu gồm tổng cộng 31.510 hình ảnh chứa mã vạch (1D) và mã QR (2D) đã được gán nhãn. Bộ dữ liệu này được phân chia thành:</w:t>
            </w:r>
          </w:p>
          <w:p w:rsidR="00000000" w:rsidDel="00000000" w:rsidP="00000000" w:rsidRDefault="00000000" w:rsidRPr="00000000" w14:paraId="000000E5">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Tập huấn luyện (Training Set): 91% (28.696 ảnh).</w:t>
            </w:r>
          </w:p>
          <w:p w:rsidR="00000000" w:rsidDel="00000000" w:rsidP="00000000" w:rsidRDefault="00000000" w:rsidRPr="00000000" w14:paraId="000000E6">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Tập xác thực (Validation Set): 8% (2.382 ảnh).</w:t>
            </w:r>
          </w:p>
          <w:p w:rsidR="00000000" w:rsidDel="00000000" w:rsidP="00000000" w:rsidRDefault="00000000" w:rsidRPr="00000000" w14:paraId="000000E7">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Tập kiểm tra (Test Set): 1% (432 ảnh)</w:t>
            </w:r>
          </w:p>
          <w:p w:rsidR="00000000" w:rsidDel="00000000" w:rsidP="00000000" w:rsidRDefault="00000000" w:rsidRPr="00000000" w14:paraId="000000E8">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Trước khi đưa vào mô hình, hình ảnh được tiền xử lý qua các bước:</w:t>
            </w:r>
          </w:p>
          <w:p w:rsidR="00000000" w:rsidDel="00000000" w:rsidP="00000000" w:rsidRDefault="00000000" w:rsidRPr="00000000" w14:paraId="000000EB">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Tự động định hướng (Auto-Orient): Đảm bảo hình ảnh ở hướng chính xác.</w:t>
            </w:r>
          </w:p>
          <w:p w:rsidR="00000000" w:rsidDel="00000000" w:rsidP="00000000" w:rsidRDefault="00000000" w:rsidRPr="00000000" w14:paraId="000000EC">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Thay đổi kích thước (Resize): Chỉnh kích thước ảnh về chuẩn 416 × 416 pixel bằng phương pháp kéo giãn (stretch-based).</w:t>
            </w:r>
          </w:p>
          <w:p w:rsidR="00000000" w:rsidDel="00000000" w:rsidP="00000000" w:rsidRDefault="00000000" w:rsidRPr="00000000" w14:paraId="000000ED">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Điều chỉnh lớp (Class Modification): Gom nhóm lại 4 lớp dữ liệu để đảm bảo tính nhất quán trong các chú thích (annotations)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Hệ thống là sự kết hợp của nhiều thành phần và mô hình khác nhau:</w:t>
            </w:r>
          </w:p>
          <w:p w:rsidR="00000000" w:rsidDel="00000000" w:rsidP="00000000" w:rsidRDefault="00000000" w:rsidRPr="00000000" w14:paraId="000000F0">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Phát hiện và định vị:</w:t>
            </w:r>
            <w:r w:rsidDel="00000000" w:rsidR="00000000" w:rsidRPr="00000000">
              <w:rPr>
                <w:rFonts w:ascii="Times New Roman" w:cs="Times New Roman" w:eastAsia="Times New Roman" w:hAnsi="Times New Roman"/>
                <w:color w:val="303030"/>
                <w:sz w:val="18"/>
                <w:szCs w:val="18"/>
                <w:rtl w:val="0"/>
              </w:rPr>
              <w:t xml:space="preserve"> Mô hình </w:t>
            </w:r>
            <w:r w:rsidDel="00000000" w:rsidR="00000000" w:rsidRPr="00000000">
              <w:rPr>
                <w:rFonts w:ascii="Times New Roman" w:cs="Times New Roman" w:eastAsia="Times New Roman" w:hAnsi="Times New Roman"/>
                <w:b w:val="1"/>
                <w:bCs w:val="1"/>
                <w:color w:val="303030"/>
                <w:sz w:val="18"/>
                <w:szCs w:val="18"/>
                <w:rtl w:val="0"/>
              </w:rPr>
              <w:t xml:space="preserve">YOLOv8</w:t>
            </w:r>
            <w:r w:rsidDel="00000000" w:rsidR="00000000" w:rsidRPr="00000000">
              <w:rPr>
                <w:rFonts w:ascii="Times New Roman" w:cs="Times New Roman" w:eastAsia="Times New Roman" w:hAnsi="Times New Roman"/>
                <w:color w:val="303030"/>
                <w:sz w:val="18"/>
                <w:szCs w:val="18"/>
                <w:rtl w:val="0"/>
              </w:rPr>
              <w:t xml:space="preserve"> được sử dụng để phát hiện đối tượng theo thời gian thực, xác định vị trí các hộp giới hạn (bounding box) của mã vạch và mã QR.</w:t>
            </w:r>
          </w:p>
          <w:p w:rsidR="00000000" w:rsidDel="00000000" w:rsidP="00000000" w:rsidRDefault="00000000" w:rsidRPr="00000000" w14:paraId="000000F1">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Giải mã:</w:t>
            </w:r>
            <w:r w:rsidDel="00000000" w:rsidR="00000000" w:rsidRPr="00000000">
              <w:rPr>
                <w:rFonts w:ascii="Times New Roman" w:cs="Times New Roman" w:eastAsia="Times New Roman" w:hAnsi="Times New Roman"/>
                <w:color w:val="303030"/>
                <w:sz w:val="18"/>
                <w:szCs w:val="18"/>
                <w:rtl w:val="0"/>
              </w:rPr>
              <w:t xml:space="preserve"> Sử dụng mô-đun giải mã mã vạch của </w:t>
            </w:r>
            <w:r w:rsidDel="00000000" w:rsidR="00000000" w:rsidRPr="00000000">
              <w:rPr>
                <w:rFonts w:ascii="Times New Roman" w:cs="Times New Roman" w:eastAsia="Times New Roman" w:hAnsi="Times New Roman"/>
                <w:b w:val="1"/>
                <w:bCs w:val="1"/>
                <w:color w:val="303030"/>
                <w:sz w:val="18"/>
                <w:szCs w:val="18"/>
                <w:rtl w:val="0"/>
              </w:rPr>
              <w:t xml:space="preserve">OpenCV</w:t>
            </w:r>
            <w:r w:rsidDel="00000000" w:rsidR="00000000" w:rsidRPr="00000000">
              <w:rPr>
                <w:rFonts w:ascii="Times New Roman" w:cs="Times New Roman" w:eastAsia="Times New Roman" w:hAnsi="Times New Roman"/>
                <w:color w:val="303030"/>
                <w:sz w:val="18"/>
                <w:szCs w:val="18"/>
                <w:rtl w:val="0"/>
              </w:rPr>
              <w:t xml:space="preserve"> để trích xuất thông tin sản phẩm từ vùng mã vạch đã được định vị.</w:t>
            </w:r>
          </w:p>
          <w:p w:rsidR="00000000" w:rsidDel="00000000" w:rsidP="00000000" w:rsidRDefault="00000000" w:rsidRPr="00000000" w14:paraId="000000F2">
            <w:pPr>
              <w:widowControl w:val="0"/>
              <w:spacing w:line="240" w:lineRule="auto"/>
              <w:rPr>
                <w:rFonts w:ascii="Times New Roman" w:cs="Times New Roman" w:eastAsia="Times New Roman" w:hAnsi="Times New Roman"/>
                <w:color w:val="303030"/>
                <w:sz w:val="24"/>
                <w:szCs w:val="24"/>
              </w:rPr>
            </w:pPr>
            <w:r w:rsidDel="00000000" w:rsidR="00000000" w:rsidRPr="00000000">
              <w:rPr>
                <w:rFonts w:ascii="Times New Roman" w:cs="Times New Roman" w:eastAsia="Times New Roman" w:hAnsi="Times New Roman"/>
                <w:b w:val="1"/>
                <w:bCs w:val="1"/>
                <w:color w:val="303030"/>
                <w:sz w:val="18"/>
                <w:szCs w:val="18"/>
                <w:rtl w:val="0"/>
              </w:rPr>
              <w:t xml:space="preserve">Hệ thống cơ sở dữ liệu:</w:t>
            </w:r>
            <w:r w:rsidDel="00000000" w:rsidR="00000000" w:rsidRPr="00000000">
              <w:rPr>
                <w:rFonts w:ascii="Times New Roman" w:cs="Times New Roman" w:eastAsia="Times New Roman" w:hAnsi="Times New Roman"/>
                <w:color w:val="303030"/>
                <w:sz w:val="18"/>
                <w:szCs w:val="18"/>
                <w:rtl w:val="0"/>
              </w:rPr>
              <w:t xml:space="preserve"> Phát triển backend bằng </w:t>
            </w:r>
            <w:r w:rsidDel="00000000" w:rsidR="00000000" w:rsidRPr="00000000">
              <w:rPr>
                <w:rFonts w:ascii="Times New Roman" w:cs="Times New Roman" w:eastAsia="Times New Roman" w:hAnsi="Times New Roman"/>
                <w:b w:val="1"/>
                <w:bCs w:val="1"/>
                <w:color w:val="303030"/>
                <w:sz w:val="18"/>
                <w:szCs w:val="18"/>
                <w:rtl w:val="0"/>
              </w:rPr>
              <w:t xml:space="preserve">PHP và MySQL</w:t>
            </w:r>
            <w:r w:rsidDel="00000000" w:rsidR="00000000" w:rsidRPr="00000000">
              <w:rPr>
                <w:rFonts w:ascii="Times New Roman" w:cs="Times New Roman" w:eastAsia="Times New Roman" w:hAnsi="Times New Roman"/>
                <w:color w:val="303030"/>
                <w:sz w:val="18"/>
                <w:szCs w:val="18"/>
                <w:rtl w:val="0"/>
              </w:rPr>
              <w:t xml:space="preserve"> (chạy trên XAMPP) để tích hợp và cập nhật dữ liệu tồn kho theo thời gian </w:t>
            </w:r>
            <w:r w:rsidDel="00000000" w:rsidR="00000000" w:rsidRPr="00000000">
              <w:rPr>
                <w:rFonts w:ascii="Times New Roman" w:cs="Times New Roman" w:eastAsia="Times New Roman" w:hAnsi="Times New Roman"/>
                <w:color w:val="303030"/>
                <w:sz w:val="24"/>
                <w:szCs w:val="24"/>
                <w:rtl w:val="0"/>
              </w:rPr>
              <w:t xml:space="preserve">thực</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rFonts w:ascii="Times New Roman" w:cs="Times New Roman" w:eastAsia="Times New Roman" w:hAnsi="Times New Roman"/>
                <w:color w:val="303030"/>
                <w:sz w:val="18"/>
                <w:szCs w:val="18"/>
                <w:highlight w:val="white"/>
              </w:rPr>
            </w:pPr>
            <w:r w:rsidDel="00000000" w:rsidR="00000000" w:rsidRPr="00000000">
              <w:rPr>
                <w:rFonts w:ascii="Times New Roman" w:cs="Times New Roman" w:eastAsia="Times New Roman" w:hAnsi="Times New Roman"/>
                <w:color w:val="303030"/>
                <w:sz w:val="18"/>
                <w:szCs w:val="18"/>
                <w:highlight w:val="white"/>
                <w:rtl w:val="0"/>
              </w:rPr>
              <w:t xml:space="preserve">Để mô phỏng các điều kiện môi trường khó khăn và đặc tính khi bay của UAV, tác giả áp dụng nhiều kỹ thuật tăng cường dữ liệu:</w:t>
            </w:r>
          </w:p>
          <w:p w:rsidR="00000000" w:rsidDel="00000000" w:rsidP="00000000" w:rsidRDefault="00000000" w:rsidRPr="00000000" w14:paraId="000000F5">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Tăng cường tích hợp của YOLOv8:</w:t>
            </w:r>
            <w:r w:rsidDel="00000000" w:rsidR="00000000" w:rsidRPr="00000000">
              <w:rPr>
                <w:rFonts w:ascii="Times New Roman" w:cs="Times New Roman" w:eastAsia="Times New Roman" w:hAnsi="Times New Roman"/>
                <w:color w:val="303030"/>
                <w:sz w:val="18"/>
                <w:szCs w:val="18"/>
                <w:rtl w:val="0"/>
              </w:rPr>
              <w:t xml:space="preserve"> Lật ảnh (ngang/dọc), xoay (90°, 180°), cắt ngẫu nhiên, kéo xô (shearing), làm mờ Gaussian, thêm nhiễu, và kỹ thuật Cutout (thêm 3 hộp che khuất, mỗi hộp che 10% mã vạch).</w:t>
            </w:r>
          </w:p>
          <w:p w:rsidR="00000000" w:rsidDel="00000000" w:rsidP="00000000" w:rsidRDefault="00000000" w:rsidRPr="00000000" w14:paraId="000000F6">
            <w:pPr>
              <w:widowControl w:val="0"/>
              <w:spacing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Mô phỏng điều kiện UAV (thư viện Albumentations):</w:t>
            </w:r>
            <w:r w:rsidDel="00000000" w:rsidR="00000000" w:rsidRPr="00000000">
              <w:rPr>
                <w:rFonts w:ascii="Times New Roman" w:cs="Times New Roman" w:eastAsia="Times New Roman" w:hAnsi="Times New Roman"/>
                <w:color w:val="303030"/>
                <w:sz w:val="18"/>
                <w:szCs w:val="18"/>
                <w:rtl w:val="0"/>
              </w:rPr>
              <w:t xml:space="preserve"> Bổ sung thêm 300 ảnh vào tập huấn luyện với các hiệu ứng giả lập thực tế bay của UAV như: mờ do chuyển động (motion blur), biến đổi độ sáng/tương phản, góc nghiêng phối cảnh (perspective tilt), nhiễu cảm biến, bóng đổ (shadow), và giảm độ phân giải.</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hd w:fill="ffffff" w:val="clear"/>
              <w:spacing w:after="240" w:before="240"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Hệ thống mới chỉ được kiểm tra trên hình ảnh bay mô phỏng (do hạn chế về tài nguyên và phần cứng), chưa được thử nghiệm thu thập dữ liệu hay vận hành trực tiếp trên UAV trong môi trường kho hàng vật lý thực tế.</w:t>
            </w:r>
          </w:p>
          <w:p w:rsidR="00000000" w:rsidDel="00000000" w:rsidP="00000000" w:rsidRDefault="00000000" w:rsidRPr="00000000" w14:paraId="000000F9">
            <w:pPr>
              <w:widowControl w:val="0"/>
              <w:shd w:fill="ffffff" w:val="clear"/>
              <w:spacing w:after="240" w:before="240"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Mô hình không bao gồm các thành phần về điều hướng UAV, định vị UAV hay tránh chướng ngại vật trong không gian 3D của kho hàng.</w:t>
            </w:r>
          </w:p>
          <w:p w:rsidR="00000000" w:rsidDel="00000000" w:rsidP="00000000" w:rsidRDefault="00000000" w:rsidRPr="00000000" w14:paraId="000000FA">
            <w:pPr>
              <w:widowControl w:val="0"/>
              <w:shd w:fill="ffffff" w:val="clear"/>
              <w:spacing w:after="240" w:before="240"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Mặc dù khả năng định vị rất tốt, nhưng </w:t>
            </w:r>
            <w:r w:rsidDel="00000000" w:rsidR="00000000" w:rsidRPr="00000000">
              <w:rPr>
                <w:rFonts w:ascii="Times New Roman" w:cs="Times New Roman" w:eastAsia="Times New Roman" w:hAnsi="Times New Roman"/>
                <w:b w:val="1"/>
                <w:bCs w:val="1"/>
                <w:color w:val="303030"/>
                <w:sz w:val="18"/>
                <w:szCs w:val="18"/>
                <w:rtl w:val="0"/>
              </w:rPr>
              <w:t xml:space="preserve">độ chính xác giải mã</w:t>
            </w:r>
            <w:r w:rsidDel="00000000" w:rsidR="00000000" w:rsidRPr="00000000">
              <w:rPr>
                <w:rFonts w:ascii="Times New Roman" w:cs="Times New Roman" w:eastAsia="Times New Roman" w:hAnsi="Times New Roman"/>
                <w:color w:val="303030"/>
                <w:sz w:val="18"/>
                <w:szCs w:val="18"/>
                <w:rtl w:val="0"/>
              </w:rPr>
              <w:t xml:space="preserve"> của mô-đun OpenCV bị suy giảm đáng kể trong điều kiện thiếu sáng (giảm xuống 85,2%), bị che khuất (78,3%) hoặc bị mờ (72,1%).</w:t>
            </w:r>
          </w:p>
          <w:p w:rsidR="00000000" w:rsidDel="00000000" w:rsidP="00000000" w:rsidRDefault="00000000" w:rsidRPr="00000000" w14:paraId="000000FB">
            <w:pPr>
              <w:widowControl w:val="0"/>
              <w:shd w:fill="ffffff" w:val="clear"/>
              <w:spacing w:after="240" w:before="240" w:line="240" w:lineRule="auto"/>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color w:val="303030"/>
                <w:sz w:val="18"/>
                <w:szCs w:val="18"/>
                <w:rtl w:val="0"/>
              </w:rPr>
              <w:t xml:space="preserve">Hệ thống chưa thử nghiệm với các mã vạch bị hỏng hóc nặng hoặc có độ phản quang bề mặt cao.</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hd w:fill="ffffff" w:val="clear"/>
              <w:spacing w:after="240" w:before="24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Định vị:</w:t>
            </w:r>
            <w:r w:rsidDel="00000000" w:rsidR="00000000" w:rsidRPr="00000000">
              <w:rPr>
                <w:rFonts w:ascii="Times New Roman" w:cs="Times New Roman" w:eastAsia="Times New Roman" w:hAnsi="Times New Roman"/>
                <w:color w:val="303030"/>
                <w:sz w:val="18"/>
                <w:szCs w:val="18"/>
                <w:rtl w:val="0"/>
              </w:rPr>
              <w:t xml:space="preserve"> YOLOv8 đạt độ chính xác trung bình (mAP@0.5) rất ấn tượng là </w:t>
            </w:r>
            <w:r w:rsidDel="00000000" w:rsidR="00000000" w:rsidRPr="00000000">
              <w:rPr>
                <w:rFonts w:ascii="Times New Roman" w:cs="Times New Roman" w:eastAsia="Times New Roman" w:hAnsi="Times New Roman"/>
                <w:b w:val="1"/>
                <w:bCs w:val="1"/>
                <w:color w:val="303030"/>
                <w:sz w:val="18"/>
                <w:szCs w:val="18"/>
                <w:rtl w:val="0"/>
              </w:rPr>
              <w:t xml:space="preserve">92,4%</w:t>
            </w:r>
            <w:r w:rsidDel="00000000" w:rsidR="00000000" w:rsidRPr="00000000">
              <w:rPr>
                <w:rFonts w:ascii="Times New Roman" w:cs="Times New Roman" w:eastAsia="Times New Roman" w:hAnsi="Times New Roman"/>
                <w:color w:val="303030"/>
                <w:sz w:val="18"/>
                <w:szCs w:val="18"/>
                <w:rtl w:val="0"/>
              </w:rPr>
              <w:t xml:space="preserve"> (trước khi thêm dữ liệu mô phỏng UAV) và </w:t>
            </w:r>
            <w:r w:rsidDel="00000000" w:rsidR="00000000" w:rsidRPr="00000000">
              <w:rPr>
                <w:rFonts w:ascii="Times New Roman" w:cs="Times New Roman" w:eastAsia="Times New Roman" w:hAnsi="Times New Roman"/>
                <w:b w:val="1"/>
                <w:bCs w:val="1"/>
                <w:color w:val="303030"/>
                <w:sz w:val="18"/>
                <w:szCs w:val="18"/>
                <w:rtl w:val="0"/>
              </w:rPr>
              <w:t xml:space="preserve">92,2%</w:t>
            </w:r>
            <w:r w:rsidDel="00000000" w:rsidR="00000000" w:rsidRPr="00000000">
              <w:rPr>
                <w:rFonts w:ascii="Times New Roman" w:cs="Times New Roman" w:eastAsia="Times New Roman" w:hAnsi="Times New Roman"/>
                <w:color w:val="303030"/>
                <w:sz w:val="18"/>
                <w:szCs w:val="18"/>
                <w:rtl w:val="0"/>
              </w:rPr>
              <w:t xml:space="preserve"> (sau khi thêm ảnh mô phỏng Albumentations), chứng tỏ khả năng nhận diện xuất sắc ngay cả trong điều kiện phức tạp.</w:t>
            </w:r>
          </w:p>
          <w:p w:rsidR="00000000" w:rsidDel="00000000" w:rsidP="00000000" w:rsidRDefault="00000000" w:rsidRPr="00000000" w14:paraId="000000FE">
            <w:pPr>
              <w:widowControl w:val="0"/>
              <w:shd w:fill="ffffff" w:val="clear"/>
              <w:spacing w:after="240" w:before="24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Tốc độ xử lý:</w:t>
            </w:r>
            <w:r w:rsidDel="00000000" w:rsidR="00000000" w:rsidRPr="00000000">
              <w:rPr>
                <w:rFonts w:ascii="Times New Roman" w:cs="Times New Roman" w:eastAsia="Times New Roman" w:hAnsi="Times New Roman"/>
                <w:color w:val="303030"/>
                <w:sz w:val="18"/>
                <w:szCs w:val="18"/>
                <w:rtl w:val="0"/>
              </w:rPr>
              <w:t xml:space="preserve"> Phù hợp với thời gian thực với tốc độ rất nhanh: 0,3ms tiền xử lý, 3,3ms suy luận (inference), và 8,0ms hậu xử lý cho mỗi bức ảnh.</w:t>
            </w:r>
          </w:p>
          <w:p w:rsidR="00000000" w:rsidDel="00000000" w:rsidP="00000000" w:rsidRDefault="00000000" w:rsidRPr="00000000" w14:paraId="000000FF">
            <w:pPr>
              <w:widowControl w:val="0"/>
              <w:shd w:fill="ffffff" w:val="clear"/>
              <w:spacing w:after="240" w:before="24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Giải mã:</w:t>
            </w:r>
            <w:r w:rsidDel="00000000" w:rsidR="00000000" w:rsidRPr="00000000">
              <w:rPr>
                <w:rFonts w:ascii="Times New Roman" w:cs="Times New Roman" w:eastAsia="Times New Roman" w:hAnsi="Times New Roman"/>
                <w:color w:val="303030"/>
                <w:sz w:val="18"/>
                <w:szCs w:val="18"/>
                <w:rtl w:val="0"/>
              </w:rPr>
              <w:t xml:space="preserve"> Đạt độ chính xác trung bình 98,5% ở điều kiện đủ sáng.</w:t>
            </w:r>
          </w:p>
          <w:p w:rsidR="00000000" w:rsidDel="00000000" w:rsidP="00000000" w:rsidRDefault="00000000" w:rsidRPr="00000000" w14:paraId="00000100">
            <w:pPr>
              <w:widowControl w:val="0"/>
              <w:shd w:fill="ffffff" w:val="clear"/>
              <w:spacing w:after="240" w:before="240" w:line="240" w:lineRule="auto"/>
              <w:ind w:left="0" w:firstLine="0"/>
              <w:rPr>
                <w:rFonts w:ascii="Times New Roman" w:cs="Times New Roman" w:eastAsia="Times New Roman" w:hAnsi="Times New Roman"/>
                <w:color w:val="303030"/>
                <w:sz w:val="18"/>
                <w:szCs w:val="18"/>
              </w:rPr>
            </w:pPr>
            <w:r w:rsidDel="00000000" w:rsidR="00000000" w:rsidRPr="00000000">
              <w:rPr>
                <w:rFonts w:ascii="Times New Roman" w:cs="Times New Roman" w:eastAsia="Times New Roman" w:hAnsi="Times New Roman"/>
                <w:b w:val="1"/>
                <w:bCs w:val="1"/>
                <w:color w:val="303030"/>
                <w:sz w:val="18"/>
                <w:szCs w:val="18"/>
                <w:rtl w:val="0"/>
              </w:rPr>
              <w:t xml:space="preserve">Cập nhật dữ liệu:</w:t>
            </w:r>
            <w:r w:rsidDel="00000000" w:rsidR="00000000" w:rsidRPr="00000000">
              <w:rPr>
                <w:rFonts w:ascii="Times New Roman" w:cs="Times New Roman" w:eastAsia="Times New Roman" w:hAnsi="Times New Roman"/>
                <w:color w:val="303030"/>
                <w:sz w:val="18"/>
                <w:szCs w:val="18"/>
                <w:rtl w:val="0"/>
              </w:rPr>
              <w:t xml:space="preserve"> Hệ thống cập nhật hàng tồn kho đạt tỷ lệ thành công 99,7% với thời gian xử lý khoảng ~1.009 mili-giây</w:t>
            </w:r>
          </w:p>
          <w:p w:rsidR="00000000" w:rsidDel="00000000" w:rsidP="00000000" w:rsidRDefault="00000000" w:rsidRPr="00000000" w14:paraId="00000101">
            <w:pPr>
              <w:widowControl w:val="0"/>
              <w:spacing w:line="240" w:lineRule="auto"/>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color w:val="303030"/>
                <w:sz w:val="18"/>
                <w:szCs w:val="18"/>
                <w:highlight w:val="white"/>
                <w:rtl w:val="0"/>
              </w:rPr>
              <w:t xml:space="preserve">Bài báo được công bố trên tạp chí </w:t>
            </w:r>
            <w:r w:rsidDel="00000000" w:rsidR="00000000" w:rsidRPr="00000000">
              <w:rPr>
                <w:rFonts w:ascii="Times New Roman" w:cs="Times New Roman" w:eastAsia="Times New Roman" w:hAnsi="Times New Roman"/>
                <w:b w:val="1"/>
                <w:bCs w:val="1"/>
                <w:color w:val="303030"/>
                <w:sz w:val="18"/>
                <w:szCs w:val="18"/>
                <w:highlight w:val="white"/>
                <w:rtl w:val="0"/>
              </w:rPr>
              <w:t xml:space="preserve">Scientific Reports</w:t>
            </w:r>
            <w:r w:rsidDel="00000000" w:rsidR="00000000" w:rsidRPr="00000000">
              <w:rPr>
                <w:rFonts w:ascii="Times New Roman" w:cs="Times New Roman" w:eastAsia="Times New Roman" w:hAnsi="Times New Roman"/>
                <w:color w:val="303030"/>
                <w:sz w:val="18"/>
                <w:szCs w:val="18"/>
                <w:highlight w:val="white"/>
                <w:rtl w:val="0"/>
              </w:rPr>
              <w:t xml:space="preserve"> (thuộc hệ thống Nature Portfolio), xuất bản trực tuyến vào tháng 12 năm 2025</w:t>
            </w:r>
            <w:r w:rsidDel="00000000" w:rsidR="00000000" w:rsidRPr="00000000">
              <w:rPr>
                <w:rFonts w:ascii="Times New Roman" w:cs="Times New Roman" w:eastAsia="Times New Roman" w:hAnsi="Times New Roman"/>
                <w:sz w:val="18"/>
                <w:szCs w:val="18"/>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13A">
      <w:pPr>
        <w:rPr>
          <w:rFonts w:ascii="Times New Roman" w:cs="Times New Roman" w:eastAsia="Times New Roman" w:hAnsi="Times New Roman"/>
          <w:sz w:val="18"/>
          <w:szCs w:val="18"/>
        </w:rPr>
      </w:pPr>
      <w:r w:rsidDel="00000000" w:rsidR="00000000" w:rsidRPr="00000000">
        <w:rPr>
          <w:rtl w:val="0"/>
        </w:rPr>
      </w:r>
    </w:p>
    <w:sectPr>
      <w:pgSz w:h="11909" w:w="16834" w:orient="landscape"/>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ink.springer.com/chapter/10.1007/978-3-030-20561-4_2%20%5Ch" TargetMode="External"/><Relationship Id="rId7" Type="http://schemas.openxmlformats.org/officeDocument/2006/relationships/hyperlink" Target="https://link.springer.com/article/10.1007/s00530-025-01667-y%20%5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