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CÔNG TY CỔ PHẦN CÔNG NGHỆ NEXNOVA</w:t>
      </w:r>
    </w:p>
    <w:p>
      <w:pPr>
        <w:spacing w:before="0" w:after="720"/>
        <w:jc w:val="center"/>
      </w:pPr>
      <w:r>
        <w:rPr>
          <w:rFonts w:ascii="Times New Roman" w:hAnsi="Times New Roman"/>
          <w:b/>
          <w:color w:val="64748B"/>
          <w:sz w:val="24"/>
        </w:rPr>
        <w:t>PHÒNG KỸ THUẬT PHẦN MỀM &amp; PHÒNG TỔ CHỨC NHÂN SỰ</w:t>
      </w:r>
    </w:p>
    <w:p>
      <w:pPr>
        <w:spacing w:before="600" w:after="200" w:line="312" w:lineRule="auto"/>
        <w:jc w:val="center"/>
      </w:pPr>
      <w:r>
        <w:rPr>
          <w:rFonts w:ascii="Times New Roman" w:hAnsi="Times New Roman"/>
          <w:b/>
          <w:color w:val="1E3A5F"/>
          <w:sz w:val="36"/>
        </w:rPr>
        <w:t>BÁO CÁO MÔ TẢ HỆ THỐNG THÔNG TIN</w:t>
        <w:br/>
        <w:t>QUẢN TRỊ NGUỒN NHÂN LỰC DOANH NGHIỆP</w:t>
      </w:r>
    </w:p>
    <w:p>
      <w:pPr>
        <w:spacing w:before="0" w:after="900"/>
        <w:jc w:val="center"/>
      </w:pPr>
      <w:r>
        <w:rPr>
          <w:rFonts w:ascii="Times New Roman" w:hAnsi="Times New Roman"/>
          <w:i/>
          <w:color w:val="2563EB"/>
          <w:sz w:val="28"/>
        </w:rPr>
        <w:t>(Hệ thống NexNova Enterprise HRM – Phiên bản 2.1.0)</w:t>
      </w:r>
    </w:p>
    <w:p>
      <w:pPr>
        <w:spacing w:before="0" w:after="100" w:line="324" w:lineRule="auto"/>
        <w:ind w:firstLine="0"/>
        <w:jc w:val="center"/>
      </w:pPr>
      <w:r>
        <w:rPr>
          <w:rFonts w:ascii="Times New Roman" w:hAnsi="Times New Roman"/>
          <w:b/>
          <w:color w:val="0F172A"/>
          <w:sz w:val="26"/>
        </w:rPr>
        <w:t xml:space="preserve">Đơn vị triển khai: </w:t>
      </w:r>
      <w:r>
        <w:rPr>
          <w:rFonts w:ascii="Times New Roman" w:hAnsi="Times New Roman"/>
          <w:color w:val="0F172A"/>
          <w:sz w:val="26"/>
        </w:rPr>
        <w:t>Công ty Cổ phần Công nghệ NexNova.</w:t>
      </w:r>
    </w:p>
    <w:p>
      <w:pPr>
        <w:spacing w:before="0" w:after="100" w:line="324" w:lineRule="auto"/>
        <w:ind w:firstLine="0"/>
        <w:jc w:val="center"/>
      </w:pPr>
      <w:r>
        <w:rPr>
          <w:rFonts w:ascii="Times New Roman" w:hAnsi="Times New Roman"/>
          <w:b/>
          <w:color w:val="0F172A"/>
          <w:sz w:val="26"/>
        </w:rPr>
        <w:t xml:space="preserve">Tác giả tài liệu: </w:t>
      </w:r>
      <w:r>
        <w:rPr>
          <w:rFonts w:ascii="Times New Roman" w:hAnsi="Times New Roman"/>
          <w:color w:val="0F172A"/>
          <w:sz w:val="26"/>
        </w:rPr>
        <w:t>Nhóm Chuyên viên Phân tích Nghiệp vụ &amp; Kiến trúc sư Hệ thống.</w:t>
      </w:r>
    </w:p>
    <w:p>
      <w:pPr>
        <w:spacing w:before="0" w:after="100" w:line="324" w:lineRule="auto"/>
        <w:ind w:firstLine="0"/>
        <w:jc w:val="center"/>
      </w:pPr>
      <w:r>
        <w:rPr>
          <w:rFonts w:ascii="Times New Roman" w:hAnsi="Times New Roman"/>
          <w:b/>
          <w:color w:val="0F172A"/>
          <w:sz w:val="26"/>
        </w:rPr>
        <w:t xml:space="preserve">Phê duyệt thẩm định: </w:t>
      </w:r>
      <w:r>
        <w:rPr>
          <w:rFonts w:ascii="Times New Roman" w:hAnsi="Times New Roman"/>
          <w:color w:val="0F172A"/>
          <w:sz w:val="26"/>
        </w:rPr>
        <w:t>Ông Trần Quang Huy – Giám đốc Điều hành (CEO &amp; CTO).</w:t>
      </w:r>
    </w:p>
    <w:p>
      <w:pPr>
        <w:spacing w:before="0" w:after="720" w:line="324" w:lineRule="auto"/>
        <w:ind w:firstLine="0"/>
        <w:jc w:val="center"/>
      </w:pPr>
      <w:r>
        <w:rPr>
          <w:rFonts w:ascii="Times New Roman" w:hAnsi="Times New Roman"/>
          <w:b/>
          <w:color w:val="0F172A"/>
          <w:sz w:val="26"/>
        </w:rPr>
        <w:t xml:space="preserve">Thời gian phát hành: </w:t>
      </w:r>
      <w:r>
        <w:rPr>
          <w:rFonts w:ascii="Times New Roman" w:hAnsi="Times New Roman"/>
          <w:color w:val="0F172A"/>
          <w:sz w:val="26"/>
        </w:rPr>
        <w:t>Hà Nội, Tháng 10 năm 2026.</w:t>
      </w:r>
    </w:p>
    <w:p>
      <w:r>
        <w:br w:type="page"/>
      </w:r>
    </w:p>
    <w:p>
      <w:pPr>
        <w:spacing w:before="240" w:after="280"/>
        <w:jc w:val="center"/>
      </w:pPr>
      <w:r>
        <w:rPr>
          <w:rFonts w:ascii="Times New Roman" w:hAnsi="Times New Roman"/>
          <w:b/>
          <w:color w:val="1E3A5F"/>
          <w:sz w:val="28"/>
        </w:rPr>
        <w:t>MỤC LỤC TỔNG QUAN</w:t>
      </w:r>
    </w:p>
    <w:p>
      <w:pPr>
        <w:spacing w:before="100" w:after="40" w:line="288" w:lineRule="auto"/>
        <w:ind w:firstLine="0"/>
      </w:pPr>
      <w:r>
        <w:rPr>
          <w:rFonts w:ascii="Times New Roman" w:hAnsi="Times New Roman"/>
          <w:b/>
          <w:color w:val="1E3A5F"/>
          <w:sz w:val="26"/>
        </w:rPr>
        <w:t>PHẦN I. GIỚI THIỆU TỔNG QUAN VỀ CÔNG TY CỔ PHẦN CÔNG NGHỆ NEXNOVA</w:t>
      </w:r>
    </w:p>
    <w:p>
      <w:pPr>
        <w:spacing w:before="40" w:after="40" w:line="288" w:lineRule="auto"/>
        <w:ind w:firstLine="454"/>
      </w:pPr>
      <w:r>
        <w:rPr>
          <w:rFonts w:ascii="Times New Roman" w:hAnsi="Times New Roman"/>
          <w:color w:val="0F172A"/>
          <w:sz w:val="26"/>
        </w:rPr>
        <w:t>1.1. Thông tin chung về doanh nghiệp</w:t>
      </w:r>
    </w:p>
    <w:p>
      <w:pPr>
        <w:spacing w:before="40" w:after="40" w:line="288" w:lineRule="auto"/>
        <w:ind w:firstLine="454"/>
      </w:pPr>
      <w:r>
        <w:rPr>
          <w:rFonts w:ascii="Times New Roman" w:hAnsi="Times New Roman"/>
          <w:color w:val="0F172A"/>
          <w:sz w:val="26"/>
        </w:rPr>
        <w:t>1.2. Tầm nhìn, sứ mệnh và giá trị cốt lõi</w:t>
      </w:r>
    </w:p>
    <w:p>
      <w:pPr>
        <w:spacing w:before="40" w:after="40" w:line="288" w:lineRule="auto"/>
        <w:ind w:firstLine="454"/>
      </w:pPr>
      <w:r>
        <w:rPr>
          <w:rFonts w:ascii="Times New Roman" w:hAnsi="Times New Roman"/>
          <w:color w:val="0F172A"/>
          <w:sz w:val="26"/>
        </w:rPr>
        <w:t>1.3. Cơ cấu tổ chức bộ máy doanh nghiệp</w:t>
      </w:r>
    </w:p>
    <w:p>
      <w:pPr>
        <w:spacing w:before="100" w:after="40" w:line="288" w:lineRule="auto"/>
        <w:ind w:firstLine="0"/>
      </w:pPr>
      <w:r>
        <w:rPr>
          <w:rFonts w:ascii="Times New Roman" w:hAnsi="Times New Roman"/>
          <w:b/>
          <w:color w:val="1E3A5F"/>
          <w:sz w:val="26"/>
        </w:rPr>
        <w:t>PHẦN II. MÔ HÌNH HOẠT ĐỘNG QUẢN TRỊ NGUỒN NHÂN LỰC</w:t>
      </w:r>
    </w:p>
    <w:p>
      <w:pPr>
        <w:spacing w:before="40" w:after="40" w:line="288" w:lineRule="auto"/>
        <w:ind w:firstLine="454"/>
      </w:pPr>
      <w:r>
        <w:rPr>
          <w:rFonts w:ascii="Times New Roman" w:hAnsi="Times New Roman"/>
          <w:color w:val="0F172A"/>
          <w:sz w:val="26"/>
        </w:rPr>
        <w:t>2.1. Mô hình quản trị nhân sự tổng thể</w:t>
      </w:r>
    </w:p>
    <w:p>
      <w:pPr>
        <w:spacing w:before="40" w:after="40" w:line="288" w:lineRule="auto"/>
        <w:ind w:firstLine="454"/>
      </w:pPr>
      <w:r>
        <w:rPr>
          <w:rFonts w:ascii="Times New Roman" w:hAnsi="Times New Roman"/>
          <w:color w:val="0F172A"/>
          <w:sz w:val="26"/>
        </w:rPr>
        <w:t>2.2. Các quy trình nghiệp vụ cốt lõi của hệ thống</w:t>
      </w:r>
    </w:p>
    <w:p>
      <w:pPr>
        <w:spacing w:before="40" w:after="40" w:line="288" w:lineRule="auto"/>
        <w:ind w:firstLine="454"/>
      </w:pPr>
      <w:r>
        <w:rPr>
          <w:rFonts w:ascii="Times New Roman" w:hAnsi="Times New Roman"/>
          <w:color w:val="0F172A"/>
          <w:sz w:val="26"/>
        </w:rPr>
        <w:t>2.3. Hệ thống phân quyền truy cập người dùng</w:t>
      </w:r>
    </w:p>
    <w:p>
      <w:pPr>
        <w:spacing w:before="100" w:after="40" w:line="288" w:lineRule="auto"/>
        <w:ind w:firstLine="0"/>
      </w:pPr>
      <w:r>
        <w:rPr>
          <w:rFonts w:ascii="Times New Roman" w:hAnsi="Times New Roman"/>
          <w:b/>
          <w:color w:val="1E3A5F"/>
          <w:sz w:val="26"/>
        </w:rPr>
        <w:t>PHẦN III. CÁC PHÂN HỆ QUẢN TRỊ NGUỒN NHÂN LỰC CHI TIẾT</w:t>
      </w:r>
    </w:p>
    <w:p>
      <w:pPr>
        <w:spacing w:before="40" w:after="40" w:line="288" w:lineRule="auto"/>
        <w:ind w:firstLine="454"/>
      </w:pPr>
      <w:r>
        <w:rPr>
          <w:rFonts w:ascii="Times New Roman" w:hAnsi="Times New Roman"/>
          <w:color w:val="0F172A"/>
          <w:sz w:val="26"/>
        </w:rPr>
        <w:t>3.1. Phân hệ Hồ sơ Cán bộ &amp; Cổng Tự phục vụ Nhân viên</w:t>
      </w:r>
    </w:p>
    <w:p>
      <w:pPr>
        <w:spacing w:before="40" w:after="40" w:line="288" w:lineRule="auto"/>
        <w:ind w:firstLine="454"/>
      </w:pPr>
      <w:r>
        <w:rPr>
          <w:rFonts w:ascii="Times New Roman" w:hAnsi="Times New Roman"/>
          <w:color w:val="0F172A"/>
          <w:sz w:val="26"/>
        </w:rPr>
        <w:t>3.2. Phân hệ Quản lý Phòng ban &amp; Định biên Nhân sự</w:t>
      </w:r>
    </w:p>
    <w:p>
      <w:pPr>
        <w:spacing w:before="40" w:after="40" w:line="288" w:lineRule="auto"/>
        <w:ind w:firstLine="454"/>
      </w:pPr>
      <w:r>
        <w:rPr>
          <w:rFonts w:ascii="Times New Roman" w:hAnsi="Times New Roman"/>
          <w:color w:val="0F172A"/>
          <w:sz w:val="26"/>
        </w:rPr>
        <w:t>3.3. Phân hệ Quản lý Hợp đồng Lao động &amp; Pháp lý</w:t>
      </w:r>
    </w:p>
    <w:p>
      <w:pPr>
        <w:spacing w:before="40" w:after="40" w:line="288" w:lineRule="auto"/>
        <w:ind w:firstLine="454"/>
      </w:pPr>
      <w:r>
        <w:rPr>
          <w:rFonts w:ascii="Times New Roman" w:hAnsi="Times New Roman"/>
          <w:color w:val="0F172A"/>
          <w:sz w:val="26"/>
        </w:rPr>
        <w:t>3.4. Phân hệ Chấm công &amp; Quản lý Nghỉ phép Điện tử</w:t>
      </w:r>
    </w:p>
    <w:p>
      <w:pPr>
        <w:spacing w:before="40" w:after="40" w:line="288" w:lineRule="auto"/>
        <w:ind w:firstLine="454"/>
      </w:pPr>
      <w:r>
        <w:rPr>
          <w:rFonts w:ascii="Times New Roman" w:hAnsi="Times New Roman"/>
          <w:color w:val="0F172A"/>
          <w:sz w:val="26"/>
        </w:rPr>
        <w:t>3.5. Phân hệ Tiền lương, Bảo hiểm, Thuế TNCN &amp; Phiếu lương PDF</w:t>
      </w:r>
    </w:p>
    <w:p>
      <w:pPr>
        <w:spacing w:before="40" w:after="40" w:line="288" w:lineRule="auto"/>
        <w:ind w:firstLine="454"/>
      </w:pPr>
      <w:r>
        <w:rPr>
          <w:rFonts w:ascii="Times New Roman" w:hAnsi="Times New Roman"/>
          <w:color w:val="0F172A"/>
          <w:sz w:val="26"/>
        </w:rPr>
        <w:t>3.6. Phân hệ Đánh giá Hiệu suất Đa chiều theo Trọng số &amp; Hiệu chỉnh Bell-Curve</w:t>
      </w:r>
    </w:p>
    <w:p>
      <w:pPr>
        <w:spacing w:before="40" w:after="40" w:line="288" w:lineRule="auto"/>
        <w:ind w:firstLine="454"/>
      </w:pPr>
      <w:r>
        <w:rPr>
          <w:rFonts w:ascii="Times New Roman" w:hAnsi="Times New Roman"/>
          <w:color w:val="0F172A"/>
          <w:sz w:val="26"/>
        </w:rPr>
        <w:t>3.7. Phân hệ Khen thưởng &amp; Kỷ luật Lao động</w:t>
      </w:r>
    </w:p>
    <w:p>
      <w:pPr>
        <w:spacing w:before="40" w:after="40" w:line="288" w:lineRule="auto"/>
        <w:ind w:firstLine="454"/>
      </w:pPr>
      <w:r>
        <w:rPr>
          <w:rFonts w:ascii="Times New Roman" w:hAnsi="Times New Roman"/>
          <w:color w:val="0F172A"/>
          <w:sz w:val="26"/>
        </w:rPr>
        <w:t>3.8. Phân hệ Thuyên chuyển &amp; Điều động Cán bộ</w:t>
      </w:r>
    </w:p>
    <w:p>
      <w:pPr>
        <w:spacing w:before="40" w:after="40" w:line="288" w:lineRule="auto"/>
        <w:ind w:firstLine="454"/>
      </w:pPr>
      <w:r>
        <w:rPr>
          <w:rFonts w:ascii="Times New Roman" w:hAnsi="Times New Roman"/>
          <w:color w:val="0F172A"/>
          <w:sz w:val="26"/>
        </w:rPr>
        <w:t>3.9. Phân hệ Tuyển dụng Kanban Pipeline &amp; One-Click Onboarding</w:t>
      </w:r>
    </w:p>
    <w:p>
      <w:pPr>
        <w:spacing w:before="40" w:after="40" w:line="288" w:lineRule="auto"/>
        <w:ind w:firstLine="454"/>
      </w:pPr>
      <w:r>
        <w:rPr>
          <w:rFonts w:ascii="Times New Roman" w:hAnsi="Times New Roman"/>
          <w:color w:val="0F172A"/>
          <w:sz w:val="26"/>
        </w:rPr>
        <w:t>3.10. Phân hệ Báo cáo Phân tích Nhân sự &amp; Sơ yếu Lý lịch</w:t>
      </w:r>
    </w:p>
    <w:p>
      <w:pPr>
        <w:spacing w:before="100" w:after="40" w:line="288" w:lineRule="auto"/>
        <w:ind w:firstLine="0"/>
      </w:pPr>
      <w:r>
        <w:rPr>
          <w:rFonts w:ascii="Times New Roman" w:hAnsi="Times New Roman"/>
          <w:b/>
          <w:color w:val="1E3A5F"/>
          <w:sz w:val="26"/>
        </w:rPr>
        <w:t>PHẦN IV. KIẾN TRÚC KỸ THUẬT VÀ CƠ SỞ DỮ LIỆU HỆ THỐNG</w:t>
      </w:r>
    </w:p>
    <w:p>
      <w:pPr>
        <w:spacing w:before="40" w:after="40" w:line="288" w:lineRule="auto"/>
        <w:ind w:firstLine="454"/>
      </w:pPr>
      <w:r>
        <w:rPr>
          <w:rFonts w:ascii="Times New Roman" w:hAnsi="Times New Roman"/>
          <w:color w:val="0F172A"/>
          <w:sz w:val="26"/>
        </w:rPr>
        <w:t>4.1. Sơ đồ kiến trúc tổng thể ba tầng</w:t>
      </w:r>
    </w:p>
    <w:p>
      <w:pPr>
        <w:spacing w:before="40" w:after="40" w:line="288" w:lineRule="auto"/>
        <w:ind w:firstLine="454"/>
      </w:pPr>
      <w:r>
        <w:rPr>
          <w:rFonts w:ascii="Times New Roman" w:hAnsi="Times New Roman"/>
          <w:color w:val="0F172A"/>
          <w:sz w:val="26"/>
        </w:rPr>
        <w:t>4.2. Công nghệ và nền tảng phát triển</w:t>
      </w:r>
    </w:p>
    <w:p>
      <w:pPr>
        <w:spacing w:before="40" w:after="40" w:line="288" w:lineRule="auto"/>
        <w:ind w:firstLine="454"/>
      </w:pPr>
      <w:r>
        <w:rPr>
          <w:rFonts w:ascii="Times New Roman" w:hAnsi="Times New Roman"/>
          <w:color w:val="0F172A"/>
          <w:sz w:val="26"/>
        </w:rPr>
        <w:t>4.3. Mô hình cơ sở dữ liệu quan hệ (18 Bảng)</w:t>
      </w:r>
    </w:p>
    <w:p>
      <w:pPr>
        <w:spacing w:before="100" w:after="40" w:line="288" w:lineRule="auto"/>
        <w:ind w:firstLine="0"/>
      </w:pPr>
      <w:r>
        <w:rPr>
          <w:rFonts w:ascii="Times New Roman" w:hAnsi="Times New Roman"/>
          <w:b/>
          <w:color w:val="1E3A5F"/>
          <w:sz w:val="26"/>
        </w:rPr>
        <w:t>PHẦN V. KẾT LUẬN VÀ PHỤ LỤC TÀI KHOẢN KIỂM THỬ</w:t>
      </w:r>
    </w:p>
    <w:p>
      <w:pPr>
        <w:spacing w:before="40" w:after="40" w:line="288" w:lineRule="auto"/>
        <w:ind w:firstLine="454"/>
      </w:pPr>
      <w:r>
        <w:rPr>
          <w:rFonts w:ascii="Times New Roman" w:hAnsi="Times New Roman"/>
          <w:color w:val="0F172A"/>
          <w:sz w:val="26"/>
        </w:rPr>
        <w:t>5.1. Kết luận và định hướng phát triển</w:t>
      </w:r>
    </w:p>
    <w:p>
      <w:pPr>
        <w:spacing w:before="40" w:after="40" w:line="288" w:lineRule="auto"/>
        <w:ind w:firstLine="454"/>
      </w:pPr>
      <w:r>
        <w:rPr>
          <w:rFonts w:ascii="Times New Roman" w:hAnsi="Times New Roman"/>
          <w:color w:val="0F172A"/>
          <w:sz w:val="26"/>
        </w:rPr>
        <w:t>5.2. Danh mục tài khoản kiểm thử hệ thống</w:t>
      </w:r>
    </w:p>
    <w:p>
      <w:r>
        <w:br w:type="page"/>
      </w:r>
    </w:p>
    <w:p>
      <w:pPr>
        <w:keepNext/>
        <w:spacing w:before="320" w:after="120" w:line="312" w:lineRule="auto"/>
        <w:ind w:firstLine="0"/>
      </w:pPr>
      <w:r>
        <w:rPr>
          <w:rFonts w:ascii="Times New Roman" w:hAnsi="Times New Roman"/>
          <w:b/>
          <w:color w:val="1E3A5F"/>
          <w:sz w:val="28"/>
        </w:rPr>
        <w:t>PHẦN I. GIỚI THIỆU TỔNG QUAN VỀ CÔNG TY CỔ PHẦN CÔNG NGHỆ NEXNOVA</w:t>
      </w:r>
    </w:p>
    <w:p>
      <w:pPr>
        <w:keepNext/>
        <w:spacing w:before="240" w:after="80" w:line="312" w:lineRule="auto"/>
        <w:ind w:firstLine="0"/>
      </w:pPr>
      <w:r>
        <w:rPr>
          <w:rFonts w:ascii="Times New Roman" w:hAnsi="Times New Roman"/>
          <w:b/>
          <w:color w:val="0F172A"/>
          <w:sz w:val="26"/>
        </w:rPr>
        <w:t>1.1. Thông tin chung về doanh nghiệp</w:t>
      </w:r>
    </w:p>
    <w:p>
      <w:pPr>
        <w:spacing w:before="0" w:after="100" w:line="324" w:lineRule="auto"/>
        <w:ind w:firstLine="680"/>
        <w:jc w:val="both"/>
      </w:pPr>
      <w:r>
        <w:rPr>
          <w:rFonts w:ascii="Times New Roman" w:hAnsi="Times New Roman"/>
          <w:color w:val="0F172A"/>
          <w:sz w:val="26"/>
        </w:rPr>
        <w:t>Công ty Cổ phần Công nghệ NexNova (tên giao dịch quốc tế: NexNova Technologies Joint Stock Company) được thành lập vào năm 2020, là doanh nghiệp công nghệ tiên phong tại Việt Nam hoạt động chuyên sâu trong lĩnh vực nghiên cứu, phát triển và cung ứng các giải pháp chuyển đổi số toàn diện, ứng dụng Trí tuệ nhân tạo (AI) và Hệ thống Quản trị Doanh nghiệp thông minh (Enterprise Software Solutions). Trải qua hơn 6 năm xây dựng và phát triển vững chắc, NexNova đã khẳng định vị thế dẫn đầu với đội ngũ nhân sự chất lượng cao gồm hơn 50 chuyên gia công nghệ, tiến sĩ, thạc sĩ và kỹ sư phần mềm cao cấp, phục vụ hàng chục đối tác doanh nghiệp lớn trong và ngoài nước. Trụ sở chính của công ty tọa lạc tại Tầng 18, Tòa nhà NexNova Tower, đường Phạm Văn Đồng, quận Cầu Giấy, thành phố Hà Nội; cùng Văn phòng đại diện phía Nam đặt tại Khu Đô thị Sala, thành phố Thủ Đức, thành phố Hồ Chí Minh.</w:t>
      </w:r>
    </w:p>
    <w:p>
      <w:pPr>
        <w:spacing w:before="0" w:after="80" w:line="324" w:lineRule="auto"/>
        <w:ind w:firstLine="0"/>
        <w:jc w:val="both"/>
      </w:pPr>
      <w:r>
        <w:rPr>
          <w:rFonts w:ascii="Times New Roman" w:hAnsi="Times New Roman"/>
          <w:color w:val="0F172A"/>
          <w:sz w:val="26"/>
        </w:rPr>
        <w:t>Bảng 1.1 dưới đây tổng hợp các thông tin pháp lý và hành chính cơ bản của doanh nghiệp:</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4677"/>
        <w:gridCol w:w="4677"/>
      </w:tblGrid>
      <w:tr>
        <w:trPr>
          <w:tblHeader/>
          <w:cantSplit/>
        </w:trPr>
        <w:tc>
          <w:tcPr>
            <w:tcW w:type="dxa" w:w="2835"/>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Tiêu chí</w:t>
            </w:r>
          </w:p>
        </w:tc>
        <w:tc>
          <w:tcPr>
            <w:tcW w:type="dxa" w:w="6520"/>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Thông tin chi tiết</w:t>
            </w:r>
          </w:p>
        </w:tc>
      </w:tr>
      <w:tr>
        <w:trPr>
          <w:cantSplit/>
        </w:trPr>
        <w:tc>
          <w:tcPr>
            <w:tcW w:type="dxa" w:w="2835"/>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Tên doanh nghiệp</w:t>
            </w:r>
          </w:p>
        </w:tc>
        <w:tc>
          <w:tcPr>
            <w:tcW w:type="dxa" w:w="6520"/>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Công ty Cổ phần Công nghệ NexNova</w:t>
            </w:r>
          </w:p>
        </w:tc>
      </w:tr>
      <w:tr>
        <w:trPr>
          <w:cantSplit/>
        </w:trPr>
        <w:tc>
          <w:tcPr>
            <w:tcW w:type="dxa" w:w="2835"/>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Tên quốc tế</w:t>
            </w:r>
          </w:p>
        </w:tc>
        <w:tc>
          <w:tcPr>
            <w:tcW w:type="dxa" w:w="6520"/>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NexNova Technologies Joint Stock Company</w:t>
            </w:r>
          </w:p>
        </w:tc>
      </w:tr>
      <w:tr>
        <w:trPr>
          <w:cantSplit/>
        </w:trPr>
        <w:tc>
          <w:tcPr>
            <w:tcW w:type="dxa" w:w="2835"/>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Mã số thuế doanh nghiệp</w:t>
            </w:r>
          </w:p>
        </w:tc>
        <w:tc>
          <w:tcPr>
            <w:tcW w:type="dxa" w:w="6520"/>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0108992834 (Đồng bộ toàn bộ hệ thống hóa đơn &amp; bảng lương)</w:t>
            </w:r>
          </w:p>
        </w:tc>
      </w:tr>
      <w:tr>
        <w:trPr>
          <w:cantSplit/>
        </w:trPr>
        <w:tc>
          <w:tcPr>
            <w:tcW w:type="dxa" w:w="2835"/>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Năm thành lập</w:t>
            </w:r>
          </w:p>
        </w:tc>
        <w:tc>
          <w:tcPr>
            <w:tcW w:type="dxa" w:w="6520"/>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2020</w:t>
            </w:r>
          </w:p>
        </w:tc>
      </w:tr>
      <w:tr>
        <w:trPr>
          <w:cantSplit/>
        </w:trPr>
        <w:tc>
          <w:tcPr>
            <w:tcW w:type="dxa" w:w="2835"/>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Trụ sở chính</w:t>
            </w:r>
          </w:p>
        </w:tc>
        <w:tc>
          <w:tcPr>
            <w:tcW w:type="dxa" w:w="6520"/>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Tầng 18, Tòa nhà NexNova Tower, Phạm Văn Đồng, Cầu Giấy, Hà Nội</w:t>
            </w:r>
          </w:p>
        </w:tc>
      </w:tr>
      <w:tr>
        <w:trPr>
          <w:cantSplit/>
        </w:trPr>
        <w:tc>
          <w:tcPr>
            <w:tcW w:type="dxa" w:w="2835"/>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Văn phòng đại diện phía Nam</w:t>
            </w:r>
          </w:p>
        </w:tc>
        <w:tc>
          <w:tcPr>
            <w:tcW w:type="dxa" w:w="6520"/>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Khu Đô thị Sala, Phường An Khánh, TP. Thủ Đức, TP. Hồ Chí Minh</w:t>
            </w:r>
          </w:p>
        </w:tc>
      </w:tr>
      <w:tr>
        <w:trPr>
          <w:cantSplit/>
        </w:trPr>
        <w:tc>
          <w:tcPr>
            <w:tcW w:type="dxa" w:w="2835"/>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Lĩnh vực hoạt động cốt lõi</w:t>
            </w:r>
          </w:p>
        </w:tc>
        <w:tc>
          <w:tcPr>
            <w:tcW w:type="dxa" w:w="6520"/>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Công nghệ phần mềm, Trí tuệ nhân tạo (AI), Nền tảng quản trị nhân lực HRM</w:t>
            </w:r>
          </w:p>
        </w:tc>
      </w:tr>
      <w:tr>
        <w:trPr>
          <w:cantSplit/>
        </w:trPr>
        <w:tc>
          <w:tcPr>
            <w:tcW w:type="dxa" w:w="2835"/>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Quy mô lực lượng lao động</w:t>
            </w:r>
          </w:p>
        </w:tc>
        <w:tc>
          <w:tcPr>
            <w:tcW w:type="dxa" w:w="6520"/>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Trên 50 cán bộ nghiên cứu, kỹ sư phần mềm và chuyên viên chính thức</w:t>
            </w:r>
          </w:p>
        </w:tc>
      </w:tr>
      <w:tr>
        <w:trPr>
          <w:cantSplit/>
        </w:trPr>
        <w:tc>
          <w:tcPr>
            <w:tcW w:type="dxa" w:w="2835"/>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Trang thông tin điện tử</w:t>
            </w:r>
          </w:p>
        </w:tc>
        <w:tc>
          <w:tcPr>
            <w:tcW w:type="dxa" w:w="6520"/>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https://nexnova.tech</w:t>
            </w:r>
          </w:p>
        </w:tc>
      </w:tr>
      <w:tr>
        <w:trPr>
          <w:cantSplit/>
        </w:trPr>
        <w:tc>
          <w:tcPr>
            <w:tcW w:type="dxa" w:w="2835"/>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Hòm thư điện tử liên hệ</w:t>
            </w:r>
          </w:p>
        </w:tc>
        <w:tc>
          <w:tcPr>
            <w:tcW w:type="dxa" w:w="6520"/>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contact@nexnova.tech</w:t>
            </w:r>
          </w:p>
        </w:tc>
      </w:tr>
      <w:tr>
        <w:trPr>
          <w:cantSplit/>
        </w:trPr>
        <w:tc>
          <w:tcPr>
            <w:tcW w:type="dxa" w:w="2835"/>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Người đại diện pháp luật</w:t>
            </w:r>
          </w:p>
        </w:tc>
        <w:tc>
          <w:tcPr>
            <w:tcW w:type="dxa" w:w="6520"/>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Ông Trần Quang Huy – Giám đốc Điều hành (CEO &amp; CTO)</w:t>
            </w:r>
          </w:p>
        </w:tc>
      </w:tr>
    </w:tbl>
    <w:p>
      <w:pPr>
        <w:spacing w:before="0" w:after="120"/>
      </w:pPr>
    </w:p>
    <w:p>
      <w:pPr>
        <w:keepNext/>
        <w:spacing w:before="240" w:after="80" w:line="312" w:lineRule="auto"/>
        <w:ind w:firstLine="0"/>
      </w:pPr>
      <w:r>
        <w:rPr>
          <w:rFonts w:ascii="Times New Roman" w:hAnsi="Times New Roman"/>
          <w:b/>
          <w:color w:val="0F172A"/>
          <w:sz w:val="26"/>
        </w:rPr>
        <w:t>1.2. Tầm nhìn, sứ mệnh và giá trị cốt lõi</w:t>
      </w:r>
    </w:p>
    <w:p>
      <w:pPr>
        <w:spacing w:before="0" w:after="100" w:line="324" w:lineRule="auto"/>
        <w:ind w:firstLine="680"/>
        <w:jc w:val="both"/>
      </w:pPr>
      <w:r>
        <w:rPr>
          <w:rFonts w:ascii="Times New Roman" w:hAnsi="Times New Roman"/>
          <w:color w:val="0F172A"/>
          <w:sz w:val="26"/>
        </w:rPr>
        <w:t>Về tầm nhìn chiến lược, đến năm 2030, Công ty Cổ phần Công nghệ NexNova định hướng trở thành tập đoàn công nghệ số và trí tuệ nhân tạo hàng đầu khu vực Đông Nam Á, cung cấp hạ tầng phần mềm quản trị doanh nghiệp chuẩn mực quốc tế, lấy tự động hóa và phân tích dữ liệu làm nền tảng thúc đẩy tăng trưởng vượt bậc cho khách hàng.</w:t>
      </w:r>
    </w:p>
    <w:p>
      <w:pPr>
        <w:spacing w:before="0" w:after="100" w:line="324" w:lineRule="auto"/>
        <w:ind w:firstLine="680"/>
        <w:jc w:val="both"/>
      </w:pPr>
      <w:r>
        <w:rPr>
          <w:rFonts w:ascii="Times New Roman" w:hAnsi="Times New Roman"/>
          <w:color w:val="0F172A"/>
          <w:sz w:val="26"/>
        </w:rPr>
        <w:t>Về sứ mệnh phụng sự, NexNova cam kết nghiên cứu và sáng tạo các sản phẩm công nghệ hiện đại, có tính ứng dụng thực tiễn cao, giúp doanh nghiệp Việt Nam tối ưu hóa chi phí vận hành, giải phóng tiềm năng nhân sự, bảo đảm an toàn dữ liệu và kiến tạo môi trường làm việc hạnh phúc, minh bạch.</w:t>
      </w:r>
    </w:p>
    <w:p>
      <w:pPr>
        <w:spacing w:before="0" w:after="60" w:line="324" w:lineRule="auto"/>
        <w:ind w:firstLine="0"/>
        <w:jc w:val="both"/>
      </w:pPr>
      <w:r>
        <w:rPr>
          <w:rFonts w:ascii="Times New Roman" w:hAnsi="Times New Roman"/>
          <w:color w:val="0F172A"/>
          <w:sz w:val="26"/>
        </w:rPr>
        <w:t>Về giá trị cốt lõi, toàn bộ phương châm hành động và văn hóa ứng xử của công ty được xây dựng trên bốn trụ cột:</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Đổi mới sáng tạo (Innovation): </w:t>
      </w:r>
      <w:r>
        <w:rPr>
          <w:rFonts w:ascii="Times New Roman" w:hAnsi="Times New Roman"/>
          <w:color w:val="0F172A"/>
          <w:sz w:val="26"/>
        </w:rPr>
        <w:t>Không ngừng ứng dụng các công nghệ tiên tiến nhất (Next.js, TypeScript, Cloud Native, Edge Computing, LLM) vào thực tiễn sản phẩm.</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Con người là trọng tâm (Human-centric): </w:t>
      </w:r>
      <w:r>
        <w:rPr>
          <w:rFonts w:ascii="Times New Roman" w:hAnsi="Times New Roman"/>
          <w:color w:val="0F172A"/>
          <w:sz w:val="26"/>
        </w:rPr>
        <w:t>Nhân viên là tài sản quý giá nhất; mọi chính sách, công cụ quản trị đều hướng tới mục tiêu phát triển toàn diện năng lực và đãi ngộ xứng đáng.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Minh bạch &amp; Liêm chính (Integrity): </w:t>
      </w:r>
      <w:r>
        <w:rPr>
          <w:rFonts w:ascii="Times New Roman" w:hAnsi="Times New Roman"/>
          <w:color w:val="0F172A"/>
          <w:sz w:val="26"/>
        </w:rPr>
        <w:t>Chuẩn hóa mọi quy trình chấm công, tính lương, thưởng phạt, đánh giá KPI công khai, có số liệu minh chứng và tuân thủ tuyệt đối quy định pháp luật.</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Chất lượng &amp; Cam kết (Excellence): </w:t>
      </w:r>
      <w:r>
        <w:rPr>
          <w:rFonts w:ascii="Times New Roman" w:hAnsi="Times New Roman"/>
          <w:color w:val="0F172A"/>
          <w:sz w:val="26"/>
        </w:rPr>
        <w:t>Đặt chuẩn mực cao nhất vào chất lượng sản phẩm phần mềm, độ ổn định hệ thống và dịch vụ hỗ trợ khách hàng nội bộ cũng như đối ngoại.</w:t>
      </w:r>
    </w:p>
    <w:p>
      <w:pPr>
        <w:keepNext/>
        <w:spacing w:before="240" w:after="80" w:line="312" w:lineRule="auto"/>
        <w:ind w:firstLine="0"/>
      </w:pPr>
      <w:r>
        <w:rPr>
          <w:rFonts w:ascii="Times New Roman" w:hAnsi="Times New Roman"/>
          <w:b/>
          <w:color w:val="0F172A"/>
          <w:sz w:val="26"/>
        </w:rPr>
        <w:t>1.3. Cơ cấu tổ chức bộ máy doanh nghiệp</w:t>
      </w:r>
    </w:p>
    <w:p>
      <w:pPr>
        <w:spacing w:before="0" w:after="100" w:line="324" w:lineRule="auto"/>
        <w:ind w:firstLine="680"/>
        <w:jc w:val="both"/>
      </w:pPr>
      <w:r>
        <w:rPr>
          <w:rFonts w:ascii="Times New Roman" w:hAnsi="Times New Roman"/>
          <w:color w:val="0F172A"/>
          <w:sz w:val="26"/>
        </w:rPr>
        <w:t>Cơ cấu tổ chức bộ máy của Công ty Cổ phần Công nghệ NexNova được thiết lập theo mô hình quản trị doanh nghiệp hiện đại, tinh gọn và phẳng (Flat Hierarchy). Đứng đầu bộ máy là Hội đồng Quản trị chỉ đạo chiến lược vĩ mô, trực tiếp giao quyền điều hành toàn diện cho Ban Giám đốc Điều hành (do Ông Trần Quang Huy kiêm nhiệm Tổng Giám đốc và Giám đốc Công nghệ). Toàn bộ hoạt động sản xuất kinh doanh và nghiên cứu phát triển được tổ chức thành 05 Phòng ban nghiệp vụ cốt lõi với tổng ngân sách vận hành năm được phê duyệt là 18.000.000.000 VNĐ/năm.</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1559"/>
        <w:gridCol w:w="1559"/>
        <w:gridCol w:w="1559"/>
        <w:gridCol w:w="1559"/>
        <w:gridCol w:w="1559"/>
        <w:gridCol w:w="1559"/>
      </w:tblGrid>
      <w:tr>
        <w:trPr>
          <w:tblHeader/>
          <w:cantSplit/>
        </w:trPr>
        <w:tc>
          <w:tcPr>
            <w:tcW w:type="dxa" w:w="680"/>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STT</w:t>
            </w:r>
          </w:p>
        </w:tc>
        <w:tc>
          <w:tcPr>
            <w:tcW w:type="dxa" w:w="124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Mã phòng</w:t>
            </w:r>
          </w:p>
        </w:tc>
        <w:tc>
          <w:tcPr>
            <w:tcW w:type="dxa" w:w="204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Tên phòng ban &amp; Vị trí</w:t>
            </w:r>
          </w:p>
        </w:tc>
        <w:tc>
          <w:tcPr>
            <w:tcW w:type="dxa" w:w="272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Chức năng &amp; Nhiệm vụ cốt lõi</w:t>
            </w:r>
          </w:p>
        </w:tc>
        <w:tc>
          <w:tcPr>
            <w:tcW w:type="dxa" w:w="158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Lãnh đạo phụ trách</w:t>
            </w:r>
          </w:p>
        </w:tc>
        <w:tc>
          <w:tcPr>
            <w:tcW w:type="dxa" w:w="141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Ngân sách năm (VNĐ)</w:t>
            </w:r>
          </w:p>
        </w:tc>
      </w:tr>
      <w:tr>
        <w:trPr>
          <w:cantSplit/>
        </w:trPr>
        <w:tc>
          <w:tcPr>
            <w:tcW w:type="dxa" w:w="68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PB-TECH</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Software Engineering</w:t>
              <w:br/>
              <w:t>Tầng 18, NexNova Tower</w:t>
            </w:r>
          </w:p>
        </w:tc>
        <w:tc>
          <w:tcPr>
            <w:tcW w:type="dxa" w:w="272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Phát triển hệ thống phần mềm lõi, ứng dụng Desktop/Web, kiến trúc Cloud và an ninh dữ liệu. TS. Bùi Đức Trọng (NN-ADV-007) giữ vai trò Cố vấn Công nghệ Cấp cao trực thuộc khối này.</w:t>
            </w:r>
          </w:p>
        </w:tc>
        <w:tc>
          <w:tcPr>
            <w:tcW w:type="dxa" w:w="1587"/>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Ông Trần Quang Huy</w:t>
              <w:br/>
              <w:t>(NN-ADM-001 - Trưởng phòng)</w:t>
            </w:r>
          </w:p>
        </w:tc>
        <w:tc>
          <w:tcPr>
            <w:tcW w:type="dxa" w:w="1417"/>
            <w:tcMar>
              <w:top w:w="100" w:type="dxa"/>
              <w:bottom w:w="100" w:type="dxa"/>
              <w:left w:w="130" w:type="dxa"/>
              <w:right w:w="130" w:type="dxa"/>
            </w:tcMar>
          </w:tcPr>
          <w:p>
            <w:pPr>
              <w:spacing w:before="40" w:after="40" w:line="276" w:lineRule="auto"/>
              <w:jc w:val="right"/>
            </w:pPr>
            <w:r>
              <w:rPr>
                <w:rFonts w:ascii="Times New Roman" w:hAnsi="Times New Roman"/>
                <w:color w:val="0F172A"/>
                <w:sz w:val="23"/>
              </w:rPr>
              <w:t>5.000.000.000</w:t>
            </w:r>
          </w:p>
        </w:tc>
      </w:tr>
      <w:tr>
        <w:trPr>
          <w:cantSplit/>
        </w:trPr>
        <w:tc>
          <w:tcPr>
            <w:tcW w:type="dxa" w:w="68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PB-AI</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AI &amp; Data Intelligence</w:t>
              <w:br/>
              <w:t>Tầng 18, NexNova Tower</w:t>
            </w:r>
          </w:p>
        </w:tc>
        <w:tc>
          <w:tcPr>
            <w:tcW w:type="dxa" w:w="272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Nghiên cứu ứng dụng Mô hình ngôn ngữ lớn (LLM), Xử lý ngôn ngữ tự nhiên, Thị giác máy tính và Phân tích dữ liệu lớn.</w:t>
            </w:r>
          </w:p>
        </w:tc>
        <w:tc>
          <w:tcPr>
            <w:tcW w:type="dxa" w:w="1587"/>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TS. Đặng Minh Tuấn</w:t>
              <w:br/>
              <w:t>(NN-AI-004 - Trưởng phòng)</w:t>
            </w:r>
          </w:p>
        </w:tc>
        <w:tc>
          <w:tcPr>
            <w:tcW w:type="dxa" w:w="1417"/>
            <w:shd w:fill="F8FAFC"/>
            <w:tcMar>
              <w:top w:w="100" w:type="dxa"/>
              <w:bottom w:w="100" w:type="dxa"/>
              <w:left w:w="130" w:type="dxa"/>
              <w:right w:w="130" w:type="dxa"/>
            </w:tcMar>
          </w:tcPr>
          <w:p>
            <w:pPr>
              <w:spacing w:before="40" w:after="40" w:line="276" w:lineRule="auto"/>
              <w:jc w:val="right"/>
            </w:pPr>
            <w:r>
              <w:rPr>
                <w:rFonts w:ascii="Times New Roman" w:hAnsi="Times New Roman"/>
                <w:color w:val="0F172A"/>
                <w:sz w:val="23"/>
              </w:rPr>
              <w:t>4.500.000.000</w:t>
            </w:r>
          </w:p>
        </w:tc>
      </w:tr>
      <w:tr>
        <w:trPr>
          <w:cantSplit/>
        </w:trPr>
        <w:tc>
          <w:tcPr>
            <w:tcW w:type="dxa" w:w="68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PB-PROD</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Product &amp; Design</w:t>
              <w:br/>
              <w:t>Tầng 17, NexNova Tower</w:t>
            </w:r>
          </w:p>
        </w:tc>
        <w:tc>
          <w:tcPr>
            <w:tcW w:type="dxa" w:w="272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Nghiên cứu trải nghiệm người dùng UI/UX, quản trị vòng đời sản phẩm, định nghĩa tính năng và xây dựng lộ trình sản phẩm.</w:t>
            </w:r>
          </w:p>
        </w:tc>
        <w:tc>
          <w:tcPr>
            <w:tcW w:type="dxa" w:w="1587"/>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Bà Phạm Mai Lan</w:t>
              <w:br/>
              <w:t>(NN-PRD-005 - Trưởng phòng)</w:t>
            </w:r>
          </w:p>
        </w:tc>
        <w:tc>
          <w:tcPr>
            <w:tcW w:type="dxa" w:w="1417"/>
            <w:tcMar>
              <w:top w:w="100" w:type="dxa"/>
              <w:bottom w:w="100" w:type="dxa"/>
              <w:left w:w="130" w:type="dxa"/>
              <w:right w:w="130" w:type="dxa"/>
            </w:tcMar>
          </w:tcPr>
          <w:p>
            <w:pPr>
              <w:spacing w:before="40" w:after="40" w:line="276" w:lineRule="auto"/>
              <w:jc w:val="right"/>
            </w:pPr>
            <w:r>
              <w:rPr>
                <w:rFonts w:ascii="Times New Roman" w:hAnsi="Times New Roman"/>
                <w:color w:val="0F172A"/>
                <w:sz w:val="23"/>
              </w:rPr>
              <w:t>3.200.000.000</w:t>
            </w:r>
          </w:p>
        </w:tc>
      </w:tr>
      <w:tr>
        <w:trPr>
          <w:cantSplit/>
        </w:trPr>
        <w:tc>
          <w:tcPr>
            <w:tcW w:type="dxa" w:w="68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PB-HR</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People &amp; Culture</w:t>
              <w:br/>
              <w:t>Tầng 16, NexNova Tower</w:t>
            </w:r>
          </w:p>
        </w:tc>
        <w:tc>
          <w:tcPr>
            <w:tcW w:type="dxa" w:w="272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trị toàn diện nguồn nhân lực, tuyển dụng, đào tạo, chế độ tiền lương, bảo hiểm xã hội, phúc lợi và phát triển văn hóa tổ chức.</w:t>
            </w:r>
          </w:p>
        </w:tc>
        <w:tc>
          <w:tcPr>
            <w:tcW w:type="dxa" w:w="1587"/>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ThS. Nguyễn Thu Hà</w:t>
              <w:br/>
              <w:t>(NN-HR-002 - GĐ Nhân sự)</w:t>
            </w:r>
          </w:p>
        </w:tc>
        <w:tc>
          <w:tcPr>
            <w:tcW w:type="dxa" w:w="1417"/>
            <w:shd w:fill="F8FAFC"/>
            <w:tcMar>
              <w:top w:w="100" w:type="dxa"/>
              <w:bottom w:w="100" w:type="dxa"/>
              <w:left w:w="130" w:type="dxa"/>
              <w:right w:w="130" w:type="dxa"/>
            </w:tcMar>
          </w:tcPr>
          <w:p>
            <w:pPr>
              <w:spacing w:before="40" w:after="40" w:line="276" w:lineRule="auto"/>
              <w:jc w:val="right"/>
            </w:pPr>
            <w:r>
              <w:rPr>
                <w:rFonts w:ascii="Times New Roman" w:hAnsi="Times New Roman"/>
                <w:color w:val="0F172A"/>
                <w:sz w:val="23"/>
              </w:rPr>
              <w:t>2.800.000.000</w:t>
            </w:r>
          </w:p>
        </w:tc>
      </w:tr>
      <w:tr>
        <w:trPr>
          <w:cantSplit/>
        </w:trPr>
        <w:tc>
          <w:tcPr>
            <w:tcW w:type="dxa" w:w="68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PB-FIN</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Finance &amp; Operations</w:t>
              <w:br/>
              <w:t>Tầng 16, NexNova Tower</w:t>
            </w:r>
          </w:p>
        </w:tc>
        <w:tc>
          <w:tcPr>
            <w:tcW w:type="dxa" w:w="272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lý kế toán tài chính, lập kế hoạch ngân sách hàng năm, kiểm soát dòng tiền, quản lý hợp đồng pháp chế và vận hành hạ tầng doanh nghiệp.</w:t>
            </w:r>
          </w:p>
        </w:tc>
        <w:tc>
          <w:tcPr>
            <w:tcW w:type="dxa" w:w="1587"/>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ThS. Hoàng Quốc Bảo</w:t>
              <w:br/>
              <w:t>(NN-FIN-006 - GĐ Tài chính)</w:t>
            </w:r>
          </w:p>
        </w:tc>
        <w:tc>
          <w:tcPr>
            <w:tcW w:type="dxa" w:w="1417"/>
            <w:tcMar>
              <w:top w:w="100" w:type="dxa"/>
              <w:bottom w:w="100" w:type="dxa"/>
              <w:left w:w="130" w:type="dxa"/>
              <w:right w:w="130" w:type="dxa"/>
            </w:tcMar>
          </w:tcPr>
          <w:p>
            <w:pPr>
              <w:spacing w:before="40" w:after="40" w:line="276" w:lineRule="auto"/>
              <w:jc w:val="right"/>
            </w:pPr>
            <w:r>
              <w:rPr>
                <w:rFonts w:ascii="Times New Roman" w:hAnsi="Times New Roman"/>
                <w:color w:val="0F172A"/>
                <w:sz w:val="23"/>
              </w:rPr>
              <w:t>2.500.000.000</w:t>
            </w:r>
          </w:p>
        </w:tc>
      </w:tr>
      <w:tr>
        <w:trPr>
          <w:cantSplit/>
        </w:trPr>
        <w:tc>
          <w:tcPr>
            <w:tcW w:type="dxa" w:w="68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Tổng</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05 Phòng ban cốt lõi</w:t>
            </w:r>
          </w:p>
        </w:tc>
        <w:tc>
          <w:tcPr>
            <w:tcW w:type="dxa" w:w="272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Toàn bộ các đơn vị trực thuộc công ty</w:t>
            </w:r>
          </w:p>
        </w:tc>
        <w:tc>
          <w:tcPr>
            <w:tcW w:type="dxa" w:w="1587"/>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Ban Giám đốc Điều hành</w:t>
            </w:r>
          </w:p>
        </w:tc>
        <w:tc>
          <w:tcPr>
            <w:tcW w:type="dxa" w:w="1417"/>
            <w:shd w:fill="F8FAFC"/>
            <w:tcMar>
              <w:top w:w="100" w:type="dxa"/>
              <w:bottom w:w="100" w:type="dxa"/>
              <w:left w:w="130" w:type="dxa"/>
              <w:right w:w="130" w:type="dxa"/>
            </w:tcMar>
          </w:tcPr>
          <w:p>
            <w:pPr>
              <w:spacing w:before="40" w:after="40" w:line="276" w:lineRule="auto"/>
              <w:jc w:val="right"/>
            </w:pPr>
            <w:r>
              <w:rPr>
                <w:rFonts w:ascii="Times New Roman" w:hAnsi="Times New Roman"/>
                <w:color w:val="0F172A"/>
                <w:sz w:val="23"/>
              </w:rPr>
              <w:t>18.000.000.000</w:t>
            </w:r>
          </w:p>
        </w:tc>
      </w:tr>
    </w:tbl>
    <w:p>
      <w:pPr>
        <w:spacing w:before="0" w:after="120"/>
      </w:pPr>
    </w:p>
    <w:p>
      <w:pPr>
        <w:spacing w:before="160" w:after="80"/>
        <w:jc w:val="center"/>
      </w:pPr>
      <w:r>
        <w:drawing>
          <wp:inline xmlns:a="http://schemas.openxmlformats.org/drawingml/2006/main" xmlns:pic="http://schemas.openxmlformats.org/drawingml/2006/picture">
            <wp:extent cx="5852160" cy="4410956"/>
            <wp:docPr id="1" name="Picture 1"/>
            <wp:cNvGraphicFramePr>
              <a:graphicFrameLocks noChangeAspect="1"/>
            </wp:cNvGraphicFramePr>
            <a:graphic>
              <a:graphicData uri="http://schemas.openxmlformats.org/drawingml/2006/picture">
                <pic:pic>
                  <pic:nvPicPr>
                    <pic:cNvPr id="0" name="org_chart.png"/>
                    <pic:cNvPicPr/>
                  </pic:nvPicPr>
                  <pic:blipFill>
                    <a:blip r:embed="rId10"/>
                    <a:stretch>
                      <a:fillRect/>
                    </a:stretch>
                  </pic:blipFill>
                  <pic:spPr>
                    <a:xfrm>
                      <a:off x="0" y="0"/>
                      <a:ext cx="5852160" cy="4410956"/>
                    </a:xfrm>
                    <a:prstGeom prst="rect"/>
                  </pic:spPr>
                </pic:pic>
              </a:graphicData>
            </a:graphic>
          </wp:inline>
        </w:drawing>
      </w:r>
    </w:p>
    <w:p>
      <w:pPr>
        <w:spacing w:before="40" w:after="240"/>
        <w:jc w:val="center"/>
      </w:pPr>
      <w:r>
        <w:rPr>
          <w:rFonts w:ascii="Times New Roman" w:hAnsi="Times New Roman"/>
          <w:i/>
          <w:color w:val="475569"/>
          <w:sz w:val="23"/>
        </w:rPr>
        <w:t>Hình 1.1. Sơ đồ cơ cấu tổ chức bộ máy Công ty Cổ phần Công nghệ NexNova</w:t>
      </w:r>
    </w:p>
    <w:p>
      <w:pPr>
        <w:keepNext/>
        <w:spacing w:before="320" w:after="120" w:line="312" w:lineRule="auto"/>
        <w:ind w:firstLine="0"/>
      </w:pPr>
      <w:r>
        <w:rPr>
          <w:rFonts w:ascii="Times New Roman" w:hAnsi="Times New Roman"/>
          <w:b/>
          <w:color w:val="1E3A5F"/>
          <w:sz w:val="28"/>
        </w:rPr>
        <w:t>PHẦN II. MÔ HÌNH HOẠT ĐỘNG QUẢN TRỊ NGUỒN NHÂN LỰC</w:t>
      </w:r>
    </w:p>
    <w:p>
      <w:pPr>
        <w:keepNext/>
        <w:spacing w:before="240" w:after="80" w:line="312" w:lineRule="auto"/>
        <w:ind w:firstLine="0"/>
      </w:pPr>
      <w:r>
        <w:rPr>
          <w:rFonts w:ascii="Times New Roman" w:hAnsi="Times New Roman"/>
          <w:b/>
          <w:color w:val="0F172A"/>
          <w:sz w:val="26"/>
        </w:rPr>
        <w:t>2.1. Mô hình quản trị nhân sự tổng thể</w:t>
      </w:r>
    </w:p>
    <w:p>
      <w:pPr>
        <w:spacing w:before="0" w:after="100" w:line="324" w:lineRule="auto"/>
        <w:ind w:firstLine="680"/>
        <w:jc w:val="both"/>
      </w:pPr>
      <w:r>
        <w:rPr>
          <w:rFonts w:ascii="Times New Roman" w:hAnsi="Times New Roman"/>
          <w:color w:val="0F172A"/>
          <w:sz w:val="26"/>
        </w:rPr>
        <w:t>Mô hình Quản trị Nguồn Nhân lực Doanh nghiệp NexNova (NexNova Enterprise HRM) được thiết kế và xây dựng dựa trên nguyên lý Quản trị Vốn Nhân lực (Human Capital Management - HCM), bao quát trọn vẹn toàn bộ vòng đời của cán bộ công nhân viên từ thời điểm nộp hồ sơ ứng tuyển, phỏng vấn, thử việc, tiếp nhận chính thức, đánh giá hiệu suất, đào tạo nâng cao, điều chuyển công tác, quy hoạch tăng lương cho đến khi chấm dứt hợp đồng lao động hoặc nghỉ hưu theo quy định. Hệ thống số hóa 100% hồ sơ, chứng từ và quy trình phê duyệt trực tuyến, thay thế hoàn toàn phương thức quản lý thủ công truyền thống. Mọi dữ liệu biến động nhân sự được tích hợp tập trung trong một cơ sở dữ liệu quan hệ đồng nhất, cho phép thông tin kế thừa xuyên suốt giữa các phân hệ nghiệp vụ, loại trừ triệt để tình trạng phân mảnh và trùng lặp thông tin.</w:t>
      </w:r>
    </w:p>
    <w:p>
      <w:pPr>
        <w:spacing w:line="288" w:lineRule="auto" w:after="120"/>
      </w:pPr>
      <w:r>
        <w:rPr>
          <w:rFonts w:ascii="Times New Roman" w:hAnsi="Times New Roman"/>
          <w:b/>
          <w:i w:val="0"/>
          <w:sz w:val="26"/>
        </w:rPr>
        <w:t xml:space="preserve">Cơ chế Tự Động Liên Thông Dữ Liệu Lõi (Cross-Module Data Automation): </w:t>
      </w:r>
      <w:r>
        <w:rPr>
          <w:rFonts w:ascii="Times New Roman" w:hAnsi="Times New Roman"/>
          <w:b w:val="0"/>
          <w:i w:val="0"/>
          <w:sz w:val="26"/>
        </w:rPr>
        <w:t>Điểm đột phá trong kiến trúc của NexNova HRM phiên bản 2.1.0 là loại bỏ hoàn toàn các 'ốc đảo dữ liệu' (Data Silos) và quy trình nhập liệu thủ công lặp lại: (1) Từ Chấm công (attendances) &amp; Nghỉ phép (leave_requests) sang Đánh giá Hiệu suất (review_scores): Dữ liệu quẹt thẻ, đi muộn, về sớm, làm nửa ngày và các ngày nghỉ việc riêng không hưởng lương (UNPAID) trong kỳ đánh giá được Engine tự động tổng hợp, tính toán Chỉ số vi phạm chuyên cần (V) và quy đổi thẳng thành điểm gợi ý (1 - 5 sao) kèm chuỗi minh chứng tự động; (2) Từ Kỷ luật lao động (disciplines) sang Đánh giá Hiệu suất (review_scores): Các quyết định kỷ luật đang có hiệu lực (ACTIVE) tự động tạo trần điểm tối đa (Score Ceiling) cho tiêu chí Tuân thủ nội quy, ngăn ngừa việc nhân sự vi phạm quy chế nghiêm trọng nhưng vẫn được chấm điểm tối đa; (3) Từ Khen thưởng, Kỷ luật &amp; Chấm công sang Bảng lương (payrolls): Số ngày công thực tế, ngày phép hưởng lương, các khoản thưởng nóng/danh hiệu và các khoản khấu trừ phạt vi phạm được tự động liên thông tức thời vào bảng lương tháng, bảo đảm tính minh bạch tuyệt đối.</w:t>
      </w:r>
    </w:p>
    <w:p>
      <w:pPr>
        <w:keepNext/>
        <w:spacing w:before="240" w:after="80" w:line="312" w:lineRule="auto"/>
        <w:ind w:firstLine="0"/>
      </w:pPr>
      <w:r>
        <w:rPr>
          <w:rFonts w:ascii="Times New Roman" w:hAnsi="Times New Roman"/>
          <w:b/>
          <w:color w:val="0F172A"/>
          <w:sz w:val="26"/>
        </w:rPr>
        <w:t>2.2. Các quy trình nghiệp vụ cốt lõi của hệ thống</w:t>
      </w:r>
    </w:p>
    <w:p>
      <w:pPr>
        <w:spacing w:before="0" w:after="80" w:line="324" w:lineRule="auto"/>
        <w:ind w:firstLine="0"/>
        <w:jc w:val="both"/>
      </w:pPr>
      <w:r>
        <w:rPr>
          <w:rFonts w:ascii="Times New Roman" w:hAnsi="Times New Roman"/>
          <w:color w:val="0F172A"/>
          <w:sz w:val="26"/>
        </w:rPr>
        <w:t>Hệ thống NexNova HRM chuẩn hóa và tự động hóa 08 chu trình nghiệp vụ quản trị nguồn nhân lực quan trọng: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Tuyển dụng &amp; Tiếp nhận (Recruitment &amp; Onboarding): </w:t>
      </w:r>
      <w:r>
        <w:rPr>
          <w:rFonts w:ascii="Times New Roman" w:hAnsi="Times New Roman"/>
          <w:color w:val="0F172A"/>
          <w:sz w:val="26"/>
        </w:rPr>
        <w:t>Tạo lập chiến dịch tuyển dụng, quản lý phễu ứng viên 6 trạng thái và kích hoạt tiếp nhận nhân viên mới một chạm (One-Click Onboarding) tự động khởi tạo đồng thời tài khoản, hồ sơ và hợp đồng.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Quản lý Hồ sơ &amp; Định biên (Core HR &amp; Org Structure): </w:t>
      </w:r>
      <w:r>
        <w:rPr>
          <w:rFonts w:ascii="Times New Roman" w:hAnsi="Times New Roman"/>
          <w:color w:val="0F172A"/>
          <w:sz w:val="26"/>
        </w:rPr>
        <w:t>Lưu trữ hồ sơ số hóa toàn diện, phân cấp rõ rệt giữa Khối Lãnh đạo, Quản lý và Khối Chuyên môn, thiết lập quan hệ báo cáo trực tiếp (Line Manager) theo cây phân cấp.</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Quản lý Hợp đồng Lao động (Contract Lifecycle): </w:t>
      </w:r>
      <w:r>
        <w:rPr>
          <w:rFonts w:ascii="Times New Roman" w:hAnsi="Times New Roman"/>
          <w:color w:val="0F172A"/>
          <w:sz w:val="26"/>
        </w:rPr>
        <w:t>Theo dõi 05 loại hình hợp đồng, mức lương làm căn cứ trích đóng bảo hiểm xã hội và cơ chế cảnh báo tự động trước 30 ngày đối với các hợp đồng sắp hết hạn.</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Chấm công &amp; Quản lý Nghỉ phép (Time &amp; Attendance): </w:t>
      </w:r>
      <w:r>
        <w:rPr>
          <w:rFonts w:ascii="Times New Roman" w:hAnsi="Times New Roman"/>
          <w:color w:val="0F172A"/>
          <w:sz w:val="26"/>
        </w:rPr>
        <w:t>Check-in/Check-out điện tử với các mốc giờ chuẩn xác (sau 08:45 đi muộn, trước 17:00 về sớm, dưới 4 giờ nửa ngày công); quản lý 05 loại phép và thuật toán đếm ngày làm việc loại trừ thứ Bảy, Chủ nhật.</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Tiền lương, Bảo hiểm &amp; Thuế (Payroll &amp; Taxation): </w:t>
      </w:r>
      <w:r>
        <w:rPr>
          <w:rFonts w:ascii="Times New Roman" w:hAnsi="Times New Roman"/>
          <w:color w:val="0F172A"/>
          <w:sz w:val="26"/>
        </w:rPr>
        <w:t>Tự động tổng hợp ngày công thực tế, phép hưởng lương, các khoản phụ cấp, cộng tiền thưởng thi đua, trừ phạt kỷ luật; áp trần bảo hiểm và tính thuế TNCN lũy tiến 7 bậc; xuất phiếu lương PDF điện tử.</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Đánh giá Hiệu suất 360 độ (Performance Review &amp; Bell-curve): </w:t>
      </w:r>
      <w:r>
        <w:rPr>
          <w:rFonts w:ascii="Times New Roman" w:hAnsi="Times New Roman"/>
          <w:color w:val="0F172A"/>
          <w:sz w:val="26"/>
        </w:rPr>
        <w:t>Đánh giá đa chiều (nhân viên tự đánh giá kết hợp quản lý trực tiếp đánh giá) theo 4 nhóm năng lực và 14 tiêu chí chuẩn hóa, áp dụng hiệu chỉnh xếp loại theo đường cong chuẩn Bell-curve Gauss.</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Biến động Nhân sự &amp; Đãi ngộ (Mobility, Rewards &amp; Discipline): </w:t>
      </w:r>
      <w:r>
        <w:rPr>
          <w:rFonts w:ascii="Times New Roman" w:hAnsi="Times New Roman"/>
          <w:color w:val="0F172A"/>
          <w:sz w:val="26"/>
        </w:rPr>
        <w:t>Thực hiện thuyên chuyển bộ phận và bổ nhiệm cán bộ bằng Database Transaction bảo toàn toàn vẹn dữ liệu; quản lý quyết định khen thưởng và kỷ luật liên kết tự động tới bảng lương.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Quy trình Báo cáo &amp; Quy hoạch Nhân sự (HR Analytics &amp; Retirement Alerts): </w:t>
      </w:r>
      <w:r>
        <w:rPr>
          <w:rFonts w:ascii="Times New Roman" w:hAnsi="Times New Roman"/>
          <w:color w:val="0F172A"/>
          <w:sz w:val="26"/>
        </w:rPr>
        <w:t>Trung tâm thông tin điều hành cung cấp báo cáo nhân khẩu học đa chiều, cảnh báo xét nâng bậc lương định kỳ (thời gian giữ bậc &gt;= 24 tháng) và cảnh báo tuổi nghỉ hưu trước 2 năm.</w:t>
      </w:r>
    </w:p>
    <w:p>
      <w:pPr>
        <w:keepNext/>
        <w:spacing w:before="240" w:after="80" w:line="312" w:lineRule="auto"/>
        <w:ind w:firstLine="0"/>
      </w:pPr>
      <w:r>
        <w:rPr>
          <w:rFonts w:ascii="Times New Roman" w:hAnsi="Times New Roman"/>
          <w:b/>
          <w:color w:val="0F172A"/>
          <w:sz w:val="26"/>
        </w:rPr>
        <w:t>2.3. Hệ thống phân quyền truy cập người dùng</w:t>
      </w:r>
    </w:p>
    <w:p>
      <w:pPr>
        <w:spacing w:before="0" w:after="100" w:line="324" w:lineRule="auto"/>
        <w:ind w:firstLine="680"/>
        <w:jc w:val="both"/>
      </w:pPr>
      <w:r>
        <w:rPr>
          <w:rFonts w:ascii="Times New Roman" w:hAnsi="Times New Roman"/>
          <w:color w:val="0F172A"/>
          <w:sz w:val="26"/>
        </w:rPr>
        <w:t>Hệ thống triển khai cơ chế kiểm soát truy cập dựa trên vai trò (Role-Based Access Control - RBAC) chặt chẽ, kết hợp các thuộc tính phân định cán bộ quản lý (isCadre, cadreType). Bảng 2.1 tổng hợp ma trận phân quyền chi tiết:</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2339"/>
        <w:gridCol w:w="2339"/>
        <w:gridCol w:w="2339"/>
        <w:gridCol w:w="2339"/>
      </w:tblGrid>
      <w:tr>
        <w:trPr>
          <w:tblHeader/>
          <w:cantSplit/>
        </w:trPr>
        <w:tc>
          <w:tcPr>
            <w:tcW w:type="dxa" w:w="3118"/>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Chức năng / Phân hệ</w:t>
            </w:r>
          </w:p>
        </w:tc>
        <w:tc>
          <w:tcPr>
            <w:tcW w:type="dxa" w:w="204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Quản trị Tối cao (ADMIN)</w:t>
            </w:r>
          </w:p>
        </w:tc>
        <w:tc>
          <w:tcPr>
            <w:tcW w:type="dxa" w:w="2268"/>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Quản lý Nhân sự (HR_MANAGER)</w:t>
            </w:r>
          </w:p>
        </w:tc>
        <w:tc>
          <w:tcPr>
            <w:tcW w:type="dxa" w:w="1928"/>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Nhân viên (EMPLOYEE)</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trị người dùng &amp; Phân quyền</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(CRUD)</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Không có quyền</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Không có quyền</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lý Danh mục Phòng ban &amp; Ngân sách</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(CRUD)</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cập nhật định biên</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sơ đồ tổ chức</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lý Hồ sơ Cán bộ toàn công ty</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(CRUD)</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(CRUD)</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Chỉ xem hồ sơ cá nhân</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Cổng Tự phục vụ Nhân viên (ESS Profile)</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và hiệu chỉnh</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và hiệu chỉnh</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5 tab hồ sơ cá nhân</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lý Hợp đồng Lao động</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Phê duyệt, ký số</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Soạn thảo, gia hạn HĐ</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hợp đồng của mình</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Chấm công &amp; Điểm danh hàng ngày</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tra cứu</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Quản lý bảng công công ty</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Thực hiện Check-in / Out</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Phê duyệt Đơn xin nghỉ phép</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Phê duyệt cấp cao</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Phê duyệt đơn phòng/toàn bộ</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Tạo đơn xin nghỉ cá nhân</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Tính toán &amp; Khóa sổ Bảng lương</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Phê duyệt, thanh toán</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Lập bảng lương, tính thuế</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&amp; Tải phiếu lương PDF</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Thiết lập Mẫu tiêu chí &amp; Kỳ KPI</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Phê duyệt kỳ đánh giá</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Thiết lập mẫu, mở kỳ KPI</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Tự đánh giá (Self-review)</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Đánh giá Hiệu suất Cán bộ (Manager)</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Đánh giá Trưởng phòng</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Đánh giá nhân sự khối HR</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Đánh giá cấp dưới (Lead)</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Khen thưởng &amp; Kỷ luật Lao động</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Ký duyệt quyết định</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Lập tờ trình đề xuất</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quyết định cá nhân</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Thuyên chuyển &amp; Bổ nhiệm Cán bộ</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Ký duyệt quyết định</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Soạn thảo điều chuyển</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lịch sử chuyển công tác</w:t>
            </w:r>
          </w:p>
        </w:tc>
      </w:tr>
      <w:tr>
        <w:trPr>
          <w:cantSplit/>
        </w:trPr>
        <w:tc>
          <w:tcPr>
            <w:tcW w:type="dxa" w:w="311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Tuyển dụng &amp; Onboarding Ứng viên</w:t>
            </w:r>
          </w:p>
        </w:tc>
        <w:tc>
          <w:tcPr>
            <w:tcW w:type="dxa" w:w="2041"/>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Xem báo cáo tuyển dụng</w:t>
            </w:r>
          </w:p>
        </w:tc>
        <w:tc>
          <w:tcPr>
            <w:tcW w:type="dxa" w:w="226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Quản lý phễu, One-Click Onboard</w:t>
            </w:r>
          </w:p>
        </w:tc>
        <w:tc>
          <w:tcPr>
            <w:tcW w:type="dxa" w:w="1928"/>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Không có quyền</w:t>
            </w:r>
          </w:p>
        </w:tc>
      </w:tr>
      <w:tr>
        <w:trPr>
          <w:cantSplit/>
        </w:trPr>
        <w:tc>
          <w:tcPr>
            <w:tcW w:type="dxa" w:w="311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Báo cáo Phân tích &amp; Trích xuất Lý lịch</w:t>
            </w:r>
          </w:p>
        </w:tc>
        <w:tc>
          <w:tcPr>
            <w:tcW w:type="dxa" w:w="2041"/>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tra cứu</w:t>
            </w:r>
          </w:p>
        </w:tc>
        <w:tc>
          <w:tcPr>
            <w:tcW w:type="dxa" w:w="226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Toàn quyền phân tích, in mẫu 2C</w:t>
            </w:r>
          </w:p>
        </w:tc>
        <w:tc>
          <w:tcPr>
            <w:tcW w:type="dxa" w:w="1928"/>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Không có quyền</w:t>
            </w:r>
          </w:p>
        </w:tc>
      </w:tr>
    </w:tbl>
    <w:p>
      <w:pPr>
        <w:spacing w:before="0" w:after="120"/>
      </w:pPr>
    </w:p>
    <w:p>
      <w:pPr>
        <w:keepNext/>
        <w:spacing w:before="320" w:after="120" w:line="312" w:lineRule="auto"/>
        <w:ind w:firstLine="0"/>
      </w:pPr>
      <w:r>
        <w:rPr>
          <w:rFonts w:ascii="Times New Roman" w:hAnsi="Times New Roman"/>
          <w:b/>
          <w:color w:val="1E3A5F"/>
          <w:sz w:val="28"/>
        </w:rPr>
        <w:t>PHẦN III. CÁC PHÂN HỆ QUẢN TRỊ NGUỒN NHÂN LỰC CHI TIẾT</w:t>
      </w:r>
    </w:p>
    <w:p>
      <w:pPr>
        <w:keepNext/>
        <w:spacing w:before="240" w:after="80" w:line="312" w:lineRule="auto"/>
        <w:ind w:firstLine="0"/>
      </w:pPr>
      <w:r>
        <w:rPr>
          <w:rFonts w:ascii="Times New Roman" w:hAnsi="Times New Roman"/>
          <w:b/>
          <w:color w:val="0F172A"/>
          <w:sz w:val="26"/>
        </w:rPr>
        <w:t>3.1. Phân hệ Hồ sơ Cán bộ &amp; Cổng Tự phục vụ Nhân viên</w:t>
      </w:r>
    </w:p>
    <w:p>
      <w:pPr>
        <w:spacing w:before="0" w:after="100" w:line="324" w:lineRule="auto"/>
        <w:ind w:firstLine="680"/>
        <w:jc w:val="both"/>
      </w:pPr>
      <w:r>
        <w:rPr>
          <w:rFonts w:ascii="Times New Roman" w:hAnsi="Times New Roman"/>
          <w:color w:val="0F172A"/>
          <w:sz w:val="26"/>
        </w:rPr>
        <w:t>Phân hệ Hồ sơ Cán bộ là hạt nhân trung tâm lưu trữ toàn bộ dữ liệu định danh, chuyên môn, tiền lương và pháp lý của người lao động. Hệ thống chuẩn hóa quy tắc sinh Mã số cán bộ (Employee Code) theo cấu trúc chuẩn: NN-[MÃ_PHÒNG]-[SỐ_THỨ_TỰ]. Điển hình như: NN-ADM-001 dành cho Lãnh đạo điều hành, NN-HR-002 dành cho Ban Nhân sự, NN-ENG-003 dành cho Kỹ thuật, NN-AI-004 dành cho Trí tuệ nhân tạo, NN-PRD-005 dành cho Sản phẩm, NN-FIN-006 dành cho Tài chính và NN-ADV-007 dành cho Cố vấn công nghệ cấp cao.</w:t>
      </w:r>
    </w:p>
    <w:p>
      <w:pPr>
        <w:spacing w:before="0" w:after="60" w:line="324" w:lineRule="auto"/>
        <w:ind w:firstLine="0"/>
        <w:jc w:val="both"/>
      </w:pPr>
      <w:r>
        <w:rPr>
          <w:rFonts w:ascii="Times New Roman" w:hAnsi="Times New Roman"/>
          <w:color w:val="0F172A"/>
          <w:sz w:val="26"/>
        </w:rPr>
        <w:t>Hệ thống thực hiện phân loại nhân sự rõ ràng thông qua cờ isCadre và cấp bậc cán bộ cadreType:</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Khối Lãnh đạo (LEADERSHIP): </w:t>
      </w:r>
      <w:r>
        <w:rPr>
          <w:rFonts w:ascii="Times New Roman" w:hAnsi="Times New Roman"/>
          <w:color w:val="0F172A"/>
          <w:sz w:val="26"/>
        </w:rPr>
        <w:t>Dành cho các vị trí Lãnh đạo cấp cao như Tổng Giám đốc, Giám đốc chuyên môn, Trưởng phòng nghiệp vụ.</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Khối Quản lý (MANAGEMENT): </w:t>
      </w:r>
      <w:r>
        <w:rPr>
          <w:rFonts w:ascii="Times New Roman" w:hAnsi="Times New Roman"/>
          <w:color w:val="0F172A"/>
          <w:sz w:val="26"/>
        </w:rPr>
        <w:t>Dành cho các vị trí Quản lý cấp trung như Phó phòng, Trưởng nhóm chuyên môn, Tech Lead.</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Khối Nhân viên (STAFF): </w:t>
      </w:r>
      <w:r>
        <w:rPr>
          <w:rFonts w:ascii="Times New Roman" w:hAnsi="Times New Roman"/>
          <w:color w:val="0F172A"/>
          <w:sz w:val="26"/>
        </w:rPr>
        <w:t>Dành cho các chuyên viên, kỹ sư thực thi công việc chuyên môn thuần túy.</w:t>
      </w:r>
    </w:p>
    <w:p>
      <w:pPr>
        <w:spacing w:before="0" w:after="100" w:line="324" w:lineRule="auto"/>
        <w:ind w:firstLine="680"/>
        <w:jc w:val="both"/>
      </w:pPr>
      <w:r>
        <w:rPr>
          <w:rFonts w:ascii="Times New Roman" w:hAnsi="Times New Roman"/>
          <w:color w:val="0F172A"/>
          <w:sz w:val="26"/>
        </w:rPr>
        <w:t>Mối quan hệ điều hành và báo cáo công việc được quản lý trực tiếp thông qua trường lineManagerId, cho phép thiết lập cây phân cấp quản trị linh hoạt và chính xác.</w:t>
      </w:r>
    </w:p>
    <w:p>
      <w:pPr>
        <w:spacing w:before="0" w:after="60" w:line="324" w:lineRule="auto"/>
        <w:ind w:firstLine="0"/>
        <w:jc w:val="both"/>
      </w:pPr>
      <w:r>
        <w:rPr>
          <w:rFonts w:ascii="Times New Roman" w:hAnsi="Times New Roman"/>
          <w:color w:val="0F172A"/>
          <w:sz w:val="26"/>
        </w:rPr>
        <w:t>Cổng Hồ sơ Cá nhân Tự phục vụ (Employee Self-Service - /dashboard/profile) được thiết kế theo tiêu chuẩn giao diện phẳng hiện đại với 05 tab thông tin chuyên biệt:</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Tab 1 - Công việc &amp; Tổ chức: </w:t>
      </w:r>
      <w:r>
        <w:rPr>
          <w:rFonts w:ascii="Times New Roman" w:hAnsi="Times New Roman"/>
          <w:color w:val="0F172A"/>
          <w:sz w:val="26"/>
        </w:rPr>
        <w:t>Hiển thị Mã cán bộ, Chức vụ hiện tại, Phòng ban trực thuộc, Cấp bậc cán bộ, Người quản lý trực tiếp, Ngày gia nhập công ty và Trình độ học vấn cao nhất.</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Tab 2 - Định danh &amp; Ngân hàng: </w:t>
      </w:r>
      <w:r>
        <w:rPr>
          <w:rFonts w:ascii="Times New Roman" w:hAnsi="Times New Roman"/>
          <w:color w:val="0F172A"/>
          <w:sz w:val="26"/>
        </w:rPr>
        <w:t>Quản lý thông tin Số Căn cước công dân (CCCD), Ngày cấp, Nơi cấp; Mã số thuế cá nhân (MST); Mã số sổ Bảo hiểm Xã hội (BHXH); Số tài khoản ngân hàng, Tên ngân hàng thụ hưởng và Chi nhánh.</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Tab 3 - Hợp đồng Lao động: </w:t>
      </w:r>
      <w:r>
        <w:rPr>
          <w:rFonts w:ascii="Times New Roman" w:hAnsi="Times New Roman"/>
          <w:color w:val="0F172A"/>
          <w:sz w:val="26"/>
        </w:rPr>
        <w:t>Hiển thị số hợp đồng hiệu lực gần nhất, Loại hợp đồng, Thời hạn, Mức lương đóng bảo hiểm và trạng thái hợp đồng.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Tab 4 - Quỹ phép năm &amp; Đãi ngộ: </w:t>
      </w:r>
      <w:r>
        <w:rPr>
          <w:rFonts w:ascii="Times New Roman" w:hAnsi="Times New Roman"/>
          <w:color w:val="0F172A"/>
          <w:sz w:val="26"/>
        </w:rPr>
        <w:t>Thống kê Quỹ phép năm tổng thể (mặc định 12 ngày/năm), Số ngày phép đã sử dụng, Số ngày phép còn lại khả dụng (annualLeaveBalance) và các chế độ đãi ngộ nội bộ.</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Tab 5 - Lương &amp; Thu nhập: </w:t>
      </w:r>
      <w:r>
        <w:rPr>
          <w:rFonts w:ascii="Times New Roman" w:hAnsi="Times New Roman"/>
          <w:color w:val="0F172A"/>
          <w:sz w:val="26"/>
        </w:rPr>
        <w:t>Thông tin Mức lương cơ bản thỏa thuận, Mức phụ cấp cố định, Lịch sử tăng lương gần nhất và liên kết xem chi tiết các kỳ lương.</w:t>
      </w:r>
    </w:p>
    <w:p>
      <w:pPr>
        <w:keepNext/>
        <w:spacing w:before="240" w:after="80" w:line="312" w:lineRule="auto"/>
        <w:ind w:firstLine="0"/>
      </w:pPr>
      <w:r>
        <w:rPr>
          <w:rFonts w:ascii="Times New Roman" w:hAnsi="Times New Roman"/>
          <w:b/>
          <w:color w:val="0F172A"/>
          <w:sz w:val="26"/>
        </w:rPr>
        <w:t>3.2. Phân hệ Quản lý Phòng ban &amp; Định biên Nhân sự</w:t>
      </w:r>
    </w:p>
    <w:p>
      <w:pPr>
        <w:spacing w:before="0" w:after="100" w:line="324" w:lineRule="auto"/>
        <w:ind w:firstLine="680"/>
        <w:jc w:val="both"/>
      </w:pPr>
      <w:r>
        <w:rPr>
          <w:rFonts w:ascii="Times New Roman" w:hAnsi="Times New Roman"/>
          <w:color w:val="0F172A"/>
          <w:sz w:val="26"/>
        </w:rPr>
        <w:t>Giao diện quản lý phòng ban (/dashboard/departments) cung cấp cái nhìn trực quan và số hóa toàn diện về cơ cấu tổ chức doanh nghiệp. Phân hệ cho phép thiết lập và quản trị danh mục phòng ban, bao gồm Mã định danh duy nhất (code), Tên phòng ban (name), Mô tả chức năng nhiệm vụ (description), Vị trí tầng làm việc (location), Thứ tự hiển thị (sortOrder) và Định mức ngân sách hoạt động năm (với tổng ngân sách toàn công ty là 18.000.000.000 VNĐ/năm).</w:t>
      </w:r>
    </w:p>
    <w:p>
      <w:pPr>
        <w:spacing w:before="0" w:after="100" w:line="324" w:lineRule="auto"/>
        <w:ind w:firstLine="680"/>
        <w:jc w:val="both"/>
      </w:pPr>
      <w:r>
        <w:rPr>
          <w:rFonts w:ascii="Times New Roman" w:hAnsi="Times New Roman"/>
          <w:color w:val="0F172A"/>
          <w:sz w:val="26"/>
        </w:rPr>
        <w:t>Hệ thống hỗ trợ quy trình bổ nhiệm Trưởng phòng (managerId) và Phó phòng (deputyId) gắn trực tiếp với hồ sơ cán bộ. Đặc biệt, giao diện tự động phân tách và thống kê cơ cấu nhân sự của từng đơn vị thành hai khối tách biệt: Khối Lãnh đạo &amp; Quản lý (isCadre = true) và Khối Chuyên môn (isCadre = false), đồng thời tích hợp biểu đồ Cây Tổ chức (Interactive Org Chart) thể hiện mối quan hệ liên kết và báo cáo trực tiếp trong toàn doanh nghiệp.</w:t>
      </w:r>
    </w:p>
    <w:p>
      <w:pPr>
        <w:keepNext/>
        <w:spacing w:before="240" w:after="80" w:line="312" w:lineRule="auto"/>
        <w:ind w:firstLine="0"/>
      </w:pPr>
      <w:r>
        <w:rPr>
          <w:rFonts w:ascii="Times New Roman" w:hAnsi="Times New Roman"/>
          <w:b/>
          <w:color w:val="0F172A"/>
          <w:sz w:val="26"/>
        </w:rPr>
        <w:t>3.3. Phân hệ Quản lý Hợp đồng Lao động &amp; Pháp lý</w:t>
      </w:r>
    </w:p>
    <w:p>
      <w:pPr>
        <w:spacing w:before="0" w:after="100" w:line="324" w:lineRule="auto"/>
        <w:ind w:firstLine="680"/>
        <w:jc w:val="both"/>
      </w:pPr>
      <w:r>
        <w:rPr>
          <w:rFonts w:ascii="Times New Roman" w:hAnsi="Times New Roman"/>
          <w:color w:val="0F172A"/>
          <w:sz w:val="26"/>
        </w:rPr>
        <w:t>Phân hệ Quản lý Hợp đồng (/dashboard/contracts) chịu trách nhiệm chuẩn hóa mặt pháp lý giữa người lao động và doanh nghiệp theo đúng quy định của Bộ luật Lao động Việt Nam. Hệ thống quản lý toàn diện vòng đời của 05 loại hình hợp đồng lao động: Hợp đồng thử việc (PROBATION), Hợp đồng xác định thời hạn 01 năm (DEFINITE_1Y), Hợp đồng xác định thời hạn 03 năm (DEFINITE_3Y), Hợp đồng không xác định thời hạn (INDEFINITE) và Hợp đồng cộng tác viên / thời vụ (SEASONAL).</w:t>
      </w:r>
    </w:p>
    <w:p>
      <w:pPr>
        <w:spacing w:before="0" w:after="100" w:line="324" w:lineRule="auto"/>
        <w:ind w:firstLine="680"/>
        <w:jc w:val="both"/>
      </w:pPr>
      <w:r>
        <w:rPr>
          <w:rFonts w:ascii="Times New Roman" w:hAnsi="Times New Roman"/>
          <w:color w:val="0F172A"/>
          <w:sz w:val="26"/>
        </w:rPr>
        <w:t>Mỗi hợp đồng quản lý Mã hợp đồng chuẩn (HĐLĐ-[NĂM]/[STT]), Chức danh ký kết, Thời hạn hiệu lực, Thời giờ làm việc tiêu chuẩn và Mức lương làm căn cứ đóng BHXH (salaryInsurance, thường chiếm từ 80% đến 100% lương cơ bản). Đặc biệt, hệ thống tích hợp Trung tâm Cảnh báo Điều hành Nhân sự, tự động phát hiện và cảnh báo trước 30 ngày đối với các hợp đồng sắp hết hạn hiệu lực, bảo đảm quyền lợi hợp pháp cho người lao động và tính chủ động cho doanh nghiệp.</w:t>
      </w:r>
    </w:p>
    <w:p>
      <w:pPr>
        <w:keepNext/>
        <w:spacing w:before="240" w:after="80" w:line="312" w:lineRule="auto"/>
        <w:ind w:firstLine="0"/>
      </w:pPr>
      <w:r>
        <w:rPr>
          <w:rFonts w:ascii="Times New Roman" w:hAnsi="Times New Roman"/>
          <w:b/>
          <w:color w:val="0F172A"/>
          <w:sz w:val="26"/>
        </w:rPr>
        <w:t>3.4. Phân hệ Chấm công &amp; Quản lý Nghỉ phép Điện tử</w:t>
      </w:r>
    </w:p>
    <w:p>
      <w:pPr>
        <w:spacing w:before="0" w:after="60" w:line="324" w:lineRule="auto"/>
        <w:ind w:firstLine="0"/>
        <w:jc w:val="both"/>
      </w:pPr>
      <w:r>
        <w:rPr>
          <w:rFonts w:ascii="Times New Roman" w:hAnsi="Times New Roman"/>
          <w:color w:val="0F172A"/>
          <w:sz w:val="26"/>
        </w:rPr>
        <w:t>Phân hệ Chấm công &amp; Nghỉ phép (/dashboard/attendance) giải quyết bài toán quản trị thời gian làm việc chính xác và tự động. Hệ thống chuẩn hóa các mốc giờ làm việc theo đúng mã nguồn attendance.service.ts:</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Đi muộn (LATE): </w:t>
      </w:r>
      <w:r>
        <w:rPr>
          <w:rFonts w:ascii="Times New Roman" w:hAnsi="Times New Roman"/>
          <w:color w:val="0F172A"/>
          <w:sz w:val="26"/>
        </w:rPr>
        <w:t>Nhân viên thực hiện Check-in sau 08:45 (sau 15 phút ân hạn so với giờ làm việc 08:30) sẽ bị hệ thống tự động gắn trạng thái LATE.</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Về sớm (EARLY_LEAVE): </w:t>
      </w:r>
      <w:r>
        <w:rPr>
          <w:rFonts w:ascii="Times New Roman" w:hAnsi="Times New Roman"/>
          <w:color w:val="0F172A"/>
          <w:sz w:val="26"/>
        </w:rPr>
        <w:t>Nhân viên thực hiện Check-out trước 17:00 (trước giờ kết thúc 17:30) sẽ bị tự động gắn trạng thái EARLY_LEAVE.</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Nửa ngày công (HALF_DAY): </w:t>
      </w:r>
      <w:r>
        <w:rPr>
          <w:rFonts w:ascii="Times New Roman" w:hAnsi="Times New Roman"/>
          <w:color w:val="0F172A"/>
          <w:sz w:val="26"/>
        </w:rPr>
        <w:t>Nếu tổng thời gian làm việc thực tế trong ngày dưới 4.0 giờ, bản ghi công được xác định là nửa ngày (HALF_DAY, tương ứng 0.5 ngày công).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Đủ ngày công (PRESENT): </w:t>
      </w:r>
      <w:r>
        <w:rPr>
          <w:rFonts w:ascii="Times New Roman" w:hAnsi="Times New Roman"/>
          <w:color w:val="0F172A"/>
          <w:sz w:val="26"/>
        </w:rPr>
        <w:t>Thời gian làm việc từ 4.0 giờ đến 8.0 giờ trở lên và không vi phạm quy chế được tính đủ 1.0 ngày công chuẩn.</w:t>
      </w:r>
    </w:p>
    <w:p>
      <w:pPr>
        <w:spacing w:before="0" w:after="100" w:line="324" w:lineRule="auto"/>
        <w:ind w:firstLine="680"/>
        <w:jc w:val="both"/>
      </w:pPr>
      <w:r>
        <w:rPr>
          <w:rFonts w:ascii="Times New Roman" w:hAnsi="Times New Roman"/>
          <w:color w:val="0F172A"/>
          <w:sz w:val="26"/>
        </w:rPr>
        <w:t>Hệ thống quản lý 05 loại hình nghỉ phép: Phép năm có hưởng lương (ANNUAL, định mức mặc định 12 ngày/năm), Nghỉ ốm đau hưởng BHXH (SICK), Nghỉ thai sản (MATERNITY), Nghỉ hiếu/hỷ có hưởng lương (COMPASSIONATE) và Nghỉ không hưởng lương (UNPAID). Thuật toán countBusinessDays tự động loại trừ các ngày Thứ Bảy và Chủ Nhật khi tính toán thời gian nghỉ phép thực tế. Khi đơn xin nghỉ phép năm được phê duyệt (APPROVED), hệ thống tự động trừ vào quỹ phép năm (annualLeaveBalance) và hoàn trả lại quỹ phép nếu đơn bị thu hồi hoặc từ chối.</w:t>
      </w:r>
    </w:p>
    <w:p>
      <w:pPr>
        <w:keepNext/>
        <w:spacing w:before="240" w:after="80" w:line="312" w:lineRule="auto"/>
        <w:ind w:firstLine="0"/>
      </w:pPr>
      <w:r>
        <w:rPr>
          <w:rFonts w:ascii="Times New Roman" w:hAnsi="Times New Roman"/>
          <w:b/>
          <w:color w:val="0F172A"/>
          <w:sz w:val="26"/>
        </w:rPr>
        <w:t>3.5. Phân hệ Tiền lương, Bảo hiểm, Thuế TNCN &amp; Phiếu lương PDF</w:t>
      </w:r>
    </w:p>
    <w:p>
      <w:pPr>
        <w:spacing w:before="0" w:after="100" w:line="324" w:lineRule="auto"/>
        <w:ind w:firstLine="680"/>
        <w:jc w:val="both"/>
      </w:pPr>
      <w:r>
        <w:rPr>
          <w:rFonts w:ascii="Times New Roman" w:hAnsi="Times New Roman"/>
          <w:color w:val="0F172A"/>
          <w:sz w:val="26"/>
        </w:rPr>
        <w:t>Phân hệ Tiền lương (/dashboard/payroll) thực hiện tự động hóa 100% quy trình tính toán lương, bảo hiểm và nghĩa vụ thuế thu nhập cá nhân. Ngày công tính lương được xác định theo công thức: Ngày công tính lương = min(22, actualWorkDays + paidLeaveDays), trong đó ngày nghỉ phép hưởng nguyên lương được cộng dồn trực tiếp vào ngày công thực tế (tối đa bằng số ngày chuẩn 22 ngày/tháng).</w:t>
      </w:r>
    </w:p>
    <w:p>
      <w:pPr>
        <w:spacing w:before="0" w:after="60" w:line="324" w:lineRule="auto"/>
        <w:ind w:firstLine="0"/>
        <w:jc w:val="both"/>
      </w:pPr>
      <w:r>
        <w:rPr>
          <w:rFonts w:ascii="Times New Roman" w:hAnsi="Times New Roman"/>
          <w:color w:val="0F172A"/>
          <w:sz w:val="26"/>
        </w:rPr>
        <w:t>Hệ thống áp dụng chính xác các quy định pháp luật hiện hành về trần đóng bảo hiểm bắt buộc:</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Mức trần đóng BHXH và BHYT: </w:t>
      </w:r>
      <w:r>
        <w:rPr>
          <w:rFonts w:ascii="Times New Roman" w:hAnsi="Times New Roman"/>
          <w:color w:val="0F172A"/>
          <w:sz w:val="26"/>
        </w:rPr>
        <w:t>Tối đa bằng 20 lần mức lương cơ sở (20 x 2.340.000 = 46.800.000 VNĐ).</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Mức trần đóng BHTN: </w:t>
      </w:r>
      <w:r>
        <w:rPr>
          <w:rFonts w:ascii="Times New Roman" w:hAnsi="Times New Roman"/>
          <w:color w:val="0F172A"/>
          <w:sz w:val="26"/>
        </w:rPr>
        <w:t>Tối đa bằng 20 lần mức lương tối thiểu vùng I (20 x 4.960.000 = 99.200.000 VNĐ).</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Tỷ lệ trích nộp bắt buộc: </w:t>
      </w:r>
      <w:r>
        <w:rPr>
          <w:rFonts w:ascii="Times New Roman" w:hAnsi="Times New Roman"/>
          <w:color w:val="0F172A"/>
          <w:sz w:val="26"/>
        </w:rPr>
        <w:t>Tỷ lệ trích nộp phần người lao động là 10.5% (BHXH 8%, BHYT 1.5%, BHTN 1%).</w:t>
      </w:r>
    </w:p>
    <w:p>
      <w:pPr>
        <w:spacing w:before="0" w:after="100" w:line="324" w:lineRule="auto"/>
        <w:ind w:firstLine="680"/>
        <w:jc w:val="both"/>
      </w:pPr>
      <w:r>
        <w:rPr>
          <w:rFonts w:ascii="Times New Roman" w:hAnsi="Times New Roman"/>
          <w:color w:val="0F172A"/>
          <w:sz w:val="26"/>
        </w:rPr>
        <w:t>Thuế Thu nhập Cá nhân (TNCN) được tính tự động theo biểu thuế lũy tiến từng phần 7 bậc sau khi áp dụng mức giảm trừ gia cảnh bản thân 11.000.000 VNĐ/tháng và người phụ thuộc 4.400.000 VNĐ/người/tháng. Bảng lương tự động cộng khoản thưởng thi đua (rewardAmount) và trừ khoản phạt vi phạm kỷ luật (deductions) phát sinh trong tháng. Dịch vụ Backend tích hợp PDFKit cho phép trích xuất phiếu lương điện tử chuẩn khổ A4, đồng bộ Mã số thuế doanh nghiệp 0108992834.</w:t>
      </w:r>
    </w:p>
    <w:p>
      <w:pPr>
        <w:keepNext/>
        <w:spacing w:before="240" w:after="80" w:line="312" w:lineRule="auto"/>
        <w:ind w:firstLine="0"/>
      </w:pPr>
      <w:r>
        <w:rPr>
          <w:rFonts w:ascii="Times New Roman" w:hAnsi="Times New Roman"/>
          <w:b/>
          <w:color w:val="0F172A"/>
          <w:sz w:val="26"/>
        </w:rPr>
        <w:t>3.6. Phân hệ Đánh giá Hiệu suất Đa chiều theo Trọng số &amp; Hiệu chỉnh Bell-Curve</w:t>
      </w:r>
    </w:p>
    <w:p>
      <w:pPr>
        <w:spacing w:before="0" w:after="100" w:line="324" w:lineRule="auto"/>
        <w:ind w:firstLine="680"/>
        <w:jc w:val="both"/>
      </w:pPr>
      <w:r>
        <w:rPr>
          <w:rFonts w:ascii="Times New Roman" w:hAnsi="Times New Roman"/>
          <w:color w:val="0F172A"/>
          <w:sz w:val="26"/>
        </w:rPr>
        <w:t>Phân hệ Đánh giá Hiệu suất (/dashboard/performance) cung cấp công cụ đo lường kết quả công tác và năng lực cán bộ chuẩn mực quốc tế. Quy trình đánh giá 360 độ gồm hai bước độc lập: Nhân viên tự đánh giá (selfScore) và Cán bộ quản lý trực tiếp đánh giá (mgrScore). Hệ thống tự động tính điểm tổng hợp theo Bộ Tiêu chí Đánh giá Chuẩn Doanh nghiệp NexNova 2026 gồm 4 nhóm năng lực và 14 tiêu chí thành phần:</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1559"/>
        <w:gridCol w:w="1559"/>
        <w:gridCol w:w="1559"/>
        <w:gridCol w:w="1559"/>
        <w:gridCol w:w="1559"/>
        <w:gridCol w:w="1559"/>
      </w:tblGrid>
      <w:tr>
        <w:trPr>
          <w:tblHeader/>
          <w:cantSplit/>
        </w:trPr>
        <w:tc>
          <w:tcPr>
            <w:tcW w:type="dxa" w:w="238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Nhóm năng lực</w:t>
            </w:r>
          </w:p>
        </w:tc>
        <w:tc>
          <w:tcPr>
            <w:tcW w:type="dxa" w:w="1020"/>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Trọng số</w:t>
            </w:r>
          </w:p>
        </w:tc>
        <w:tc>
          <w:tcPr>
            <w:tcW w:type="dxa" w:w="56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STT</w:t>
            </w:r>
          </w:p>
        </w:tc>
        <w:tc>
          <w:tcPr>
            <w:tcW w:type="dxa" w:w="3288"/>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Tiêu chí đánh giá thành phần</w:t>
            </w:r>
          </w:p>
        </w:tc>
        <w:tc>
          <w:tcPr>
            <w:tcW w:type="dxa" w:w="124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Trọng số tiêu chí</w:t>
            </w:r>
          </w:p>
        </w:tc>
        <w:tc>
          <w:tcPr>
            <w:tcW w:type="dxa" w:w="1020"/>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Thang điểm</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I. Kết quả Công việc</w:t>
              <w:br/>
              <w:t>(Work Output)</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50%</w:t>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Hoàn thành mục tiêu OKRs / KPIs giao đầu kỳ</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Chất lượng sản phẩm, dịch vụ và mã nguồn</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30%</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Tiến độ hoàn thành và kỹ năng quản lý thời gian</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Sáng kiến cải tiến kỹ thuật và quy trình làm việc</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II. Năng lực Chuyên môn</w:t>
              <w:br/>
              <w:t>(Technical Competency)</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20%</w:t>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Kiến thức nghiệp vụ và chuyên môn kỹ thuật sâu</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6</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Năng lực giải quyết các vấn đề kỹ thuật phức tạp</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35%</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7</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Tinh thần tự học, nghiên cứu và làm chủ công nghệ</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25%</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III. Năng lực Hành vi</w:t>
              <w:br/>
              <w:t>(Behavioral Competency)</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20%</w:t>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8</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Tinh thần làm việc nhóm và phối hợp liên phòng ban</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30%</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9</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Kỹ năng giao tiếp, truyền đạt và báo cáo minh bạch</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25%</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Năng lực lãnh đạo, truyền cảm hứng và cố vấn</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25%</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11</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Tư duy sáng tạo, đổi mới và thích ứng linh hoạt</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IV. Kỷ luật &amp; Thái độ</w:t>
              <w:br/>
              <w:t>(Discipline &amp; Attitude)</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w:t>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12</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Tính chuyên cần, đúng giờ và tuân thủ nội quy lao động</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40%</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13</w:t>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Tuân thủ an toàn thông tin, bảo mật mã nguồn</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14</w:t>
            </w:r>
          </w:p>
        </w:tc>
        <w:tc>
          <w:tcPr>
            <w:tcW w:type="dxa" w:w="328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Tinh thần trách nhiệm, đạo đức nghề nghiệp</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30%</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5.0</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Tổng cộng</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100%</w:t>
            </w:r>
          </w:p>
        </w:tc>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c>
          <w:tcPr>
            <w:tcW w:type="dxa" w:w="328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14 tiêu chí chuẩn hóa toàn diện</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r>
          </w:p>
        </w:tc>
      </w:tr>
    </w:tbl>
    <w:p>
      <w:pPr>
        <w:spacing w:before="0" w:after="120"/>
      </w:pPr>
    </w:p>
    <w:p>
      <w:pPr>
        <w:spacing w:before="0" w:after="100" w:line="324" w:lineRule="auto"/>
        <w:ind w:firstLine="680"/>
        <w:jc w:val="both"/>
      </w:pPr>
      <w:r>
        <w:rPr>
          <w:rFonts w:ascii="Times New Roman" w:hAnsi="Times New Roman"/>
          <w:color w:val="0F172A"/>
          <w:sz w:val="26"/>
        </w:rPr>
        <w:t>Nhằm nâng cao tính thực tiễn và đo lường chính xác đóng góp của từng nhóm đối tượng, hệ thống NexNova HRM đã nâng cấp lên mô hình Đa Khung Tiêu Chí Đánh Giá Chuyên Biệt (Multi-Template KPI Architecture). Dịch vụ resolveTemplateForEmployee căn cứ vào Cấp bậc cán bộ (isCadre, cadreType) và Khối Phòng ban (departmentRef.code) để tự động định tuyến nhân sự vào khung đánh giá phù hợp nhất. Toàn bộ 04 bộ tiêu chí đều quy chuẩn trọng số về 100% và chuẩn hóa trên thang điểm 5.00 để phục vụ Hội đồng BOD hiệu chỉnh (Bell-curve Calibration):</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1559"/>
        <w:gridCol w:w="1559"/>
        <w:gridCol w:w="1559"/>
        <w:gridCol w:w="1559"/>
        <w:gridCol w:w="1559"/>
        <w:gridCol w:w="1559"/>
      </w:tblGrid>
      <w:tr>
        <w:trPr>
          <w:tblHeader/>
          <w:cantSplit/>
        </w:trPr>
        <w:tc>
          <w:tcPr>
            <w:tcW w:type="dxa" w:w="56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STT</w:t>
            </w:r>
          </w:p>
        </w:tc>
        <w:tc>
          <w:tcPr>
            <w:tcW w:type="dxa" w:w="2154"/>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Tên Bộ Tiêu Chí KPI</w:t>
            </w:r>
          </w:p>
        </w:tc>
        <w:tc>
          <w:tcPr>
            <w:tcW w:type="dxa" w:w="170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Đối tượng áp dụng</w:t>
            </w:r>
          </w:p>
        </w:tc>
        <w:tc>
          <w:tcPr>
            <w:tcW w:type="dxa" w:w="238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Cấu trúc 4 Nhóm năng lực &amp; Trọng số</w:t>
            </w:r>
          </w:p>
        </w:tc>
        <w:tc>
          <w:tcPr>
            <w:tcW w:type="dxa" w:w="238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Tiêu chí trọng tâm tiêu biểu</w:t>
            </w:r>
          </w:p>
        </w:tc>
        <w:tc>
          <w:tcPr>
            <w:tcW w:type="dxa" w:w="1020"/>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Quy chuẩn</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w:t>
            </w:r>
          </w:p>
        </w:tc>
        <w:tc>
          <w:tcPr>
            <w:tcW w:type="dxa" w:w="2154"/>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Khung Đánh Giá Chuẩn Toàn Công Ty</w:t>
              <w:br/>
              <w:t>(NexNova Standard KPI)</w:t>
            </w:r>
          </w:p>
        </w:tc>
        <w:tc>
          <w:tcPr>
            <w:tcW w:type="dxa" w:w="170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Áp dụng mặc định</w:t>
              <w:br/>
              <w:t>ALL / ALL</w:t>
              <w:br/>
              <w:t>(isDefault: true)</w:t>
            </w:r>
          </w:p>
        </w:tc>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 Kết quả công việc: 50%</w:t>
              <w:br/>
              <w:t>• Năng lực chuyên môn: 20%</w:t>
              <w:br/>
              <w:t>• Năng lực hành vi: 20%</w:t>
              <w:br/>
              <w:t>• Kỷ luật &amp; Thái độ: 10%</w:t>
            </w:r>
          </w:p>
        </w:tc>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Hoàn thành OKRs (40%), Chất lượng sản phẩm (30%), Tiến độ (20%), Cải tiến kỹ thuật (10%).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5.00 Điểm</w:t>
              <w:br/>
              <w:t>(Chuẩn hóa)</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w:t>
            </w:r>
          </w:p>
        </w:tc>
        <w:tc>
          <w:tcPr>
            <w:tcW w:type="dxa" w:w="2154"/>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Khung Quản Trị &amp; Lãnh Đạo</w:t>
              <w:br/>
              <w:t>(Leadership &amp; Management KPI)</w:t>
            </w:r>
          </w:p>
        </w:tc>
        <w:tc>
          <w:tcPr>
            <w:tcW w:type="dxa" w:w="170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Lãnh đạo, Trưởng/Phó phòng, Quản lý</w:t>
              <w:br/>
              <w:t>CADRE / ALL</w:t>
            </w:r>
          </w:p>
        </w:tc>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 Mục tiêu Phòng ban: 45%</w:t>
              <w:br/>
              <w:t>• Quản trị &amp; Chiến lược: 30%</w:t>
              <w:br/>
              <w:t>• Năng lực Chuyên môn: 15%</w:t>
              <w:br/>
              <w:t>• Văn hóa &amp; Quản trị: 10%</w:t>
            </w:r>
          </w:p>
        </w:tc>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Tỷ lệ hoàn thành KPI bộ phận (40%), Tiến độ dự án trọng điểm (35%), Mentoring &amp; Giữ chân nhân tài (35%), Chiến lược (35%).</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5.00 Điểm</w:t>
              <w:br/>
              <w:t>(Chuẩn hóa)</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w:t>
            </w:r>
          </w:p>
        </w:tc>
        <w:tc>
          <w:tcPr>
            <w:tcW w:type="dxa" w:w="2154"/>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Khung Kỹ Sư Phần Mềm, AI &amp; Dữ Liệu</w:t>
              <w:br/>
              <w:t>(Engineering &amp; AI KPI)</w:t>
            </w:r>
          </w:p>
        </w:tc>
        <w:tc>
          <w:tcPr>
            <w:tcW w:type="dxa" w:w="170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Kỹ sư Phần mềm, AI &amp; Dữ liệu</w:t>
              <w:br/>
              <w:t>STAFF / PB-TECH, PB-AI</w:t>
            </w:r>
          </w:p>
        </w:tc>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 Engineering Output: 50%</w:t>
              <w:br/>
              <w:t>• Technical Mastery: 25%</w:t>
              <w:br/>
              <w:t>• Phối hợp Agile: 15%</w:t>
              <w:br/>
              <w:t>• Kỷ luật &amp; DevSecOps: 10%</w:t>
            </w:r>
          </w:p>
        </w:tc>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Hoàn thành Sprint OKRs (40%), Chất lượng Code &amp; Uptime (35%), Làm chủ công nghệ lõi (45%), Code Review (50%).</w:t>
            </w:r>
          </w:p>
        </w:tc>
        <w:tc>
          <w:tcPr>
            <w:tcW w:type="dxa" w:w="1020"/>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5.00 Điểm</w:t>
              <w:br/>
              <w:t>(Chuẩn hóa)</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w:t>
            </w:r>
          </w:p>
        </w:tc>
        <w:tc>
          <w:tcPr>
            <w:tcW w:type="dxa" w:w="2154"/>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Khung Sản Phẩm &amp; Vận Hành Doanh Nghiệp</w:t>
              <w:br/>
              <w:t>(Product &amp; Operations KPI)</w:t>
            </w:r>
          </w:p>
        </w:tc>
        <w:tc>
          <w:tcPr>
            <w:tcW w:type="dxa" w:w="170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Chuyên viên Sản phẩm, HR, Tài chính</w:t>
              <w:br/>
              <w:t>STAFF / PB-PROD, PB-HR, PB-FIN</w:t>
            </w:r>
          </w:p>
        </w:tc>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 Thực thi Nghiệp vụ: 50%</w:t>
              <w:br/>
              <w:t>• Nghiệp vụ Chuyên môn: 20%</w:t>
              <w:br/>
              <w:t>• Hợp tác Liên phòng ban: 15%</w:t>
              <w:br/>
              <w:t>• Pháp chế &amp; Bảo mật: 15%</w:t>
            </w:r>
          </w:p>
        </w:tc>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Hoàn thành chỉ tiêu SLA (40%), Độ chính xác hồ sơ (35%), Am hiểu pháp lý &amp; giải quyết vấn đề (45%), Bảo mật dữ liệu (60%).</w:t>
            </w:r>
          </w:p>
        </w:tc>
        <w:tc>
          <w:tcPr>
            <w:tcW w:type="dxa" w:w="1020"/>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5.00 Điểm</w:t>
              <w:br/>
              <w:t>(Chuẩn hóa)</w:t>
            </w:r>
          </w:p>
        </w:tc>
      </w:tr>
    </w:tbl>
    <w:p>
      <w:pPr>
        <w:spacing w:before="0" w:after="120"/>
      </w:pPr>
    </w:p>
    <w:p>
      <w:pPr>
        <w:spacing w:before="0" w:after="100" w:line="324" w:lineRule="auto"/>
        <w:ind w:firstLine="680"/>
        <w:jc w:val="both"/>
      </w:pPr>
      <w:r>
        <w:rPr>
          <w:rFonts w:ascii="Times New Roman" w:hAnsi="Times New Roman"/>
          <w:color w:val="0F172A"/>
          <w:sz w:val="26"/>
        </w:rPr>
        <w:t>Để ngăn chặn tình trạng đánh giá cảm tính hoặc cào bằng, hệ thống áp dụng thuật toán hiệu chỉnh phân bổ đường cong chuẩn Bell-curve Gauss. Bảng 3.2 tổng hợp 5 mức xếp loại năng lực và tỷ lệ phân bổ chuẩn:</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1871"/>
        <w:gridCol w:w="1871"/>
        <w:gridCol w:w="1871"/>
        <w:gridCol w:w="1871"/>
        <w:gridCol w:w="1871"/>
      </w:tblGrid>
      <w:tr>
        <w:trPr>
          <w:tblHeader/>
          <w:cantSplit/>
        </w:trPr>
        <w:tc>
          <w:tcPr>
            <w:tcW w:type="dxa" w:w="170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Mức xếp loại</w:t>
            </w:r>
          </w:p>
        </w:tc>
        <w:tc>
          <w:tcPr>
            <w:tcW w:type="dxa" w:w="1984"/>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Mã xếp loại</w:t>
            </w:r>
          </w:p>
        </w:tc>
        <w:tc>
          <w:tcPr>
            <w:tcW w:type="dxa" w:w="141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Khoảng điểm tổng</w:t>
            </w:r>
          </w:p>
        </w:tc>
        <w:tc>
          <w:tcPr>
            <w:tcW w:type="dxa" w:w="1814"/>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Tỷ lệ chuẩn (Bell-curve)</w:t>
            </w:r>
          </w:p>
        </w:tc>
        <w:tc>
          <w:tcPr>
            <w:tcW w:type="dxa" w:w="255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Hướng xử lý nhân sự &amp; Đãi ngộ</w:t>
            </w:r>
          </w:p>
        </w:tc>
      </w:tr>
      <w:tr>
        <w:trPr>
          <w:cantSplit/>
        </w:trPr>
        <w:tc>
          <w:tcPr>
            <w:tcW w:type="dxa" w:w="170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Xuất sắc</w:t>
            </w:r>
          </w:p>
        </w:tc>
        <w:tc>
          <w:tcPr>
            <w:tcW w:type="dxa" w:w="1984"/>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EXCELLENT / A+</w:t>
            </w:r>
          </w:p>
        </w:tc>
        <w:tc>
          <w:tcPr>
            <w:tcW w:type="dxa" w:w="141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4.50 – 5.00</w:t>
            </w:r>
          </w:p>
        </w:tc>
        <w:tc>
          <w:tcPr>
            <w:tcW w:type="dxa" w:w="1814"/>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 – 15%</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Thưởng hiệu suất tối đa, quy hoạch cán bộ nguồn, xét tăng lương vượt bậc</w:t>
            </w:r>
          </w:p>
        </w:tc>
      </w:tr>
      <w:tr>
        <w:trPr>
          <w:cantSplit/>
        </w:trPr>
        <w:tc>
          <w:tcPr>
            <w:tcW w:type="dxa" w:w="170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Tốt</w:t>
            </w:r>
          </w:p>
        </w:tc>
        <w:tc>
          <w:tcPr>
            <w:tcW w:type="dxa" w:w="1984"/>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GOOD / A</w:t>
            </w:r>
          </w:p>
        </w:tc>
        <w:tc>
          <w:tcPr>
            <w:tcW w:type="dxa" w:w="141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3.80 – 4.49</w:t>
            </w:r>
          </w:p>
        </w:tc>
        <w:tc>
          <w:tcPr>
            <w:tcW w:type="dxa" w:w="1814"/>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25% – 30%</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Thưởng hiệu suất định kỳ, xét nâng bậc lương đúng niên hạn</w:t>
            </w:r>
          </w:p>
        </w:tc>
      </w:tr>
      <w:tr>
        <w:trPr>
          <w:cantSplit/>
        </w:trPr>
        <w:tc>
          <w:tcPr>
            <w:tcW w:type="dxa" w:w="170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Đạt yêu cầu</w:t>
            </w:r>
          </w:p>
        </w:tc>
        <w:tc>
          <w:tcPr>
            <w:tcW w:type="dxa" w:w="1984"/>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AVERAGE / B</w:t>
            </w:r>
          </w:p>
        </w:tc>
        <w:tc>
          <w:tcPr>
            <w:tcW w:type="dxa" w:w="141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3.00 – 3.79</w:t>
            </w:r>
          </w:p>
        </w:tc>
        <w:tc>
          <w:tcPr>
            <w:tcW w:type="dxa" w:w="1814"/>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40% – 50%</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Hoàn thành nhiệm vụ, duy trì mức thu nhập và vị trí hiện tại</w:t>
            </w:r>
          </w:p>
        </w:tc>
      </w:tr>
      <w:tr>
        <w:trPr>
          <w:cantSplit/>
        </w:trPr>
        <w:tc>
          <w:tcPr>
            <w:tcW w:type="dxa" w:w="170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Cần cải thiện</w:t>
            </w:r>
          </w:p>
        </w:tc>
        <w:tc>
          <w:tcPr>
            <w:tcW w:type="dxa" w:w="1984"/>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NEEDS_IMPROVEMENT / C</w:t>
            </w:r>
          </w:p>
        </w:tc>
        <w:tc>
          <w:tcPr>
            <w:tcW w:type="dxa" w:w="141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2.00 – 2.99</w:t>
            </w:r>
          </w:p>
        </w:tc>
        <w:tc>
          <w:tcPr>
            <w:tcW w:type="dxa" w:w="1814"/>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 – 10%</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Đưa vào chương trình đào tạo nâng cao (PIP), theo dõi 3 tháng</w:t>
            </w:r>
          </w:p>
        </w:tc>
      </w:tr>
      <w:tr>
        <w:trPr>
          <w:cantSplit/>
        </w:trPr>
        <w:tc>
          <w:tcPr>
            <w:tcW w:type="dxa" w:w="170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Không đạt</w:t>
            </w:r>
          </w:p>
        </w:tc>
        <w:tc>
          <w:tcPr>
            <w:tcW w:type="dxa" w:w="1984"/>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UNSATISFACTORY / D</w:t>
            </w:r>
          </w:p>
        </w:tc>
        <w:tc>
          <w:tcPr>
            <w:tcW w:type="dxa" w:w="141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&lt; 2.00</w:t>
            </w:r>
          </w:p>
        </w:tc>
        <w:tc>
          <w:tcPr>
            <w:tcW w:type="dxa" w:w="1814"/>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&lt; 5%</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Xem xét điều chuyển vị trí hoặc chấm dứt hợp đồng lao động</w:t>
            </w:r>
          </w:p>
        </w:tc>
      </w:tr>
    </w:tbl>
    <w:p>
      <w:pPr>
        <w:spacing w:line="288" w:lineRule="auto" w:after="80"/>
      </w:pPr>
      <w:r>
        <w:rPr>
          <w:rFonts w:ascii="Times New Roman" w:hAnsi="Times New Roman"/>
          <w:b/>
          <w:i w:val="0"/>
          <w:sz w:val="26"/>
        </w:rPr>
        <w:t>- Cơ chế Tự Động Đối Soát &amp; Quy Đổi Chấm Công, Nghỉ Phép &amp; Kỷ Luật Lao Động Sang Điểm KPI (Automated Attendance &amp; Discipline Integration Engine):</w:t>
      </w:r>
    </w:p>
    <w:p>
      <w:pPr>
        <w:spacing w:line="288" w:lineRule="auto" w:after="80"/>
      </w:pPr>
      <w:r>
        <w:rPr>
          <w:rFonts w:ascii="Times New Roman" w:hAnsi="Times New Roman"/>
          <w:b w:val="0"/>
          <w:i w:val="0"/>
          <w:sz w:val="26"/>
        </w:rPr>
        <w:t>Để loại bỏ triệt để tính chủ quan, cảm tính trong việc chấm điểm tiêu chí thuộc nhóm IV. Kỷ luật &amp; Thái độ (Discipline &amp; Attitude), NexNova HRM tích hợp thuật toán đối soát tự động từ các phân hệ dữ liệu lõi với quy tắc định lượng chính xác:</w:t>
      </w:r>
    </w:p>
    <w:p>
      <w:pPr>
        <w:spacing w:line="288" w:lineRule="auto" w:after="40"/>
      </w:pPr>
      <w:r>
        <w:rPr>
          <w:rFonts w:ascii="Times New Roman" w:hAnsi="Times New Roman"/>
          <w:b/>
          <w:i w:val="0"/>
          <w:sz w:val="26"/>
        </w:rPr>
        <w:t>1. Công thức toán học tính Chỉ số vi phạm chuyên cần (V):</w:t>
      </w:r>
    </w:p>
    <w:p>
      <w:pPr>
        <w:spacing w:line="288" w:lineRule="auto" w:after="40"/>
      </w:pPr>
      <w:r>
        <w:rPr>
          <w:rFonts w:ascii="Times New Roman" w:hAnsi="Times New Roman"/>
          <w:b w:val="0"/>
          <w:i/>
          <w:sz w:val="26"/>
        </w:rPr>
        <w:t>V = (N_late/early × 1.0) + (N_half_day × 0.5) + (N_unpaid_leave × 1.5)</w:t>
      </w:r>
    </w:p>
    <w:p>
      <w:pPr>
        <w:spacing w:line="288" w:lineRule="auto" w:after="80"/>
      </w:pPr>
      <w:r>
        <w:rPr>
          <w:rFonts w:ascii="Times New Roman" w:hAnsi="Times New Roman"/>
          <w:b/>
          <w:i w:val="0"/>
          <w:sz w:val="26"/>
        </w:rPr>
        <w:t xml:space="preserve">Trong đó: </w:t>
      </w:r>
      <w:r>
        <w:rPr>
          <w:rFonts w:ascii="Times New Roman" w:hAnsi="Times New Roman"/>
          <w:b w:val="0"/>
          <w:i w:val="0"/>
          <w:sz w:val="26"/>
        </w:rPr>
        <w:t>• N_late/early (lateOrEarlyCount): Số lần đi muộn (sau 08:45) hoặc về sớm (trước 17:00) trong kỳ đánh giá (hệ số vi phạm 1.0). • N_half_day (halfDayCount): Số buổi làm việc nửa ngày, thời gian thực tế dưới 4.0 giờ (hệ số vi phạm 0.5). • N_unpaid_leave (unpaidLeaveDays): Tổng số ngày nghỉ việc riêng không hưởng lương có trạng thái APPROVED trong kỳ (hệ số vi phạm 1.5).</w:t>
      </w:r>
    </w:p>
    <w:p>
      <w:pPr>
        <w:spacing w:line="288" w:lineRule="auto" w:after="40"/>
      </w:pPr>
      <w:r>
        <w:rPr>
          <w:rFonts w:ascii="Times New Roman" w:hAnsi="Times New Roman"/>
          <w:b/>
          <w:i w:val="0"/>
          <w:sz w:val="26"/>
        </w:rPr>
        <w:t>2. Thang quy đổi Điểm Chuyên cần Đề xuất (suggestedAttendanceScore trên thang 1 - 5 sao):</w:t>
      </w:r>
    </w:p>
    <w:p>
      <w:pPr>
        <w:spacing w:line="288" w:lineRule="auto" w:after="80"/>
      </w:pPr>
      <w:r>
        <w:rPr>
          <w:rFonts w:ascii="Times New Roman" w:hAnsi="Times New Roman"/>
          <w:b w:val="0"/>
          <w:i w:val="0"/>
          <w:sz w:val="26"/>
        </w:rPr>
        <w:t>• V = 0 ⟹ 5.0 sao (Chuyên cần tuyệt đối, không có vi phạm giờ giấc).</w:t>
        <w:br/>
        <w:t>• 0 &lt; V ≤ 2 ⟹ 4.0 sao (Chấp hành tốt, vi phạm rất nhẹ, tối đa 2 điểm vi phạm).</w:t>
        <w:br/>
        <w:t>• 2 &lt; V ≤ 5 ⟹ 3.0 sao (Mức độ trung bình khá, 2 &lt; V ≤ 5).</w:t>
        <w:br/>
        <w:t>• 5 &lt; V ≤ 8 ⟹ 2.0 sao (Cần chấn chỉnh giờ giấc làm việc, 5 &lt; V ≤ 8).</w:t>
        <w:br/>
        <w:t>• V &gt; 8 ⟹ 1.0 sao (Vi phạm nghiêm trọng kỷ luật giờ giấc công tác, V &gt; 8).</w:t>
      </w:r>
    </w:p>
    <w:p>
      <w:pPr>
        <w:spacing w:line="288" w:lineRule="auto" w:after="40"/>
      </w:pPr>
      <w:r>
        <w:rPr>
          <w:rFonts w:ascii="Times New Roman" w:hAnsi="Times New Roman"/>
          <w:b/>
          <w:i w:val="0"/>
          <w:sz w:val="26"/>
        </w:rPr>
        <w:t>3. Tự động sinh chuỗi minh chứng đối soát Chấm công (attendanceEvidence):</w:t>
      </w:r>
    </w:p>
    <w:p>
      <w:pPr>
        <w:spacing w:line="288" w:lineRule="auto" w:after="80"/>
      </w:pPr>
      <w:r>
        <w:rPr>
          <w:rFonts w:ascii="Times New Roman" w:hAnsi="Times New Roman"/>
          <w:b w:val="0"/>
          <w:i/>
          <w:sz w:val="26"/>
        </w:rPr>
        <w:t>Cú pháp: "[Đối soát Chấm công tự động]: Đã điểm danh ${totalCheckIns} buổi | Đi muộn/Về sớm: ${lateOrEarlyCount} lần | Nghỉ không lương: ${unpaidLeaveDays} ngày -&gt; Điểm quy đổi hệ thống: ${suggestedAttendanceScore}/5 sao."</w:t>
      </w:r>
    </w:p>
    <w:p>
      <w:pPr>
        <w:spacing w:line="288" w:lineRule="auto" w:after="40"/>
      </w:pPr>
      <w:r>
        <w:rPr>
          <w:rFonts w:ascii="Times New Roman" w:hAnsi="Times New Roman"/>
          <w:b/>
          <w:i w:val="0"/>
          <w:sz w:val="26"/>
        </w:rPr>
        <w:t>4. Cơ chế Khống chế Trần điểm Kỷ luật Lao động (suggestedDisciplineScore):</w:t>
      </w:r>
    </w:p>
    <w:p>
      <w:pPr>
        <w:spacing w:line="288" w:lineRule="auto" w:after="80"/>
      </w:pPr>
      <w:r>
        <w:rPr>
          <w:rFonts w:ascii="Times New Roman" w:hAnsi="Times New Roman"/>
          <w:b w:val="0"/>
          <w:i w:val="0"/>
          <w:sz w:val="26"/>
        </w:rPr>
        <w:t>Hệ thống tự động rà soát bảng disciplines của nhân sự trong trạng thái đang có hiệu lực (ACTIVE):</w:t>
        <w:br/>
        <w:t>• Nếu 0 quyết định vi phạm ⟹ Gợi ý trần điểm 5.0 sao. Minh chứng: "[Đối soát Kỷ luật tự động]: Chấp hành tốt nội quy, 0 vi phạm kỷ luật đang có hiệu lực."</w:t>
        <w:br/>
        <w:t>• Nếu có quyết định kỷ luật hình thức chứa "Buộc thôi việc" ⟹ Khống chế trần điểm tối đa 1.0 sao.</w:t>
        <w:br/>
        <w:t>• Nếu có quyết định kỷ luật hình thức chứa "Cảnh cáo" hoặc "Hạ bậc" ⟹ Khống chế trần điểm tối đa 2.0 sao.</w:t>
        <w:br/>
        <w:t>• Các hình thức kỷ luật khác ("Khiển trách") ⟹ Khống chế trần điểm tối đa 3.0 sao.</w:t>
        <w:br/>
        <w:t>• Chuỗi cảnh báo minh chứng: "[Cảnh báo Kỷ luật tự động]: Có ${N} quyết định kỷ luật (${Số QĐ} - ${Hình thức}: ${Lý do}) -&gt; Trần điểm tối đa: ${suggestedDisciplineScore}/5 sao."</w:t>
      </w:r>
    </w:p>
    <w:p>
      <w:pPr>
        <w:spacing w:line="288" w:lineRule="auto" w:after="40"/>
      </w:pPr>
      <w:r>
        <w:rPr>
          <w:rFonts w:ascii="Times New Roman" w:hAnsi="Times New Roman"/>
          <w:b/>
          <w:i w:val="0"/>
          <w:sz w:val="26"/>
        </w:rPr>
        <w:t>5. Cơ chế Pre-fill và Tương tác 1-Click trên Giao diện:</w:t>
      </w:r>
    </w:p>
    <w:p>
      <w:pPr>
        <w:spacing w:line="288" w:lineRule="auto" w:after="160"/>
      </w:pPr>
      <w:r>
        <w:rPr>
          <w:rFonts w:ascii="Times New Roman" w:hAnsi="Times New Roman"/>
          <w:b w:val="0"/>
          <w:i w:val="0"/>
          <w:sz w:val="26"/>
        </w:rPr>
        <w:t>• Tại Backend: Khi khởi tạo bản ghi đánh giá hoặc truy vấn review (getEmployeeReview, getReviewsByCycle), hệ thống tự động điền sẵn (pre-fill) điểm số gợi ý và nhận xét minh chứng vào các tiêu chí thuộc nhóm Kỷ luật &amp; Thái độ.</w:t>
        <w:br/>
        <w:t>• Tại Frontend: Hiển thị Banner đối soát thông minh tại nhóm tiêu chí thứ 4 ở cả Tab Tự đánh giá và Modal Chấm Điểm Đối Chiếu 2 Chiều của Quản lý, kèm nút "Áp Dụng Điểm Đối Soát Tự Động" giúp đồng bộ dữ liệu tức thì.</w:t>
      </w:r>
    </w:p>
    <w:p>
      <w:pPr>
        <w:spacing w:before="0" w:after="120"/>
      </w:pPr>
    </w:p>
    <w:p>
      <w:pPr>
        <w:keepNext/>
        <w:spacing w:before="240" w:after="80" w:line="312" w:lineRule="auto"/>
        <w:ind w:firstLine="0"/>
      </w:pPr>
      <w:r>
        <w:rPr>
          <w:rFonts w:ascii="Times New Roman" w:hAnsi="Times New Roman"/>
          <w:b/>
          <w:color w:val="0F172A"/>
          <w:sz w:val="26"/>
        </w:rPr>
        <w:t>3.7. Phân hệ Khen thưởng &amp; Kỷ luật Lao động</w:t>
      </w:r>
    </w:p>
    <w:p>
      <w:pPr>
        <w:spacing w:before="0" w:after="100" w:line="324" w:lineRule="auto"/>
        <w:ind w:firstLine="680"/>
        <w:jc w:val="both"/>
      </w:pPr>
      <w:r>
        <w:rPr>
          <w:rFonts w:ascii="Times New Roman" w:hAnsi="Times New Roman"/>
          <w:color w:val="0F172A"/>
          <w:sz w:val="26"/>
        </w:rPr>
        <w:t>Phân hệ Khen thưởng &amp; Kỷ luật (/dashboard/rewards) quản lý tính nghiêm minh và chế độ đãi ngộ danh dự trong tổ chức. Mỗi quyết định khen thưởng lưu trữ Số quyết định, Danh hiệu thi đua (Bằng khen, Giấy khen, Thưởng nóng, Chiến sĩ thi đua), Số tiền thưởng, Ngày ban hành và Lý do thành tích. Mỗi quyết định kỷ luật ghi nhận Hình thức xử lý (Khiển trách, Cảnh cáo, Hạ bậc lương, Buộc thôi việc), Số tiền phạt chế tài và Trạng thái hiệu lực (ACTIVE, EXPIRED). Dữ liệu thưởng/phạt tự động liên kết trực tiếp với bảng lương của tháng phát sinh quyết định.</w:t>
      </w:r>
    </w:p>
    <w:p>
      <w:pPr>
        <w:keepNext/>
        <w:spacing w:before="240" w:after="80" w:line="312" w:lineRule="auto"/>
        <w:ind w:firstLine="0"/>
      </w:pPr>
      <w:r>
        <w:rPr>
          <w:rFonts w:ascii="Times New Roman" w:hAnsi="Times New Roman"/>
          <w:b/>
          <w:color w:val="0F172A"/>
          <w:sz w:val="26"/>
        </w:rPr>
        <w:t>3.8. Phân hệ Thuyên chuyển &amp; Điều động Cán bộ</w:t>
      </w:r>
    </w:p>
    <w:p>
      <w:pPr>
        <w:spacing w:before="0" w:after="100" w:line="324" w:lineRule="auto"/>
        <w:ind w:firstLine="680"/>
        <w:jc w:val="both"/>
      </w:pPr>
      <w:r>
        <w:rPr>
          <w:rFonts w:ascii="Times New Roman" w:hAnsi="Times New Roman"/>
          <w:color w:val="0F172A"/>
          <w:sz w:val="26"/>
        </w:rPr>
        <w:t>Phân hệ Thuyên chuyển (/dashboard/transfers) theo dõi mọi biến động về nhân sự giữa các bộ phận trong doanh nghiệp. Khi phê duyệt quyết định điều chuyển, hệ thống áp dụng cơ chế Database Transaction (prisma.$transaction) nguyên tử: Đồng thời ghi lại bản ghi lịch sử vào bảng transfer_histories và tự động cập nhật phòng ban (department, departmentId), chức vụ (position) và mức lương mới (baseSalary) vào bản ghi EmployeeProfile của nhân viên, bảo đảm lịch sử công tác toàn vẹn 100%.</w:t>
      </w:r>
    </w:p>
    <w:p>
      <w:pPr>
        <w:keepNext/>
        <w:spacing w:before="240" w:after="80" w:line="312" w:lineRule="auto"/>
        <w:ind w:firstLine="0"/>
      </w:pPr>
      <w:r>
        <w:rPr>
          <w:rFonts w:ascii="Times New Roman" w:hAnsi="Times New Roman"/>
          <w:b/>
          <w:color w:val="0F172A"/>
          <w:sz w:val="26"/>
        </w:rPr>
        <w:t>3.9. Phân hệ Tuyển dụng Kanban Pipeline &amp; One-Click Onboarding</w:t>
      </w:r>
    </w:p>
    <w:p>
      <w:pPr>
        <w:spacing w:before="0" w:after="100" w:line="324" w:lineRule="auto"/>
        <w:ind w:firstLine="680"/>
        <w:jc w:val="both"/>
      </w:pPr>
      <w:r>
        <w:rPr>
          <w:rFonts w:ascii="Times New Roman" w:hAnsi="Times New Roman"/>
          <w:color w:val="0F172A"/>
          <w:sz w:val="26"/>
        </w:rPr>
        <w:t>Phân hệ Tuyển dụng (/dashboard/recruitment) quản lý quy trình thu hút nhân tài qua phễu Kanban 6 trạng thái: Tiếp nhận hồ sơ (APPLIED) -&gt; Phỏng vấn chuyên môn (INTERVIEWING) -&gt; Đề nghị tuyển dụng (OFFERED) -&gt; Tiếp nhận thử việc (PROBATION) -&gt; Nhân viên chính thức (HIRED) / Không phù hợp (REJECTED).</w:t>
      </w:r>
    </w:p>
    <w:p>
      <w:pPr>
        <w:spacing w:before="0" w:after="100" w:line="324" w:lineRule="auto"/>
        <w:ind w:firstLine="680"/>
        <w:jc w:val="both"/>
      </w:pPr>
      <w:r>
        <w:rPr>
          <w:rFonts w:ascii="Times New Roman" w:hAnsi="Times New Roman"/>
          <w:color w:val="0F172A"/>
          <w:sz w:val="26"/>
        </w:rPr>
        <w:t>Đặc biệt, hệ thống tích hợp tính năng Tiếp nhận Nhân sự Một Chạm (One-Click Onboarding - convertCandidateToEmployee). Chỉ với một cú nhấp chuột, hệ thống tự động thực thi Database Transaction: Tạo tài khoản User (với mật khẩu mã hóa bcrypt), tạo hồ sơ EmployeeProfile với mã cán bộ theo chuẩn, tự động sinh hợp đồng thử việc Contract (mã HĐLĐ-2026/...) và chuyển trạng thái ứng viên thành HIRED. Hệ thống cũng phát cảnh báo trước 15 ngày đối với ứng viên sắp kết thúc thời gian thử việc.</w:t>
      </w:r>
    </w:p>
    <w:p>
      <w:pPr>
        <w:keepNext/>
        <w:spacing w:before="240" w:after="80" w:line="312" w:lineRule="auto"/>
        <w:ind w:firstLine="0"/>
      </w:pPr>
      <w:r>
        <w:rPr>
          <w:rFonts w:ascii="Times New Roman" w:hAnsi="Times New Roman"/>
          <w:b/>
          <w:color w:val="0F172A"/>
          <w:sz w:val="26"/>
        </w:rPr>
        <w:t>3.10. Phân hệ Báo cáo Phân tích Nhân sự &amp; Sơ yếu Lý lịch</w:t>
      </w:r>
    </w:p>
    <w:p>
      <w:pPr>
        <w:spacing w:before="0" w:after="60" w:line="324" w:lineRule="auto"/>
        <w:ind w:firstLine="0"/>
        <w:jc w:val="both"/>
      </w:pPr>
      <w:r>
        <w:rPr>
          <w:rFonts w:ascii="Times New Roman" w:hAnsi="Times New Roman"/>
          <w:color w:val="0F172A"/>
          <w:sz w:val="26"/>
        </w:rPr>
        <w:t>Phân hệ Báo cáo (/dashboard/reports) đóng vai trò là Trung tâm Thông tin Điều hành (Executive Information Dashboard) hỗ trợ Ban Giám đốc ra quyết định chiến lược: Thống kê cơ cấu nhân khẩu học đa chiều (phòng ban, tỷ lệ ngân sách sử dụng, giới tính, trình độ học vấn). Đồng thời, hệ thống cung cấp hai thuật toán cảnh báo tự động thông minh:</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Cảnh báo Nâng bậc Lương Định kỳ: </w:t>
      </w:r>
      <w:r>
        <w:rPr>
          <w:rFonts w:ascii="Times New Roman" w:hAnsi="Times New Roman"/>
          <w:color w:val="0F172A"/>
          <w:sz w:val="26"/>
        </w:rPr>
        <w:t>Tự động quét trường lastSalaryRaise và đề xuất nâng bậc lương đối với các cán bộ có thời gian giữ bậc từ 24 tháng trở lên mà chưa được tăng lương.</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Cảnh báo Tuổi Nghỉ hưu Luật định: </w:t>
      </w:r>
      <w:r>
        <w:rPr>
          <w:rFonts w:ascii="Times New Roman" w:hAnsi="Times New Roman"/>
          <w:color w:val="0F172A"/>
          <w:sz w:val="26"/>
        </w:rPr>
        <w:t>Căn cứ Bộ luật Lao động (Nam 62 tuổi, Nữ 60 tuổi), hệ thống tự động tính tuổi từ ngày sinh dateOfBirth và cảnh báo trước &lt;= 2 năm đối với các cán bộ sắp đến tuổi nghỉ hưu (điển hình như TS. Bùi Đức Trọng, sinh năm 1964, 62 tuổi).</w:t>
      </w:r>
    </w:p>
    <w:p>
      <w:pPr>
        <w:spacing w:before="0" w:after="100" w:line="324" w:lineRule="auto"/>
        <w:ind w:firstLine="680"/>
        <w:jc w:val="both"/>
      </w:pPr>
      <w:r>
        <w:rPr>
          <w:rFonts w:ascii="Times New Roman" w:hAnsi="Times New Roman"/>
          <w:color w:val="0F172A"/>
          <w:sz w:val="26"/>
        </w:rPr>
        <w:t>Phân hệ cũng hỗ trợ trích xuất Sơ yếu lý lịch cán bộ chuẩn hóa theo mẫu 2C/TCTW của Ban Tổ chức Trung ương.</w:t>
      </w:r>
    </w:p>
    <w:p>
      <w:pPr>
        <w:keepNext/>
        <w:spacing w:before="320" w:after="120" w:line="312" w:lineRule="auto"/>
        <w:ind w:firstLine="0"/>
      </w:pPr>
      <w:r>
        <w:rPr>
          <w:rFonts w:ascii="Times New Roman" w:hAnsi="Times New Roman"/>
          <w:b/>
          <w:color w:val="1E3A5F"/>
          <w:sz w:val="28"/>
        </w:rPr>
        <w:t>PHẦN IV. KIẾN TRÚC KỸ THUẬT VÀ CƠ SỞ DỮ LIỆU HỆ THỐNG</w:t>
      </w:r>
    </w:p>
    <w:p>
      <w:pPr>
        <w:keepNext/>
        <w:spacing w:before="240" w:after="80" w:line="312" w:lineRule="auto"/>
        <w:ind w:firstLine="0"/>
      </w:pPr>
      <w:r>
        <w:rPr>
          <w:rFonts w:ascii="Times New Roman" w:hAnsi="Times New Roman"/>
          <w:b/>
          <w:color w:val="0F172A"/>
          <w:sz w:val="26"/>
        </w:rPr>
        <w:t>4.1. Sơ đồ kiến trúc tổng thể ba tầng</w:t>
      </w:r>
    </w:p>
    <w:p>
      <w:pPr>
        <w:spacing w:before="0" w:after="100" w:line="324" w:lineRule="auto"/>
        <w:ind w:firstLine="680"/>
        <w:jc w:val="both"/>
      </w:pPr>
      <w:r>
        <w:rPr>
          <w:rFonts w:ascii="Times New Roman" w:hAnsi="Times New Roman"/>
          <w:color w:val="0F172A"/>
          <w:sz w:val="26"/>
        </w:rPr>
        <w:t>Hệ thống NexNova Enterprise HRM được xây dựng theo mô hình kiến trúc 3 tầng (3-Tier Enterprise Architecture) hiện đại, phân tách rành mạch giữa Tầng Trình diễn (Presentation Layer), Tầng Xử lý Nghiệp vụ (Business Logic Application Layer) và Tầng Dữ liệu (Database Layer), bảo đảm khả năng mở rộng quy mô, an toàn bảo mật và bảo trì dễ dàng:</w:t>
      </w:r>
    </w:p>
    <w:p>
      <w:pPr>
        <w:spacing w:before="160" w:after="80"/>
        <w:jc w:val="center"/>
      </w:pPr>
      <w:r>
        <w:drawing>
          <wp:inline xmlns:a="http://schemas.openxmlformats.org/drawingml/2006/main" xmlns:pic="http://schemas.openxmlformats.org/drawingml/2006/picture">
            <wp:extent cx="5852160" cy="534086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52160" cy="5340866"/>
                    </a:xfrm>
                    <a:prstGeom prst="rect"/>
                  </pic:spPr>
                </pic:pic>
              </a:graphicData>
            </a:graphic>
          </wp:inline>
        </w:drawing>
      </w:r>
    </w:p>
    <w:p>
      <w:pPr>
        <w:spacing w:before="40" w:after="240"/>
        <w:jc w:val="center"/>
      </w:pPr>
      <w:r>
        <w:rPr>
          <w:rFonts w:ascii="Times New Roman" w:hAnsi="Times New Roman"/>
          <w:i/>
          <w:color w:val="475569"/>
          <w:sz w:val="23"/>
        </w:rPr>
        <w:t>Hình 4.1. Sơ đồ kiến trúc kỹ thuật hệ thống 3 tầng NexNova HRM</w:t>
      </w:r>
    </w:p>
    <w:p>
      <w:pPr>
        <w:keepNext/>
        <w:spacing w:before="240" w:after="80" w:line="312" w:lineRule="auto"/>
        <w:ind w:firstLine="0"/>
      </w:pPr>
      <w:r>
        <w:rPr>
          <w:rFonts w:ascii="Times New Roman" w:hAnsi="Times New Roman"/>
          <w:b/>
          <w:color w:val="0F172A"/>
          <w:sz w:val="26"/>
        </w:rPr>
        <w:t>4.2. Công nghệ và nền tảng phát triển</w:t>
      </w:r>
    </w:p>
    <w:p>
      <w:pPr>
        <w:spacing w:before="0" w:after="100" w:line="324" w:lineRule="auto"/>
        <w:ind w:firstLine="680"/>
        <w:jc w:val="both"/>
      </w:pPr>
      <w:r>
        <w:rPr>
          <w:rFonts w:ascii="Times New Roman" w:hAnsi="Times New Roman"/>
          <w:color w:val="0F172A"/>
          <w:sz w:val="26"/>
        </w:rPr>
        <w:t>Toàn bộ hệ sinh thái phần mềm NexNova HRM v2.1.0 được xây dựng trên nền tảng full-stack TypeScript đồng bộ, loại trừ triệt để lỗi không tương thích kiểu dữ liệu. Bảng 4.1 liệt kê danh mục công nghệ và thư viện cốt lõi:</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2339"/>
        <w:gridCol w:w="2339"/>
        <w:gridCol w:w="2339"/>
        <w:gridCol w:w="2339"/>
      </w:tblGrid>
      <w:tr>
        <w:trPr>
          <w:tblHeader/>
          <w:cantSplit/>
        </w:trPr>
        <w:tc>
          <w:tcPr>
            <w:tcW w:type="dxa" w:w="238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Thành phần kiến trúc</w:t>
            </w:r>
          </w:p>
        </w:tc>
        <w:tc>
          <w:tcPr>
            <w:tcW w:type="dxa" w:w="2268"/>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Công nghệ sử dụng</w:t>
            </w:r>
          </w:p>
        </w:tc>
        <w:tc>
          <w:tcPr>
            <w:tcW w:type="dxa" w:w="124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Phiên bản</w:t>
            </w:r>
          </w:p>
        </w:tc>
        <w:tc>
          <w:tcPr>
            <w:tcW w:type="dxa" w:w="3572"/>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Vai trò &amp; Đặc tính kỹ thuật</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Giao diện Web (Frontend)</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Next.js (App Router)</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14.2.5</w:t>
            </w:r>
          </w:p>
        </w:tc>
        <w:tc>
          <w:tcPr>
            <w:tcW w:type="dxa" w:w="3572"/>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Nền tảng React hiện đại, Server-Side Rendering (SSR), Client Components tối ưu hiệu năng.</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Thiết kế Giao diện</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Tailwind CSS &amp; Lucide Icons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v3 / v4</w:t>
            </w:r>
          </w:p>
        </w:tc>
        <w:tc>
          <w:tcPr>
            <w:tcW w:type="dxa" w:w="3572"/>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Thiết kế phẳng B2B SaaS, co giãn linh hoạt, phối màu chuẩn Enterprise.</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Ứng dụng Desktop Native</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Electron</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31.3.1</w:t>
            </w:r>
          </w:p>
        </w:tc>
        <w:tc>
          <w:tcPr>
            <w:tcW w:type="dxa" w:w="3572"/>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Đóng gói ứng dụng desktop Windows, tích hợp System Tray, IPC Bridge an toàn và Windows Notification.</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Dịch vụ Máy chủ (Backend)</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Node.js (LTS) &amp; Express.js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20.x / 4.19.2</w:t>
            </w:r>
          </w:p>
        </w:tc>
        <w:tc>
          <w:tcPr>
            <w:tcW w:type="dxa" w:w="3572"/>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Xây dựng RESTful API hiệu năng cao, kiến trúc Router - Controller - Service - Middleware.</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Ngôn ngữ Lập trình</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TypeScript</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5.3.3</w:t>
            </w:r>
          </w:p>
        </w:tc>
        <w:tc>
          <w:tcPr>
            <w:tcW w:type="dxa" w:w="3572"/>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Kiểm soát kiểu tĩnh nghiêm ngặt trên toàn hệ thống, loại trừ lỗi thời gian chạy.</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Xác thực Dữ liệu Đầu vào</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Zod</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3.23.8</w:t>
            </w:r>
          </w:p>
        </w:tc>
        <w:tc>
          <w:tcPr>
            <w:tcW w:type="dxa" w:w="3572"/>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Validation Middleware kiểm tra dữ liệu đầu vào cho toàn bộ API (chấm công, tạo ứng viên, đơn phép).</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Quản trị Dữ liệu (ORM)</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Prisma ORM</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5.18.0</w:t>
            </w:r>
          </w:p>
        </w:tc>
        <w:tc>
          <w:tcPr>
            <w:tcW w:type="dxa" w:w="3572"/>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Ánh xạ quan hệ (ORM), quản lý Migration, sinh Type an toàn và hỗ trợ Database Transaction.</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Cơ sở Dữ liệu Lưu trữ</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SQLite (Dev) / PostgreSQL</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3.x / 16.x</w:t>
            </w:r>
          </w:p>
        </w:tc>
        <w:tc>
          <w:tcPr>
            <w:tcW w:type="dxa" w:w="3572"/>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Cơ sở dữ liệu quan hệ ACID toàn vẹn, bảo toàn cấu trúc 18 bảng dữ liệu liên kết.</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Bảo mật &amp; Chứng thực</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JWT &amp; Bcrypt.js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9.0.2 / 2.4.3</w:t>
            </w:r>
          </w:p>
        </w:tc>
        <w:tc>
          <w:tcPr>
            <w:tcW w:type="dxa" w:w="3572"/>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Xác thực phiên đăng nhập qua JSON Web Token, mã hóa mật khẩu với salt rounds = 12.</w:t>
            </w:r>
          </w:p>
        </w:tc>
      </w:tr>
      <w:tr>
        <w:trPr>
          <w:cantSplit/>
        </w:trPr>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Kiểm thử Tự động (Testing)</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Node.js Test Runner &amp; tsx</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Native</w:t>
            </w:r>
          </w:p>
        </w:tc>
        <w:tc>
          <w:tcPr>
            <w:tcW w:type="dxa" w:w="3572"/>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Unit Tests kiểm tra nghiệp vụ lõi: Tính thuế TNCN, Tính lương lũy tiến, Onboarding.</w:t>
            </w:r>
          </w:p>
        </w:tc>
      </w:tr>
      <w:tr>
        <w:trPr>
          <w:cantSplit/>
        </w:trPr>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Xuất Bản in Báo cáo</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PDFKit</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0.15.0</w:t>
            </w:r>
          </w:p>
        </w:tc>
        <w:tc>
          <w:tcPr>
            <w:tcW w:type="dxa" w:w="3572"/>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Trích xuất phiếu lương và hồ sơ nhân sự dạng tệp PDF chuẩn trang in A4.</w:t>
            </w:r>
          </w:p>
        </w:tc>
      </w:tr>
    </w:tbl>
    <w:p>
      <w:pPr>
        <w:spacing w:before="0" w:after="120"/>
      </w:pPr>
    </w:p>
    <w:p>
      <w:pPr>
        <w:keepNext/>
        <w:spacing w:before="240" w:after="80" w:line="312" w:lineRule="auto"/>
        <w:ind w:firstLine="0"/>
      </w:pPr>
      <w:r>
        <w:rPr>
          <w:rFonts w:ascii="Times New Roman" w:hAnsi="Times New Roman"/>
          <w:b/>
          <w:color w:val="0F172A"/>
          <w:sz w:val="26"/>
        </w:rPr>
        <w:t>4.3. Mô hình cơ sở dữ liệu quan hệ (18 Bảng)</w:t>
      </w:r>
    </w:p>
    <w:p>
      <w:pPr>
        <w:spacing w:before="0" w:after="100" w:line="324" w:lineRule="auto"/>
        <w:ind w:firstLine="680"/>
        <w:jc w:val="both"/>
      </w:pPr>
      <w:r>
        <w:rPr>
          <w:rFonts w:ascii="Times New Roman" w:hAnsi="Times New Roman"/>
          <w:color w:val="0F172A"/>
          <w:sz w:val="26"/>
        </w:rPr>
        <w:t>Cơ sở dữ liệu của hệ thống NexNova HRM bao gồm chính xác 18 bảng dữ liệu quan hệ, được phân thành 04 khối chức năng: (1) Khối Quản trị Cơ sở &amp; Tổ chức: users, employee_profiles, contracts, departments; (2) Khối Quản trị Thời gian &amp; Tiền lương: attendances, leave_requests, payrolls; (3) Khối Đánh giá Hiệu suất 360 độ: performance_cycles, performance_reviews, kpi_templates, kpi_categories, kpi_criteria, review_scores; (4) Khối Đãi ngộ, Biến động &amp; Tuyển dụng: rewards, disciplines, transfer_histories, recruitment_plans, candidates. Bảng 4.2 mô tả chi tiết từng thực thể dữ liệu:</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1871"/>
        <w:gridCol w:w="1871"/>
        <w:gridCol w:w="1871"/>
        <w:gridCol w:w="1871"/>
        <w:gridCol w:w="1871"/>
      </w:tblGrid>
      <w:tr>
        <w:trPr>
          <w:tblHeader/>
          <w:cantSplit/>
        </w:trPr>
        <w:tc>
          <w:tcPr>
            <w:tcW w:type="dxa" w:w="56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STT</w:t>
            </w:r>
          </w:p>
        </w:tc>
        <w:tc>
          <w:tcPr>
            <w:tcW w:type="dxa" w:w="204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Tên bảng</w:t>
            </w:r>
          </w:p>
        </w:tc>
        <w:tc>
          <w:tcPr>
            <w:tcW w:type="dxa" w:w="124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Khóa chính (PK)</w:t>
            </w:r>
          </w:p>
        </w:tc>
        <w:tc>
          <w:tcPr>
            <w:tcW w:type="dxa" w:w="255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Khóa ngoại (FK) &amp; Liên kết thực thể</w:t>
            </w:r>
          </w:p>
        </w:tc>
        <w:tc>
          <w:tcPr>
            <w:tcW w:type="dxa" w:w="306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Mục đích lưu trữ &amp; Ý nghĩa nghiệp vụ</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users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Không có</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Tài khoản đăng nhập hệ thống (email, passwordHash, role, isActive).</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employee_profiles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userId -&gt; users(id)</w:t>
              <w:br/>
              <w:t>departmentId -&gt; departments(id)</w:t>
              <w:br/>
              <w:t>lineManagerId -&gt; employee_profiles(id)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Hồ sơ cán bộ nhân sự: CCCD, MST, BHXH, tài khoản ngân hàng, lương cơ bản, isCadre, cadreType.</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contracts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Hợp đồng lao động: Số HĐ (contractNumber), loại HĐ, thời hạn hiệu lực, salaryInsurance.</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departments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managerId -&gt; employee_profiles(id)</w:t>
              <w:br/>
              <w:t>deputyId -&gt; employee_profiles(id)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Danh mục 05 phòng ban: Mã phòng (code), tên phòng, ngân sách năm (budget), Trưởng/Phó phòng.</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5</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attendances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Chấm công hàng ngày: Ngày (date), giờ check-in/out, tổng số giờ làm, trạng thái (LATE, EARLY, HALF).</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6</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leave_requests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Đơn nghỉ phép điện tử: 05 loại phép (ANNUAL, SICK...), ngày bắt đầu/kết thúc, lý do, trạng thái.</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7</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payrolls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Bảng tính lương tháng: Ngày công chuẩn (22), ngày công thực tế, BHXH, BHYT, BHTN, thuế TNCN, Net.</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8</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performance_cycles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templateId -&gt; kpi_templates(id)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Kỳ đánh giá hiệu suất định kỳ: Tiêu đề chu kỳ, ngày bắt đầu/kết thúc, trạng thái, liên kết mẫu KPI.</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9</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performance_reviews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cycleId -&gt; performance_cycles(id)</w:t>
              <w:br/>
              <w:t>employeeId -&gt; employee_profiles(id)</w:t>
              <w:br/>
              <w:t>reviewerId -&gt; employee_profiles(id)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Phiếu đánh giá nhân sự: Điểm tự đánh giá, điểm quản lý, điểm trọng số tổng hợp, xếp loại Bell-curve.</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10</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kpi_templates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Không có</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Khung mẫu tiêu chí đánh giá hiệu suất: Tên bộ mẫu, mô tả mục đích, cờ mặc định (isDefault).</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11</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kpi_categories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templateId -&gt; kpi_templates(id)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04 Nhóm năng lực đánh giá: Tên nhóm, trọng số nhóm (weight), thứ tự sắp xếp (sortOrder).</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12</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kpi_criteria</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categoryId -&gt; kpi_categories(id)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14 Tiêu chí đánh giá thành phần: Tên tiêu chí, mô tả hướng dẫn, trọng số thành phần (weight).</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13</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review_scores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reviewId -&gt; performance_reviews(id)</w:t>
              <w:br/>
              <w:t>criteriaId -&gt; kpi_criteria(id)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Điểm số chi tiết từng tiêu chí: Điểm tự chấm (selfScore), điểm quản lý chấm (mgrScore), nhận xét.</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14</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rewards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Quyết định khen thưởng: Số quyết định (decisionNumber), danh hiệu thi đua, số tiền thưởng, lý do.</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15</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disciplines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Quyết định kỷ luật: Số quyết định, hình thức xử phạt, số tiền phạt trừ lương, ngày hiệu lực.</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16</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transfer_histories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employeeId -&gt; employee_profiles(id)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Lịch sử điều chuyển cán bộ: Số quyết định, phòng ban cũ/mới, chức vụ cũ/mới, mức lương mới.</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17</w:t>
            </w:r>
          </w:p>
        </w:tc>
        <w:tc>
          <w:tcPr>
            <w:tcW w:type="dxa" w:w="204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recruitment_plans</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departmentId -&gt; departments(id)</w:t>
            </w:r>
          </w:p>
        </w:tc>
        <w:tc>
          <w:tcPr>
            <w:tcW w:type="dxa" w:w="306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Kế hoạch tuyển dụng: Tiêu đề chiến dịch, phòng ban, vị trí công việc, số lượng, hạn nộp hồ sơ.</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18</w:t>
            </w:r>
          </w:p>
        </w:tc>
        <w:tc>
          <w:tcPr>
            <w:tcW w:type="dxa" w:w="204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candidates</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id (UUID)</w:t>
            </w:r>
          </w:p>
        </w:tc>
        <w:tc>
          <w:tcPr>
            <w:tcW w:type="dxa" w:w="255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planId -&gt; recruitment_plans(id)</w:t>
            </w:r>
          </w:p>
        </w:tc>
        <w:tc>
          <w:tcPr>
            <w:tcW w:type="dxa" w:w="306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Hồ sơ ứng viên: Họ tên, email, điện thoại, trạng thái phễu (6 bước), số tháng thử việc, liên kết Onboard.</w:t>
            </w:r>
          </w:p>
        </w:tc>
      </w:tr>
    </w:tbl>
    <w:p>
      <w:pPr>
        <w:spacing w:before="0" w:after="120"/>
      </w:pPr>
    </w:p>
    <w:p>
      <w:pPr>
        <w:keepNext/>
        <w:spacing w:before="320" w:after="120" w:line="312" w:lineRule="auto"/>
        <w:ind w:firstLine="0"/>
      </w:pPr>
      <w:r>
        <w:rPr>
          <w:rFonts w:ascii="Times New Roman" w:hAnsi="Times New Roman"/>
          <w:b/>
          <w:color w:val="1E3A5F"/>
          <w:sz w:val="28"/>
        </w:rPr>
        <w:t>PHẦN V. KẾT LUẬN VÀ PHỤ LỤC TÀI KHOẢN KIỂM THỬ</w:t>
      </w:r>
    </w:p>
    <w:p>
      <w:pPr>
        <w:keepNext/>
        <w:spacing w:before="240" w:after="80" w:line="312" w:lineRule="auto"/>
        <w:ind w:firstLine="0"/>
      </w:pPr>
      <w:r>
        <w:rPr>
          <w:rFonts w:ascii="Times New Roman" w:hAnsi="Times New Roman"/>
          <w:b/>
          <w:color w:val="0F172A"/>
          <w:sz w:val="26"/>
        </w:rPr>
        <w:t>5.1. Kết luận và định hướng phát triển</w:t>
      </w:r>
    </w:p>
    <w:p>
      <w:pPr>
        <w:spacing w:before="0" w:after="100" w:line="324" w:lineRule="auto"/>
        <w:ind w:firstLine="680"/>
        <w:jc w:val="both"/>
      </w:pPr>
      <w:r>
        <w:rPr>
          <w:rFonts w:ascii="Times New Roman" w:hAnsi="Times New Roman"/>
          <w:color w:val="0F172A"/>
          <w:sz w:val="26"/>
        </w:rPr>
        <w:t>Hệ thống Thông tin Quản lý Nguồn Nhân lực NexNova Enterprise HRM (Phiên bản 2.1.0) đã hoàn thành toàn diện các mục tiêu đề ra về nghiệp vụ, kỹ thuật và chuẩn mực quản trị doanh nghiệp: Tự động hóa hoàn toàn 10 phân hệ nghiệp vụ nhân sự, từ khâu tuyển dụng, tiếp nhận hồ sơ, quản lý hợp đồng, chấm công, tính lương, bảo hiểm, thuế TNCN cho đến đánh giá KPI 360 độ và quy hoạch cán bộ. Toàn bộ cấu trúc cơ sở dữ liệu (18 bảng dữ liệu quan hệ), các thuật toán tính lương lũy tiến, tính ngày công làm việc, phân loại cán bộ quản lý và bộ tiêu chí đánh giá năng lực đều được phản ánh chính xác 100% giữa tài liệu mô tả và mã nguồn thực thi. Hệ thống giúp doanh nghiệp tiết kiệm hơn 85% thời gian xử lý thủ tục hành chính giấy tờ, loại bỏ triệt để sai sót trong tính lương thưởng, bảo đảm an toàn dữ liệu và tạo dựng môi trường làm việc minh bạch, chuyên nghiệp.</w:t>
      </w:r>
    </w:p>
    <w:p>
      <w:pPr>
        <w:spacing w:before="0" w:after="60" w:line="324" w:lineRule="auto"/>
        <w:ind w:firstLine="0"/>
        <w:jc w:val="both"/>
      </w:pPr>
      <w:r>
        <w:rPr>
          <w:rFonts w:ascii="Times New Roman" w:hAnsi="Times New Roman"/>
          <w:color w:val="0F172A"/>
          <w:sz w:val="26"/>
        </w:rPr>
        <w:t>Về định hướng phát triển trong các giai đoạn tiếp theo, công ty dự kiến triển khai ba trọng tâm:</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Tích hợp AI Sàng lọc Hồ sơ (AI CV Screening): </w:t>
      </w:r>
      <w:r>
        <w:rPr>
          <w:rFonts w:ascii="Times New Roman" w:hAnsi="Times New Roman"/>
          <w:color w:val="0F172A"/>
          <w:sz w:val="26"/>
        </w:rPr>
        <w:t>Ứng dụng mô hình ngôn ngữ lớn (LLM) để tự động trích xuất thông tin, chấm điểm mức độ tương thích của CV ứng viên với bản mô tả công việc (Job Description).</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Phát triển Ứng dụng Di động (Mobile App): </w:t>
      </w:r>
      <w:r>
        <w:rPr>
          <w:rFonts w:ascii="Times New Roman" w:hAnsi="Times New Roman"/>
          <w:color w:val="0F172A"/>
          <w:sz w:val="26"/>
        </w:rPr>
        <w:t>Mở rộng ứng dụng trên nền tảng iOS và Android cho phép cán bộ nhân viên thực hiện chấm công định vị (GPS Geofencing), gửi đơn nghỉ phép và nhận thông báo phiếu lương tức thời.</w:t>
      </w:r>
    </w:p>
    <w:p>
      <w:pPr>
        <w:spacing w:before="40" w:after="80" w:line="312" w:lineRule="auto"/>
        <w:ind w:left="454" w:hanging="227"/>
        <w:jc w:val="both"/>
      </w:pPr>
      <w:r>
        <w:rPr>
          <w:rFonts w:ascii="Times New Roman" w:hAnsi="Times New Roman"/>
          <w:b/>
          <w:color w:val="2563EB"/>
          <w:sz w:val="26"/>
        </w:rPr>
        <w:t xml:space="preserve">•  </w:t>
      </w:r>
      <w:r>
        <w:rPr>
          <w:rFonts w:ascii="Times New Roman" w:hAnsi="Times New Roman"/>
          <w:b/>
          <w:color w:val="0F172A"/>
          <w:sz w:val="26"/>
        </w:rPr>
        <w:t xml:space="preserve">Chấm công Sinh trắc học Nhận diện Khuôn mặt (Biometric FaceID): </w:t>
      </w:r>
      <w:r>
        <w:rPr>
          <w:rFonts w:ascii="Times New Roman" w:hAnsi="Times New Roman"/>
          <w:color w:val="0F172A"/>
          <w:sz w:val="26"/>
        </w:rPr>
        <w:t>Tích hợp camera AI tại cửa văn phòng tự động nhận diện và ghi nhận chấm công mà không cần thao tác bấm nút thủ công.</w:t>
      </w:r>
    </w:p>
    <w:p>
      <w:pPr>
        <w:keepNext/>
        <w:spacing w:before="240" w:after="80" w:line="312" w:lineRule="auto"/>
        <w:ind w:firstLine="0"/>
      </w:pPr>
      <w:r>
        <w:rPr>
          <w:rFonts w:ascii="Times New Roman" w:hAnsi="Times New Roman"/>
          <w:b/>
          <w:color w:val="0F172A"/>
          <w:sz w:val="26"/>
        </w:rPr>
        <w:t>5.2. Danh mục tài khoản kiểm thử hệ thống</w:t>
      </w:r>
    </w:p>
    <w:p>
      <w:pPr>
        <w:spacing w:before="0" w:after="100" w:line="324" w:lineRule="auto"/>
        <w:ind w:firstLine="680"/>
        <w:jc w:val="both"/>
      </w:pPr>
      <w:r>
        <w:rPr>
          <w:rFonts w:ascii="Times New Roman" w:hAnsi="Times New Roman"/>
          <w:color w:val="0F172A"/>
          <w:sz w:val="26"/>
        </w:rPr>
        <w:t>Nhằm phục vụ công tác nghiệm thu, đánh giá và kiểm thử chức năng của hệ thống NexNova HRM v2.1.0, cơ sở dữ liệu đã được gieo mầm (Seeding) sẵn danh mục các tài khoản người dùng đại diện cho các vai trò và phòng ban chức năng khác nhau:</w:t>
      </w:r>
    </w:p>
    <w:tbl>
      <w:tblPr>
        <w:tblW w:type="auto" w:w="0"/>
        <w:jc w:val="center"/>
        <w:tblLook w:firstColumn="1" w:firstRow="1" w:lastColumn="0" w:lastRow="0" w:noHBand="0" w:noVBand="1" w:val="04A0"/>
        <w:tblBorders>
          <w:top w:val="single" w:sz="6" w:space="0" w:color="94A3B8"/>
          <w:left w:val="single" w:sz="4" w:space="0" w:color="CBD5E1"/>
          <w:bottom w:val="single" w:sz="8" w:space="0" w:color="64748B"/>
          <w:right w:val="single" w:sz="4" w:space="0" w:color="CBD5E1"/>
          <w:insideH w:val="single" w:sz="4" w:space="0" w:color="E2E8F0"/>
          <w:insideV w:val="single" w:sz="4" w:space="0" w:color="E2E8F0"/>
        </w:tblBorders>
      </w:tblPr>
      <w:tblGrid>
        <w:gridCol w:w="1559"/>
        <w:gridCol w:w="1559"/>
        <w:gridCol w:w="1559"/>
        <w:gridCol w:w="1559"/>
        <w:gridCol w:w="1559"/>
        <w:gridCol w:w="1559"/>
      </w:tblGrid>
      <w:tr>
        <w:trPr>
          <w:tblHeader/>
          <w:cantSplit/>
        </w:trPr>
        <w:tc>
          <w:tcPr>
            <w:tcW w:type="dxa" w:w="56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STT</w:t>
            </w:r>
          </w:p>
        </w:tc>
        <w:tc>
          <w:tcPr>
            <w:tcW w:type="dxa" w:w="2381"/>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Tài khoản đăng nhập (Email)</w:t>
            </w:r>
          </w:p>
        </w:tc>
        <w:tc>
          <w:tcPr>
            <w:tcW w:type="dxa" w:w="124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Mật khẩu</w:t>
            </w:r>
          </w:p>
        </w:tc>
        <w:tc>
          <w:tcPr>
            <w:tcW w:type="dxa" w:w="158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Vai trò hệ thống</w:t>
            </w:r>
          </w:p>
        </w:tc>
        <w:tc>
          <w:tcPr>
            <w:tcW w:type="dxa" w:w="2268"/>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Cán bộ đảm nhiệm &amp; Chức vụ</w:t>
            </w:r>
          </w:p>
        </w:tc>
        <w:tc>
          <w:tcPr>
            <w:tcW w:type="dxa" w:w="1417"/>
            <w:shd w:fill="F1F5F9"/>
            <w:tcMar>
              <w:top w:w="120" w:type="dxa"/>
              <w:bottom w:w="120" w:type="dxa"/>
              <w:left w:w="130" w:type="dxa"/>
              <w:right w:w="130" w:type="dxa"/>
            </w:tcMar>
          </w:tcPr>
          <w:p>
            <w:pPr>
              <w:spacing w:before="60" w:after="60" w:line="276" w:lineRule="auto"/>
              <w:jc w:val="center"/>
            </w:pPr>
            <w:r>
              <w:rPr>
                <w:rFonts w:ascii="Times New Roman" w:hAnsi="Times New Roman"/>
                <w:b/>
                <w:color w:val="0F172A"/>
                <w:sz w:val="23"/>
              </w:rPr>
              <w:t>Phòng ban trực thuộc</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1</w:t>
            </w:r>
          </w:p>
        </w:tc>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admin@nexnova.tech</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Admin@123</w:t>
            </w:r>
          </w:p>
        </w:tc>
        <w:tc>
          <w:tcPr>
            <w:tcW w:type="dxa" w:w="158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ADMIN</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Ông Trần Quang Huy (NN-ADM-001)</w:t>
              <w:br/>
              <w:t>Tổng Giám đốc kiêm Trưởng phòng Kỹ thuật</w:t>
            </w:r>
          </w:p>
        </w:tc>
        <w:tc>
          <w:tcPr>
            <w:tcW w:type="dxa" w:w="1417"/>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PB-TECH</w:t>
              <w:br/>
              <w:t>Software Engineering</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2</w:t>
            </w:r>
          </w:p>
        </w:tc>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hr@nexnova.tech</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HR@123</w:t>
            </w:r>
          </w:p>
        </w:tc>
        <w:tc>
          <w:tcPr>
            <w:tcW w:type="dxa" w:w="158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HR_MANAGER</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ThS. Nguyễn Thu Hà (NN-HR-002)</w:t>
              <w:br/>
              <w:t>Giám đốc Nhân sự (Director)</w:t>
            </w:r>
          </w:p>
        </w:tc>
        <w:tc>
          <w:tcPr>
            <w:tcW w:type="dxa" w:w="1417"/>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PB-HR</w:t>
              <w:br/>
              <w:t>People &amp; Culture</w:t>
            </w:r>
          </w:p>
        </w:tc>
      </w:tr>
      <w:tr>
        <w:trPr>
          <w:cantSplit/>
        </w:trPr>
        <w:tc>
          <w:tcPr>
            <w:tcW w:type="dxa" w:w="56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3</w:t>
            </w:r>
          </w:p>
        </w:tc>
        <w:tc>
          <w:tcPr>
            <w:tcW w:type="dxa" w:w="2381"/>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employee@nexnova.tech</w:t>
            </w:r>
          </w:p>
        </w:tc>
        <w:tc>
          <w:tcPr>
            <w:tcW w:type="dxa" w:w="124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Emp@123</w:t>
            </w:r>
          </w:p>
        </w:tc>
        <w:tc>
          <w:tcPr>
            <w:tcW w:type="dxa" w:w="1587"/>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EMPLOYEE</w:t>
            </w:r>
          </w:p>
        </w:tc>
        <w:tc>
          <w:tcPr>
            <w:tcW w:type="dxa" w:w="2268"/>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Kỹ sư Lê Hoàng Nam (NN-ENG-003)</w:t>
              <w:br/>
              <w:t>Kỹ sư Phần mềm Cao cấp</w:t>
            </w:r>
          </w:p>
        </w:tc>
        <w:tc>
          <w:tcPr>
            <w:tcW w:type="dxa" w:w="1417"/>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PB-TECH</w:t>
              <w:br/>
              <w:t>Software Engineering</w:t>
            </w:r>
          </w:p>
        </w:tc>
      </w:tr>
      <w:tr>
        <w:trPr>
          <w:cantSplit/>
        </w:trPr>
        <w:tc>
          <w:tcPr>
            <w:tcW w:type="dxa" w:w="56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4</w:t>
            </w:r>
          </w:p>
        </w:tc>
        <w:tc>
          <w:tcPr>
            <w:tcW w:type="dxa" w:w="2381"/>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data.ai@nexnova.tech</w:t>
            </w:r>
          </w:p>
        </w:tc>
        <w:tc>
          <w:tcPr>
            <w:tcW w:type="dxa" w:w="124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Emp@123</w:t>
            </w:r>
          </w:p>
        </w:tc>
        <w:tc>
          <w:tcPr>
            <w:tcW w:type="dxa" w:w="1587"/>
            <w:shd w:fill="F8FAFC"/>
            <w:tcMar>
              <w:top w:w="100" w:type="dxa"/>
              <w:bottom w:w="100" w:type="dxa"/>
              <w:left w:w="130" w:type="dxa"/>
              <w:right w:w="130" w:type="dxa"/>
            </w:tcMar>
          </w:tcPr>
          <w:p>
            <w:pPr>
              <w:spacing w:before="40" w:after="40" w:line="276" w:lineRule="auto"/>
              <w:jc w:val="center"/>
            </w:pPr>
            <w:r>
              <w:rPr>
                <w:rFonts w:ascii="Times New Roman" w:hAnsi="Times New Roman"/>
                <w:color w:val="0F172A"/>
                <w:sz w:val="23"/>
              </w:rPr>
              <w:t>EMPLOYEE</w:t>
            </w:r>
          </w:p>
        </w:tc>
        <w:tc>
          <w:tcPr>
            <w:tcW w:type="dxa" w:w="2268"/>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TS. Đặng Minh Tuấn (NN-AI-004)</w:t>
              <w:br/>
              <w:t>Trưởng nhóm Nghiên cứu AI</w:t>
            </w:r>
          </w:p>
        </w:tc>
        <w:tc>
          <w:tcPr>
            <w:tcW w:type="dxa" w:w="1417"/>
            <w:shd w:fill="F8FAFC"/>
            <w:tcMar>
              <w:top w:w="100" w:type="dxa"/>
              <w:bottom w:w="100" w:type="dxa"/>
              <w:left w:w="130" w:type="dxa"/>
              <w:right w:w="130" w:type="dxa"/>
            </w:tcMar>
          </w:tcPr>
          <w:p>
            <w:pPr>
              <w:spacing w:before="40" w:after="40" w:line="276" w:lineRule="auto"/>
              <w:jc w:val="left"/>
            </w:pPr>
            <w:r>
              <w:rPr>
                <w:rFonts w:ascii="Times New Roman" w:hAnsi="Times New Roman"/>
                <w:color w:val="0F172A"/>
                <w:sz w:val="23"/>
              </w:rPr>
              <w:t>PB-AI</w:t>
              <w:br/>
              <w:t>AI &amp; Data Intelligence</w:t>
            </w:r>
          </w:p>
        </w:tc>
      </w:tr>
    </w:tbl>
    <w:p>
      <w:pPr>
        <w:spacing w:before="0" w:after="120"/>
      </w:pPr>
    </w:p>
    <w:p>
      <w:pPr>
        <w:spacing w:before="320" w:after="40"/>
        <w:jc w:val="right"/>
      </w:pPr>
      <w:r>
        <w:rPr>
          <w:rFonts w:ascii="Times New Roman" w:hAnsi="Times New Roman"/>
          <w:i/>
          <w:sz w:val="24"/>
        </w:rPr>
        <w:t>Hà Nội, ngày 19 tháng 10 năm 2026</w:t>
      </w:r>
    </w:p>
    <w:p>
      <w:pPr>
        <w:spacing w:before="40" w:after="40"/>
        <w:jc w:val="right"/>
      </w:pPr>
      <w:r>
        <w:rPr>
          <w:rFonts w:ascii="Times New Roman" w:hAnsi="Times New Roman"/>
          <w:b/>
          <w:sz w:val="24"/>
        </w:rPr>
        <w:t>Phòng Kỹ thuật Phần mềm &amp; Phòng Tổ chức Nhân sự</w:t>
        <w:br/>
      </w:r>
      <w:r>
        <w:rPr>
          <w:rFonts w:ascii="Times New Roman" w:hAnsi="Times New Roman"/>
          <w:b/>
          <w:color w:val="1E3A5F"/>
          <w:sz w:val="24"/>
        </w:rPr>
        <w:t>Công ty Cổ phần Công nghệ NexNova – Tháng 10/2026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