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基金分红与红利再投资</w:t>
      </w:r>
    </w:p>
    <w:p>
      <w:pPr>
        <w:pStyle w:val="Heading1"/>
      </w:pPr>
      <w:r>
        <w:t>基金分红与红利再投资</w:t>
      </w:r>
    </w:p>
    <w:p>
      <w:pPr>
        <w:pStyle w:val="Heading2"/>
      </w:pPr>
      <w:r>
        <w:t>什么是基金分红</w:t>
      </w:r>
    </w:p>
    <w:p>
      <w:r>
        <w:t>基金分红是基金把已实现收益的一部分以现金形式返还给持有人。需要注意的是，分红并不是额外的收益，分红后基金净值会相应下降，持有人总资产不变。</w:t>
      </w:r>
    </w:p>
    <w:p>
      <w:pPr>
        <w:pStyle w:val="Heading2"/>
      </w:pPr>
      <w:r>
        <w:t>两种分红方式</w:t>
      </w:r>
    </w:p>
    <w:p>
      <w:pPr>
        <w:pStyle w:val="ListBullet"/>
      </w:pPr>
      <w:r>
        <w:t>现金分红：把分红的钱直接打到账户，落袋为安。</w:t>
      </w:r>
    </w:p>
    <w:p>
      <w:pPr>
        <w:pStyle w:val="ListBullet"/>
      </w:pPr>
      <w:r>
        <w:t>红利再投资：把分红的钱按除息日净值自动买入更多份额，继续复利滚存。</w:t>
      </w:r>
    </w:p>
    <w:p>
      <w:pPr>
        <w:pStyle w:val="Heading2"/>
      </w:pPr>
      <w:r>
        <w:t>两种方式如何选</w:t>
      </w:r>
    </w:p>
    <w:p>
      <w:r>
        <w:t>1. 需要现金流的投资者适合现金分红。</w:t>
      </w:r>
    </w:p>
    <w:p>
      <w:r>
        <w:t>2. 长期投资、希望复利增长的投资者适合红利再投资，红利再投资通常还免申购费。</w:t>
      </w:r>
    </w:p>
    <w:p>
      <w:r>
        <w:t>3. 默认情况下多数基金默认现金分红，可在购买后修改分红方式。</w:t>
      </w:r>
    </w:p>
    <w:p>
      <w:pPr>
        <w:pStyle w:val="Heading2"/>
      </w:pPr>
      <w:r>
        <w:t>分红的条件与频率</w:t>
      </w:r>
    </w:p>
    <w:p>
      <w:r>
        <w:t>基金只有在有可分配收益且满足合同约定时才能分红。分红频率不固定，有的基金每年分红，有的不定期，具体看基金合同和收益情况。</w:t>
      </w:r>
    </w:p>
    <w:p>
      <w:pPr>
        <w:pStyle w:val="Heading2"/>
      </w:pPr>
      <w:r>
        <w:t>分红的税收</w:t>
      </w:r>
    </w:p>
    <w:p>
      <w:r>
        <w:t>对个人投资者，基金分红通常免征个人所得税，红利再投资也不征税，这是分红方式的一个税收优势。</w:t>
      </w:r>
    </w:p>
    <w:p>
      <w:pPr>
        <w:pStyle w:val="Heading2"/>
      </w:pPr>
      <w:r>
        <w:t>常见误区</w:t>
      </w:r>
    </w:p>
    <w:p>
      <w:r>
        <w:t>不要误以为分红等于赚钱，分红前后总资产没有变化。判断基金好坏应看长期净值增长和累计收益，而不是分红多少。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