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基金风险等级与投资者适当性</w:t>
      </w:r>
    </w:p>
    <w:p>
      <w:pPr>
        <w:pStyle w:val="Heading1"/>
      </w:pPr>
      <w:r>
        <w:t>基金风险等级与投资者适当性</w:t>
      </w:r>
    </w:p>
    <w:p>
      <w:pPr>
        <w:pStyle w:val="Heading2"/>
      </w:pPr>
      <w:r>
        <w:t>基金风险等级 R1 到 R5</w:t>
      </w:r>
    </w:p>
    <w:p>
      <w:r>
        <w:t>基金按风险从低到高分为五个等级：</w:t>
      </w:r>
    </w:p>
    <w:p>
      <w:pPr>
        <w:pStyle w:val="ListBullet"/>
      </w:pPr>
      <w:r>
        <w:t>R1 低风险：货币基金等，本金安全性高。</w:t>
      </w:r>
    </w:p>
    <w:p>
      <w:pPr>
        <w:pStyle w:val="ListBullet"/>
      </w:pPr>
      <w:r>
        <w:t>R2 中低风险：短债基金、债券基金，波动较小。</w:t>
      </w:r>
    </w:p>
    <w:p>
      <w:pPr>
        <w:pStyle w:val="ListBullet"/>
      </w:pPr>
      <w:r>
        <w:t>R3 中风险：偏债混合、部分混合基金，有一定波动。</w:t>
      </w:r>
    </w:p>
    <w:p>
      <w:pPr>
        <w:pStyle w:val="ListBullet"/>
      </w:pPr>
      <w:r>
        <w:t>R4 中高风险：偏股混合、股票型基金，波动较大。</w:t>
      </w:r>
    </w:p>
    <w:p>
      <w:pPr>
        <w:pStyle w:val="ListBullet"/>
      </w:pPr>
      <w:r>
        <w:t>R5 高风险：商品基金、杠杆类基金，波动剧烈。</w:t>
      </w:r>
    </w:p>
    <w:p>
      <w:pPr>
        <w:pStyle w:val="Heading2"/>
      </w:pPr>
      <w:r>
        <w:t>投资者风险承受能力 C1 到 C5</w:t>
      </w:r>
    </w:p>
    <w:p>
      <w:r>
        <w:t>投资者完成风险测评后会被划分为 C1 到 C5 五个等级，C1 最保守，C5 最激进。等级越高，能承受的波动和亏损越大。</w:t>
      </w:r>
    </w:p>
    <w:p>
      <w:pPr>
        <w:pStyle w:val="Heading2"/>
      </w:pPr>
      <w:r>
        <w:t>适当性匹配原则</w:t>
      </w:r>
    </w:p>
    <w:p>
      <w:r>
        <w:t>投资者购买的基金风险等级不得超过自身风险承受能力等级。例如 C3 的投资者可买 R1 到 R3 的基金，但不能买 R4、R5 的高风险产品。</w:t>
      </w:r>
    </w:p>
    <w:p>
      <w:pPr>
        <w:pStyle w:val="Heading2"/>
      </w:pPr>
      <w:r>
        <w:t>为什么要做适当性管理</w:t>
      </w:r>
    </w:p>
    <w:p>
      <w:r>
        <w:t>适当性管理是为了把合适的产品卖给合适的人，避免风险承受能力低的投资者误买高风险产品后承受难以接受的亏损，从而做出错误的止损决策。</w:t>
      </w:r>
    </w:p>
    <w:p>
      <w:pPr>
        <w:pStyle w:val="Heading2"/>
      </w:pPr>
      <w:r>
        <w:t>投资者该怎么做</w:t>
      </w:r>
    </w:p>
    <w:p>
      <w:r>
        <w:t>1. 如实完成风险测评，不要为了买高收益产品而虚报承受能力。</w:t>
      </w:r>
    </w:p>
    <w:p>
      <w:r>
        <w:t>2. 根据自身年龄、收入、投资期限动态调整风险承受能力。</w:t>
      </w:r>
    </w:p>
    <w:p>
      <w:r>
        <w:t>3. 选择与自身承受能力匹配的基金，风险与收益成正比，不要只看收益。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