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黄金投资指南</w:t>
      </w:r>
    </w:p>
    <w:p>
      <w:pPr>
        <w:pStyle w:val="Heading1"/>
      </w:pPr>
      <w:r>
        <w:t>黄金投资指南</w:t>
      </w:r>
    </w:p>
    <w:p>
      <w:pPr>
        <w:pStyle w:val="Heading2"/>
      </w:pPr>
      <w:r>
        <w:t>黄金的角色</w:t>
      </w:r>
    </w:p>
    <w:p>
      <w:r>
        <w:t>黄金具有避险和抗通胀属性，在经济不确定、通胀上行或地缘风险上升时往往表现较好。但黄金本身不产生利息和现金流，长期收益主要来自价格变化。</w:t>
      </w:r>
    </w:p>
    <w:p>
      <w:pPr>
        <w:pStyle w:val="Heading2"/>
      </w:pPr>
      <w:r>
        <w:t>主要投资方式</w:t>
      </w:r>
    </w:p>
    <w:p>
      <w:r>
        <w:t>1. 实物黄金：金条、金币等，适合长期持有，但有保管和变现成本。</w:t>
      </w:r>
    </w:p>
    <w:p>
      <w:r>
        <w:t>2. 黄金 ETF：在证券交易所买卖，跟踪金价，流动性好、费率低。</w:t>
      </w:r>
    </w:p>
    <w:p>
      <w:r>
        <w:t>3. 黄金基金：场外申购，间接投资黄金资产，适合定投。</w:t>
      </w:r>
    </w:p>
    <w:p>
      <w:r>
        <w:t>4. 纸黄金：银行账户记账式黄金，不涉及实物交割。</w:t>
      </w:r>
    </w:p>
    <w:p>
      <w:r>
        <w:t>5. 积存金：定期定额买入黄金，类似定投黄金。</w:t>
      </w:r>
    </w:p>
    <w:p>
      <w:pPr>
        <w:pStyle w:val="Heading2"/>
      </w:pPr>
      <w:r>
        <w:t>各方式对比</w:t>
      </w:r>
    </w:p>
    <w:p>
      <w:pPr>
        <w:pStyle w:val="ListBullet"/>
      </w:pPr>
      <w:r>
        <w:t>门槛：黄金 ETF 和积存金门槛较低，实物金条门槛较高。</w:t>
      </w:r>
    </w:p>
    <w:p>
      <w:pPr>
        <w:pStyle w:val="ListBullet"/>
      </w:pPr>
      <w:r>
        <w:t>流动性：黄金 ETF 和纸黄金流动性最好，实物黄金变现较慢。</w:t>
      </w:r>
    </w:p>
    <w:p>
      <w:pPr>
        <w:pStyle w:val="ListBullet"/>
      </w:pPr>
      <w:r>
        <w:t>手续费：黄金 ETF 交易费率低，实物黄金有买卖价差和保管费。</w:t>
      </w:r>
    </w:p>
    <w:p>
      <w:pPr>
        <w:pStyle w:val="Heading2"/>
      </w:pPr>
      <w:r>
        <w:t>影响金价的因素</w:t>
      </w:r>
    </w:p>
    <w:p>
      <w:r>
        <w:t>1. 美元走势：黄金以美元计价，美元走弱通常利好金价。</w:t>
      </w:r>
    </w:p>
    <w:p>
      <w:r>
        <w:t>2. 实际利率：实际利率下降，持有黄金的机会成本降低，利好金价。</w:t>
      </w:r>
    </w:p>
    <w:p>
      <w:r>
        <w:t>3. 避险情绪：地缘冲突、金融危机时避险资金流入黄金。</w:t>
      </w:r>
    </w:p>
    <w:p>
      <w:r>
        <w:t>4. 通胀预期：通胀上行时黄金作为保值资产受青睐。</w:t>
      </w:r>
    </w:p>
    <w:p>
      <w:pPr>
        <w:pStyle w:val="Heading2"/>
      </w:pPr>
      <w:r>
        <w:t>配置比例建议</w:t>
      </w:r>
    </w:p>
    <w:p>
      <w:r>
        <w:t>黄金适合作为资产配置的一部分，通常建议占总资产的 5% 到 10%，用于分散风险和对冲极端行情，不宜重仓。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