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/>
        <w:jc w:val="center"/>
      </w:pPr>
      <w:r>
        <w:t xml:space="preserve">Summit Bank Corporate Website</w:t>
      </w:r>
    </w:p>
    <w:p>
      <w:pPr>
        <w:pStyle w:val="Heading1"/>
        <w:spacing w:after="120"/>
        <w:jc w:val="center"/>
      </w:pPr>
      <w:r>
        <w:t xml:space="preserve">Technical Overview</w:t>
      </w:r>
    </w:p>
    <w:p>
      <w:pPr>
        <w:spacing w:after="400"/>
        <w:jc w:val="center"/>
      </w:pPr>
      <w:r>
        <w:t xml:space="preserve">Version: 0.1.0 | Generated: 2026-05-05T09:28:06.777Z</w:t>
      </w:r>
    </w:p>
    <w:p>
      <w:pPr>
        <w:pStyle w:val="Heading1"/>
        <w:spacing w:after="120" w:before="200"/>
      </w:pPr>
      <w:r>
        <w:t xml:space="preserve">1. Executive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Public-facing corporate website built on Next.js App Router with React and TypeScript.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Combines marketing/content pages with self-service workflows for banking customers.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Server-side API routes proxy and validate requests before forwarding to Products APIs.</w:t>
      </w:r>
    </w:p>
    <w:p>
      <w:pPr>
        <w:pStyle w:val="Heading1"/>
        <w:spacing w:after="120" w:before="200"/>
      </w:pPr>
      <w:r>
        <w:t xml:space="preserve">2. Technology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Framework: Next.js 16.1.1 with App Router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Language: TypeScript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UI: Tailwind CSS, Radix UI, custom component library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UX: framer-motion, embla carousel, react-modal, react-hot-toast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Media: Cloudinary integration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Content parsing: js-yaml for gallery metadata</w:t>
      </w:r>
    </w:p>
    <w:p>
      <w:pPr>
        <w:pStyle w:val="Heading1"/>
        <w:spacing w:after="120" w:before="200"/>
      </w:pPr>
      <w:r>
        <w:t xml:space="preserve">3. Project Structure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src/app            # Page routes and API routes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src/app/api        # Proxy handlers to upstream services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src/components     # Reusable UI and feature components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src/lib            # Utilities (oauth2, hardwarePinApi, helpers)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public             # Static assets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gallery.yml        # Gallery content source</w:t>
      </w:r>
    </w:p>
    <w:p>
      <w:pPr>
        <w:pStyle w:val="Heading1"/>
        <w:spacing w:after="120" w:before="200"/>
      </w:pPr>
      <w:r>
        <w:t xml:space="preserve">4. Application Routes</w:t>
      </w:r>
    </w:p>
    <w:p>
      <w:r>
        <w:t xml:space="preserve">Total major page routes discovered: 51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/about-us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/management-team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/branches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/atms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/careers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/careers/internships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/careers/career-opportunities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/faq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/privacy-policy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/contact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/personal-current-account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/personal-savings-account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/personal-summit-mtd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/personal-summit-cost-plus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/personal-summit-lease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/personal-summit-sukuk-investments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/personal-customized-investment-plan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/business-corporate-account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/business-summit-mtd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/business-summit-cost-plus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/business-summit-lease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/business-summit-sukuk-investments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/business-customized-investment-plan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/corporate-account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/corporate-summit-mtd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/corporate-summit-cost-plus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/corporate-summit-lease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/corporate-summit-sukuk-investments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/corporate-customized-investment-plan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/deposit-products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/financing-products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/treasury-and-investment-products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/digital-and-alternative-banking-solutions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/takaful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/saving-account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/open-account/current-account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/open-account/mudarabah/learn-more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/open-account/mudarabah/tier1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/open-account/mudarabah/tier2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/open-account/mudarabah/tier3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/forms/request-etoken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/activate-card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/reset-pin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/create-hardware-pin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/summitblog/press-release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/summitblog/press-release/[slug]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/gallery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/gallery/[folder]</w:t>
      </w:r>
    </w:p>
    <w:p>
      <w:pPr>
        <w:pStyle w:val="Heading1"/>
        <w:spacing w:after="120" w:before="200"/>
      </w:pPr>
      <w:r>
        <w:t xml:space="preserve">5. Feature Modules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MTD application wizard with account verification, rate calculation, and signature capture.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Card activation and reset PIN workflows with token verification.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eToken request journey: generate, validate, fetch customer details, submit.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Hardware PIN flow: send OTP, validate OTP, create hardware PIN.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Contact module handling enquiries, complaints, and dispense-error workflows.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Gallery module backed by YAML content and Cloudinary-hosted media.</w:t>
      </w:r>
    </w:p>
    <w:p>
      <w:pPr>
        <w:pStyle w:val="Heading1"/>
        <w:spacing w:after="120" w:before="200"/>
      </w:pPr>
      <w:r>
        <w:t xml:space="preserve">6. Integration Architecture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Browser/UI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  -&gt; Next.js API routes (/api/...)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      -&gt; Products API (https://products.summitbankng.com/...)</w:t>
      </w:r>
    </w:p>
    <w:p>
      <w:pPr>
        <w:spacing w:after="120" w:before="120"/>
      </w:pPr>
      <w:r>
        <w:t xml:space="preserve">Products API Endpoints (method, URL, request body):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Method</w:t>
            </w:r>
          </w:p>
        </w:tc>
        <w:tc>
          <w:p>
            <w:r>
              <w:rPr>
                <w:b/>
                <w:bCs/>
              </w:rPr>
              <w:t xml:space="preserve">URL</w:t>
            </w:r>
          </w:p>
        </w:tc>
        <w:tc>
          <w:p>
            <w:r>
              <w:rPr>
                <w:b/>
                <w:bCs/>
              </w:rPr>
              <w:t xml:space="preserve">Request Body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https://products.summitbankng.com/mtd/request-token-bvn</w:t>
            </w:r>
          </w:p>
        </w:tc>
        <w:tc>
          <w:p>
            <w:r>
              <w:t xml:space="preserve">{ "accountNumber": "string", "bvn": "string" }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https://products.summitbankng.com/mtd/card-activation</w:t>
            </w:r>
          </w:p>
        </w:tc>
        <w:tc>
          <w:p>
            <w:r>
              <w:t xml:space="preserve">{ "accountNumber": "string", "token": "string", "cardNumber": "string", "pin": "string" }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https://products.summitbankng.com/mtd/card-reset-pin</w:t>
            </w:r>
          </w:p>
        </w:tc>
        <w:tc>
          <w:p>
            <w:r>
              <w:t xml:space="preserve">{ "accountNumber": "string", "token": "string", "cardNumber": "string", "pin": "string" }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https://products.summitbankng.com/mtd/mtd/verify</w:t>
            </w:r>
          </w:p>
        </w:tc>
        <w:tc>
          <w:p>
            <w:r>
              <w:t xml:space="preserve">{ "accountNumber": "string", "bvn": "string" }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https://products.summitbankng.com/mtd/mtd/verify-corporate</w:t>
            </w:r>
          </w:p>
        </w:tc>
        <w:tc>
          <w:p>
            <w:r>
              <w:t xml:space="preserve">{ "accountNumber": "string", "tin": "string" }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https://products.summitbankng.com/mtd/mtd/rates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https://products.summitbankng.com/mtd/mtd/rates/calculate?amount={amount}&amp;tenor={tenor}&amp;effectiveDate={effectiveDate}</w:t>
            </w:r>
          </w:p>
        </w:tc>
        <w:tc>
          <w:p>
            <w:r>
              <w:t xml:space="preserve">None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https://products.summitbankng.com/mtd/mtd/application</w:t>
            </w:r>
          </w:p>
        </w:tc>
        <w:tc>
          <w:p>
            <w:r>
              <w:t xml:space="preserve">{ accountNumber, bvn, accountType, investmentAmount, effectiveDate, tenor, expectedProfitRate, maturityInstruction, specialRate, staffId, staffEmail, customerSignature, customerData }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https://products.summitbankng.com/mtd/etoken/generate-token</w:t>
            </w:r>
          </w:p>
        </w:tc>
        <w:tc>
          <w:p>
            <w:r>
              <w:t xml:space="preserve">{ "customer_id": "string" }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https://products.summitbankng.com/mtd/etoken/validate-token</w:t>
            </w:r>
          </w:p>
        </w:tc>
        <w:tc>
          <w:p>
            <w:r>
              <w:t xml:space="preserve">{ "customer_id": "string", "token": "string" }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https://products.summitbankng.com/mtd/etoken/customer-details</w:t>
            </w:r>
          </w:p>
        </w:tc>
        <w:tc>
          <w:p>
            <w:r>
              <w:t xml:space="preserve">{ "accountNumber": "string" }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https://products.summitbankng.com/mtd/etoken/request</w:t>
            </w:r>
          </w:p>
        </w:tc>
        <w:tc>
          <w:p>
            <w:r>
              <w:t xml:space="preserve">{ "accountNumber": "string", "accountName": "string", "email": "string", "phoneNumber": "string" }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https://products.summitbankng.com/mtd/enquiry/create</w:t>
            </w:r>
          </w:p>
        </w:tc>
        <w:tc>
          <w:p>
            <w:r>
              <w:t xml:space="preserve">{ name, email, subjectType, subject, message, nubanAccountNumber?, last6DigitsOfCard?, amount?, transactionSessionId?, channel?, transactionDate? }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https://products.summitbankng.com/mtd/hardware-pin/send-otp</w:t>
            </w:r>
          </w:p>
        </w:tc>
        <w:tc>
          <w:p>
            <w:r>
              <w:t xml:space="preserve">{ "customer_id": "string" }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https://products.summitbankng.com/mtd/hardware-pin/validate-otp</w:t>
            </w:r>
          </w:p>
        </w:tc>
        <w:tc>
          <w:p>
            <w:r>
              <w:t xml:space="preserve">{ "customer_id": "string", "otp": "string" }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https://products.summitbankng.com/mtd/hardware-pin/create-pin</w:t>
            </w:r>
          </w:p>
        </w:tc>
        <w:tc>
          <w:p>
            <w:r>
              <w:t xml:space="preserve">{ "userId": "string", "serialNumber": "string", "pin": "string" }</w:t>
            </w:r>
          </w:p>
        </w:tc>
      </w:tr>
    </w:tbl>
    <w:p>
      <w:pPr>
        <w:pStyle w:val="Heading1"/>
        <w:spacing w:after="120" w:before="200"/>
      </w:pPr>
      <w:r>
        <w:t xml:space="preserve">7. Environment Variables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NEXT_PUBLIC_CLOUDINARY_CLOUD_NAME (default: summitbank)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CLOUDINARY_CLOUD_NAME, CLOUDINARY_API_KEY, CLOUDINARY_API_SECRET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NEXT_PUBLIC_API_BASE_URL (default: https://products.summitbankng.com)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NEXT_PUBLIC_OAUTH2_TOKEN_URL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NEXT_PUBLIC_OAUTH2_CLIENT_ID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NEXT_PUBLIC_OAUTH2_CLIENT_SECRET</w:t>
      </w:r>
    </w:p>
    <w:p>
      <w:pPr>
        <w:pStyle w:val="Heading1"/>
        <w:spacing w:after="120" w:before="200"/>
      </w:pPr>
      <w:r>
        <w:t xml:space="preserve">8. Validation Rules (Quick Reference)</w:t>
      </w:r>
    </w:p>
    <w:tbl>
      <w:tblPr>
        <w:tblW w:type="pct" w:w="100%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D9D9D9" w:sz="1"/>
          <w:insideV w:val="single" w:color="D9D9D9" w:sz="1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Field</w:t>
            </w:r>
          </w:p>
        </w:tc>
        <w:tc>
          <w:p>
            <w:r>
              <w:rPr>
                <w:b/>
                <w:bCs/>
              </w:rPr>
              <w:t xml:space="preserve">Rule</w:t>
            </w:r>
          </w:p>
        </w:tc>
        <w:tc>
          <w:p>
            <w:r>
              <w:rPr>
                <w:b/>
                <w:bCs/>
              </w:rPr>
              <w:t xml:space="preserve">Used In</w:t>
            </w:r>
          </w:p>
        </w:tc>
      </w:tr>
      <w:tr>
        <w:tc>
          <w:p>
            <w:r>
              <w:t xml:space="preserve">Account Number</w:t>
            </w:r>
          </w:p>
        </w:tc>
        <w:tc>
          <w:p>
            <w:r>
              <w:t xml:space="preserve">Exactly 10 digits</w:t>
            </w:r>
          </w:p>
        </w:tc>
        <w:tc>
          <w:p>
            <w:r>
              <w:t xml:space="preserve">Card activation/reset, MTD, eToken lookup</w:t>
            </w:r>
          </w:p>
        </w:tc>
      </w:tr>
      <w:tr>
        <w:tc>
          <w:p>
            <w:r>
              <w:t xml:space="preserve">BVN</w:t>
            </w:r>
          </w:p>
        </w:tc>
        <w:tc>
          <w:p>
            <w:r>
              <w:t xml:space="preserve">Exactly 11 digits</w:t>
            </w:r>
          </w:p>
        </w:tc>
        <w:tc>
          <w:p>
            <w:r>
              <w:t xml:space="preserve">Card activation/reset, MTD individual verify</w:t>
            </w:r>
          </w:p>
        </w:tc>
      </w:tr>
      <w:tr>
        <w:tc>
          <w:p>
            <w:r>
              <w:t xml:space="preserve">TIN</w:t>
            </w:r>
          </w:p>
        </w:tc>
        <w:tc>
          <w:p>
            <w:r>
              <w:t xml:space="preserve">Required non-empty</w:t>
            </w:r>
          </w:p>
        </w:tc>
        <w:tc>
          <w:p>
            <w:r>
              <w:t xml:space="preserve">MTD corporate verify</w:t>
            </w:r>
          </w:p>
        </w:tc>
      </w:tr>
      <w:tr>
        <w:tc>
          <w:p>
            <w:r>
              <w:t xml:space="preserve">OTP / Token</w:t>
            </w:r>
          </w:p>
        </w:tc>
        <w:tc>
          <w:p>
            <w:r>
              <w:t xml:space="preserve">Exactly 6 digits</w:t>
            </w:r>
          </w:p>
        </w:tc>
        <w:tc>
          <w:p>
            <w:r>
              <w:t xml:space="preserve">eToken + hardware pin flows</w:t>
            </w:r>
          </w:p>
        </w:tc>
      </w:tr>
      <w:tr>
        <w:tc>
          <w:p>
            <w:r>
              <w:t xml:space="preserve">PIN</w:t>
            </w:r>
          </w:p>
        </w:tc>
        <w:tc>
          <w:p>
            <w:r>
              <w:t xml:space="preserve">Exactly 4 digits</w:t>
            </w:r>
          </w:p>
        </w:tc>
        <w:tc>
          <w:p>
            <w:r>
              <w:t xml:space="preserve">Card activation/reset and hardware pin</w:t>
            </w:r>
          </w:p>
        </w:tc>
      </w:tr>
      <w:tr>
        <w:tc>
          <w:p>
            <w:r>
              <w:t xml:space="preserve">MTD investment amount</w:t>
            </w:r>
          </w:p>
        </w:tc>
        <w:tc>
          <w:p>
            <w:r>
              <w:t xml:space="preserve">Minimum ₦1,000,000</w:t>
            </w:r>
          </w:p>
        </w:tc>
        <w:tc>
          <w:p>
            <w:r>
              <w:t xml:space="preserve">MTD application form</w:t>
            </w:r>
          </w:p>
        </w:tc>
      </w:tr>
      <w:tr>
        <w:tc>
          <w:p>
            <w:r>
              <w:t xml:space="preserve">MTD tenor</w:t>
            </w:r>
          </w:p>
        </w:tc>
        <w:tc>
          <w:p>
            <w:r>
              <w:t xml:space="preserve">One of 30, 60, 90, 180, 365</w:t>
            </w:r>
          </w:p>
        </w:tc>
        <w:tc>
          <w:p>
            <w:r>
              <w:t xml:space="preserve">MTD application form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Must match email regex</w:t>
            </w:r>
          </w:p>
        </w:tc>
        <w:tc>
          <w:p>
            <w:r>
              <w:t xml:space="preserve">Enquiry and eToken request</w:t>
            </w:r>
          </w:p>
        </w:tc>
      </w:tr>
      <w:tr>
        <w:tc>
          <w:p>
            <w:r>
              <w:t xml:space="preserve">NUBAN</w:t>
            </w:r>
          </w:p>
        </w:tc>
        <w:tc>
          <w:p>
            <w:r>
              <w:t xml:space="preserve">Exactly 10 digits</w:t>
            </w:r>
          </w:p>
        </w:tc>
        <w:tc>
          <w:p>
            <w:r>
              <w:t xml:space="preserve">Complaints/dispense-error enquiries</w:t>
            </w:r>
          </w:p>
        </w:tc>
      </w:tr>
      <w:tr>
        <w:tc>
          <w:p>
            <w:r>
              <w:t xml:space="preserve">Card last 6 digits</w:t>
            </w:r>
          </w:p>
        </w:tc>
        <w:tc>
          <w:p>
            <w:r>
              <w:t xml:space="preserve">Exactly 6 digits</w:t>
            </w:r>
          </w:p>
        </w:tc>
        <w:tc>
          <w:p>
            <w:r>
              <w:t xml:space="preserve">Dispense-error enquiry</w:t>
            </w:r>
          </w:p>
        </w:tc>
      </w:tr>
    </w:tbl>
    <w:p>
      <w:pPr>
        <w:pStyle w:val="Heading1"/>
        <w:spacing w:after="120" w:before="200"/>
      </w:pPr>
      <w:r>
        <w:t xml:space="preserve">9. Dev/Build Commands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npm run start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npm run lint</w:t>
      </w:r>
    </w:p>
    <w:p>
      <w:pPr>
        <w:spacing w:after="30"/>
      </w:pPr>
      <w:r>
        <w:rPr>
          <w:rFonts w:ascii="Consolas" w:cs="Consolas" w:eastAsia="Consolas" w:hAnsi="Consolas"/>
          <w:sz w:val="20"/>
          <w:szCs w:val="20"/>
        </w:rPr>
        <w:t xml:space="preserve">npm run docs:build</w:t>
      </w:r>
    </w:p>
    <w:p>
      <w:pPr>
        <w:pStyle w:val="Heading1"/>
        <w:spacing w:after="120" w:before="200"/>
      </w:pPr>
      <w:r>
        <w:t xml:space="preserve">10. Notable Caveats / Review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Some upstream routes include duplicated path segment (/mtd/mtd/...). Confirm this is intentional.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OAuth2 helper references NEXT_PUBLIC_* credentials; review exposure and security posture.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OAuth token request payload behavior in oauth2 utility if token flow is activated.</w:t>
      </w:r>
    </w:p>
    <w:p>
      <w:pPr>
        <w:pStyle w:val="Heading1"/>
        <w:spacing w:after="120" w:before="200"/>
      </w:pPr>
      <w:r>
        <w:t xml:space="preserve">11. Glossary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MTD: Mudarabah Term Deposit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BVN: Bank Verification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TIN: Tax Identification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NUBAN: Nigerian Uniform Bank Account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eToken: One-time token process used in request/validation workflows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Sukuk: Shariah-compliant investment instrument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Takaful: Islamic insurance model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2026-05-05T09:28:06.800Z</dcterms:created>
  <dcterms:modified xsi:type="dcterms:W3CDTF">2026-05-05T09:28:06.801Z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