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Define Hazard, Near Miss, and Incident as Distinct HSE Event Buckets</w:t>
      </w:r>
    </w:p>
    <w:p>
      <w:pPr>
        <w:pStyle w:val="Date"/>
      </w:pPr>
      <w:r>
        <w:t xml:space="preserve">2026-05-29</w:t>
      </w:r>
    </w:p>
    <w:bookmarkStart w:id="15" w:name="X4097281a871d2fc23d4077c4f3ba0dd714c4449"/>
    <w:p>
      <w:pPr>
        <w:pStyle w:val="Heading1"/>
      </w:pPr>
      <w:r>
        <w:t xml:space="preserve">ADR-003: Define Hazard, Near Miss, and Incident as Distinct HSE Event Buckets</w:t>
      </w:r>
    </w:p>
    <w:bookmarkStart w:id="9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The HSE reporting model needs clear definitions so that workers know whether to submit a Hazard ID, near miss, or incident. The discussion identified overlap between observations, near misses, and incidents, especially where a condition could have led to harm but did not.</w:t>
      </w:r>
    </w:p>
    <w:p>
      <w:pPr>
        <w:pStyle w:val="BodyText"/>
      </w:pPr>
      <w:r>
        <w:t xml:space="preserve">The solution requires practical definitions that can be used in form guidance, training, routing, and reporting.</w:t>
      </w:r>
    </w:p>
    <w:bookmarkEnd w:id="9"/>
    <w:bookmarkStart w:id="10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1"/>
        </w:numPr>
      </w:pPr>
      <w:r>
        <w:t xml:space="preserve">Reduce confusion at the point of submission.</w:t>
      </w:r>
    </w:p>
    <w:p>
      <w:pPr>
        <w:numPr>
          <w:ilvl w:val="0"/>
          <w:numId w:val="1001"/>
        </w:numPr>
      </w:pPr>
      <w:r>
        <w:t xml:space="preserve">Support consistent reporting and analytics.</w:t>
      </w:r>
    </w:p>
    <w:p>
      <w:pPr>
        <w:numPr>
          <w:ilvl w:val="0"/>
          <w:numId w:val="1001"/>
        </w:numPr>
      </w:pPr>
      <w:r>
        <w:t xml:space="preserve">Avoid unnecessary conversion logic between Hazard ID, near miss, and incident.</w:t>
      </w:r>
    </w:p>
    <w:p>
      <w:pPr>
        <w:numPr>
          <w:ilvl w:val="0"/>
          <w:numId w:val="1001"/>
        </w:numPr>
      </w:pPr>
      <w:r>
        <w:t xml:space="preserve">Keep the reporting model understandable for frontline users.</w:t>
      </w:r>
    </w:p>
    <w:p>
      <w:pPr>
        <w:numPr>
          <w:ilvl w:val="0"/>
          <w:numId w:val="1001"/>
        </w:numPr>
      </w:pPr>
      <w:r>
        <w:t xml:space="preserve">Preserve different workflows for different kinds of HSE events.</w:t>
      </w:r>
    </w:p>
    <w:bookmarkEnd w:id="10"/>
    <w:bookmarkStart w:id="11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Allow users to choose freely among Hazard ID, near miss, and incident without strong definitions</w:t>
      </w:r>
    </w:p>
    <w:p>
      <w:pPr>
        <w:numPr>
          <w:ilvl w:val="1"/>
          <w:numId w:val="1003"/>
        </w:numPr>
      </w:pPr>
      <w:r>
        <w:t xml:space="preserve">Reduces upfront design effort.</w:t>
      </w:r>
    </w:p>
    <w:p>
      <w:pPr>
        <w:numPr>
          <w:ilvl w:val="1"/>
          <w:numId w:val="1003"/>
        </w:numPr>
      </w:pPr>
      <w:r>
        <w:t xml:space="preserve">Increases inconsistent reporting.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Define three distinct buckets based on event occurrence and impact</w:t>
      </w:r>
    </w:p>
    <w:p>
      <w:pPr>
        <w:numPr>
          <w:ilvl w:val="1"/>
          <w:numId w:val="1004"/>
        </w:numPr>
      </w:pPr>
      <w:r>
        <w:t xml:space="preserve">Gives users practical decision criteria.</w:t>
      </w:r>
    </w:p>
    <w:p>
      <w:pPr>
        <w:numPr>
          <w:ilvl w:val="1"/>
          <w:numId w:val="1004"/>
        </w:numPr>
      </w:pPr>
      <w:r>
        <w:t xml:space="preserve">Supports cleaner reporting and workflow routing.</w:t>
      </w:r>
    </w:p>
    <w:p>
      <w:pPr>
        <w:numPr>
          <w:ilvl w:val="1"/>
          <w:numId w:val="1004"/>
        </w:numPr>
      </w:pPr>
      <w:r>
        <w:t xml:space="preserve">Requires training and clear captions/help text.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 one HSE intake form and classify records later</w:t>
      </w:r>
    </w:p>
    <w:p>
      <w:pPr>
        <w:numPr>
          <w:ilvl w:val="1"/>
          <w:numId w:val="1005"/>
        </w:numPr>
      </w:pPr>
      <w:r>
        <w:t xml:space="preserve">Simplifies intake.</w:t>
      </w:r>
    </w:p>
    <w:p>
      <w:pPr>
        <w:numPr>
          <w:ilvl w:val="1"/>
          <w:numId w:val="1005"/>
        </w:numPr>
      </w:pPr>
      <w:r>
        <w:t xml:space="preserve">Requires review triage and possible reclassification.</w:t>
      </w:r>
    </w:p>
    <w:p>
      <w:pPr>
        <w:numPr>
          <w:ilvl w:val="1"/>
          <w:numId w:val="1005"/>
        </w:numPr>
      </w:pPr>
      <w:r>
        <w:t xml:space="preserve">Was not preferred due to the desire to avoid added review burden.</w:t>
      </w:r>
    </w:p>
    <w:bookmarkEnd w:id="11"/>
    <w:bookmarkStart w:id="12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Use three distinct HSE reporting buckets: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Hazard ID:</w:t>
      </w:r>
      <w:r>
        <w:t xml:space="preserve"> </w:t>
      </w:r>
      <w:r>
        <w:t xml:space="preserve">A condition, act, or situation was observed, but no event occurred.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Near Miss:</w:t>
      </w:r>
      <w:r>
        <w:t xml:space="preserve"> </w:t>
      </w:r>
      <w:r>
        <w:t xml:space="preserve">An event occurred, but no injury, damage, spill, or other impact resulted.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Incident:</w:t>
      </w:r>
      <w:r>
        <w:t xml:space="preserve"> </w:t>
      </w:r>
      <w:r>
        <w:t xml:space="preserve">An event occurred and caused an impact.</w:t>
      </w:r>
    </w:p>
    <w:p>
      <w:pPr>
        <w:pStyle w:val="FirstParagraph"/>
      </w:pPr>
      <w:r>
        <w:t xml:space="preserve">The exact user-facing wording can be refined, but the conceptual model should guide configuration and training.</w:t>
      </w:r>
    </w:p>
    <w:bookmarkEnd w:id="12"/>
    <w:bookmarkStart w:id="13" w:name="consequences"/>
    <w:p>
      <w:pPr>
        <w:pStyle w:val="Heading2"/>
      </w:pPr>
      <w:r>
        <w:t xml:space="preserve">Consequences</w:t>
      </w:r>
    </w:p>
    <w:p>
      <w:pPr>
        <w:numPr>
          <w:ilvl w:val="0"/>
          <w:numId w:val="1007"/>
        </w:numPr>
      </w:pPr>
      <w:r>
        <w:t xml:space="preserve">Form captions, help text, and training material should reinforce these distinctions.</w:t>
      </w:r>
    </w:p>
    <w:p>
      <w:pPr>
        <w:numPr>
          <w:ilvl w:val="0"/>
          <w:numId w:val="1007"/>
        </w:numPr>
      </w:pPr>
      <w:r>
        <w:t xml:space="preserve">Hazard ID does not require automatic conversion to incident if definitions are clear.</w:t>
      </w:r>
    </w:p>
    <w:p>
      <w:pPr>
        <w:numPr>
          <w:ilvl w:val="0"/>
          <w:numId w:val="1007"/>
        </w:numPr>
      </w:pPr>
      <w:r>
        <w:t xml:space="preserve">Near miss and incident remain part of Incident Management.</w:t>
      </w:r>
    </w:p>
    <w:p>
      <w:pPr>
        <w:numPr>
          <w:ilvl w:val="0"/>
          <w:numId w:val="1007"/>
        </w:numPr>
      </w:pPr>
      <w:r>
        <w:t xml:space="preserve">Hazard ID remains a related but distinct HSE reporting concept.</w:t>
      </w:r>
    </w:p>
    <w:p>
      <w:pPr>
        <w:numPr>
          <w:ilvl w:val="0"/>
          <w:numId w:val="1007"/>
        </w:numPr>
      </w:pPr>
      <w:r>
        <w:t xml:space="preserve">Edge cases may still require reviewer judgment.</w:t>
      </w:r>
    </w:p>
    <w:bookmarkEnd w:id="13"/>
    <w:bookmarkStart w:id="14" w:name="more-information"/>
    <w:p>
      <w:pPr>
        <w:pStyle w:val="Heading2"/>
      </w:pPr>
      <w:r>
        <w:t xml:space="preserve">More Information</w:t>
      </w:r>
    </w:p>
    <w:p>
      <w:pPr>
        <w:pStyle w:val="FirstParagraph"/>
      </w:pPr>
      <w:r>
        <w:t xml:space="preserve">The meeting recognized that terminology may need to be adapted for regional and industry-specific usage, but the three-bucket model was accepted as a practical foundation.</w:t>
      </w:r>
    </w:p>
    <w:p>
      <w:r>
        <w:pict>
          <v:rect style="width:0;height:1.5pt" o:hralign="center" o:hrstd="t" o:hr="t"/>
        </w:pic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Hazard, Near Miss, and Incident as Distinct HSE Event Buckets</dc:title>
  <dc:creator/>
  <cp:keywords/>
  <dcterms:created xsi:type="dcterms:W3CDTF">2026-06-01T17:59:20Z</dcterms:created>
  <dcterms:modified xsi:type="dcterms:W3CDTF">2026-06-01T17:59:20Z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r">
    <vt:lpwstr>ADR-003</vt:lpwstr>
  </property>
  <property fmtid="{D5CDD505-2E9C-101B-9397-08002B2CF9AE}" pid="3" name="consulted">
    <vt:lpwstr/>
  </property>
  <property fmtid="{D5CDD505-2E9C-101B-9397-08002B2CF9AE}" pid="4" name="date">
    <vt:lpwstr>2026-05-29</vt:lpwstr>
  </property>
  <property fmtid="{D5CDD505-2E9C-101B-9397-08002B2CF9AE}" pid="5" name="deciders">
    <vt:lpwstr/>
  </property>
  <property fmtid="{D5CDD505-2E9C-101B-9397-08002B2CF9AE}" pid="6" name="informed">
    <vt:lpwstr/>
  </property>
  <property fmtid="{D5CDD505-2E9C-101B-9397-08002B2CF9AE}" pid="7" name="status">
    <vt:lpwstr>accepted-in-principle</vt:lpwstr>
  </property>
</Properties>
</file>