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Separate HSE and Quality into Distinct Solution Streams</w:t>
      </w:r>
    </w:p>
    <w:p>
      <w:pPr>
        <w:pStyle w:val="Date"/>
      </w:pPr>
      <w:r>
        <w:t xml:space="preserve">2026-05-29</w:t>
      </w:r>
    </w:p>
    <w:bookmarkStart w:id="15" w:name="Xf5b5be5d0e3eb2caa681567a0173b108faa59da"/>
    <w:p>
      <w:pPr>
        <w:pStyle w:val="Heading1"/>
      </w:pPr>
      <w:r>
        <w:t xml:space="preserve">ADR-001: Separate HSE and Quality into Distinct Solution Streams</w:t>
      </w:r>
    </w:p>
    <w:bookmarkStart w:id="9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The existing configuration uses the Observations application for more than one conceptual purpose. Hazard ID is used for HSE-related proactive hazard reporting, while the work observation capability has been re-captioned and repurposed as a Quality Observation mechanism.</w:t>
      </w:r>
    </w:p>
    <w:p>
      <w:pPr>
        <w:pStyle w:val="BodyText"/>
      </w:pPr>
      <w:r>
        <w:t xml:space="preserve">The future-state NDT Global solution needs to support both HSE and Quality processes, but the discussion identified different ownership models, regulatory drivers, reporting needs, and user expectations for each domain. A blended HSE/Quality observation model creates ambiguity for workers, reviewers, and reporting consumers.</w:t>
      </w:r>
    </w:p>
    <w:bookmarkEnd w:id="9"/>
    <w:bookmarkStart w:id="10" w:name="decision-drivers"/>
    <w:p>
      <w:pPr>
        <w:pStyle w:val="Heading2"/>
      </w:pPr>
      <w:r>
        <w:t xml:space="preserve">Decision Drivers</w:t>
      </w:r>
    </w:p>
    <w:p>
      <w:pPr>
        <w:numPr>
          <w:ilvl w:val="0"/>
          <w:numId w:val="1001"/>
        </w:numPr>
      </w:pPr>
      <w:r>
        <w:t xml:space="preserve">Workers need a clear and intuitive path for submitting HSE versus Quality matters.</w:t>
      </w:r>
    </w:p>
    <w:p>
      <w:pPr>
        <w:numPr>
          <w:ilvl w:val="0"/>
          <w:numId w:val="1001"/>
        </w:numPr>
      </w:pPr>
      <w:r>
        <w:t xml:space="preserve">HSE and Quality have different management teams, process owners, review patterns, and compliance expectations.</w:t>
      </w:r>
    </w:p>
    <w:p>
      <w:pPr>
        <w:numPr>
          <w:ilvl w:val="0"/>
          <w:numId w:val="1001"/>
        </w:numPr>
      </w:pPr>
      <w:r>
        <w:t xml:space="preserve">Reporting should avoid unnecessary blending of HSE and Quality data.</w:t>
      </w:r>
    </w:p>
    <w:p>
      <w:pPr>
        <w:numPr>
          <w:ilvl w:val="0"/>
          <w:numId w:val="1001"/>
        </w:numPr>
      </w:pPr>
      <w:r>
        <w:t xml:space="preserve">Existing Integra usage was partly shaped by prior licensing and implementation constraints that should not necessarily drive the future-state architecture.</w:t>
      </w:r>
    </w:p>
    <w:p>
      <w:pPr>
        <w:numPr>
          <w:ilvl w:val="0"/>
          <w:numId w:val="1001"/>
        </w:numPr>
      </w:pPr>
      <w:r>
        <w:t xml:space="preserve">The future-state model should support global alignment while still accommodating regional regulatory differences.</w:t>
      </w:r>
    </w:p>
    <w:bookmarkEnd w:id="10"/>
    <w:bookmarkStart w:id="11" w:name="considered-options"/>
    <w:p>
      <w:pPr>
        <w:pStyle w:val="Heading2"/>
      </w:pPr>
      <w:r>
        <w:t xml:space="preserve">Considered Options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Continue using Observations as a combined HSE and Quality intake area</w:t>
      </w:r>
    </w:p>
    <w:p>
      <w:pPr>
        <w:numPr>
          <w:ilvl w:val="1"/>
          <w:numId w:val="1003"/>
        </w:numPr>
      </w:pPr>
      <w:r>
        <w:t xml:space="preserve">Preserves the existing Integra configuration pattern.</w:t>
      </w:r>
    </w:p>
    <w:p>
      <w:pPr>
        <w:numPr>
          <w:ilvl w:val="1"/>
          <w:numId w:val="1003"/>
        </w:numPr>
      </w:pPr>
      <w:r>
        <w:t xml:space="preserve">Minimizes immediate configuration change.</w:t>
      </w:r>
    </w:p>
    <w:p>
      <w:pPr>
        <w:numPr>
          <w:ilvl w:val="1"/>
          <w:numId w:val="1003"/>
        </w:numPr>
      </w:pPr>
      <w:r>
        <w:t xml:space="preserve">Continues ambiguity between HSE and Quality use cases.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Separate HSE and Quality visually and procedurally, while still using shared platform capabilities where appropriate</w:t>
      </w:r>
    </w:p>
    <w:p>
      <w:pPr>
        <w:numPr>
          <w:ilvl w:val="1"/>
          <w:numId w:val="1004"/>
        </w:numPr>
      </w:pPr>
      <w:r>
        <w:t xml:space="preserve">Creates clearer navigation and ownership.</w:t>
      </w:r>
    </w:p>
    <w:p>
      <w:pPr>
        <w:numPr>
          <w:ilvl w:val="1"/>
          <w:numId w:val="1004"/>
        </w:numPr>
      </w:pPr>
      <w:r>
        <w:t xml:space="preserve">Supports domain-specific workflow and reporting.</w:t>
      </w:r>
    </w:p>
    <w:p>
      <w:pPr>
        <w:numPr>
          <w:ilvl w:val="1"/>
          <w:numId w:val="1004"/>
        </w:numPr>
      </w:pPr>
      <w:r>
        <w:t xml:space="preserve">Requires configuration and migration planning.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Create an entirely new application layer for cross-domain HSEQ reporting</w:t>
      </w:r>
    </w:p>
    <w:p>
      <w:pPr>
        <w:numPr>
          <w:ilvl w:val="1"/>
          <w:numId w:val="1005"/>
        </w:numPr>
      </w:pPr>
      <w:r>
        <w:t xml:space="preserve">Could provide a unified intake experience.</w:t>
      </w:r>
    </w:p>
    <w:p>
      <w:pPr>
        <w:numPr>
          <w:ilvl w:val="1"/>
          <w:numId w:val="1005"/>
        </w:numPr>
      </w:pPr>
      <w:r>
        <w:t xml:space="preserve">Likely adds unnecessary complexity and licensing/configuration effort.</w:t>
      </w:r>
    </w:p>
    <w:p>
      <w:pPr>
        <w:numPr>
          <w:ilvl w:val="1"/>
          <w:numId w:val="1005"/>
        </w:numPr>
      </w:pPr>
      <w:r>
        <w:t xml:space="preserve">Was not strongly supported by the meeting discussion.</w:t>
      </w:r>
    </w:p>
    <w:bookmarkEnd w:id="11"/>
    <w:bookmarkStart w:id="12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Adopt a separated HSE and Quality solution model. Users should see distinct HSE and Quality streams in navigation and application structure. HSE matters should be driven toward the HSE incident/hazard process area, while Quality matters should be driven toward the Quality non-conformance process area.</w:t>
      </w:r>
    </w:p>
    <w:p>
      <w:pPr>
        <w:pStyle w:val="BodyText"/>
      </w:pPr>
      <w:r>
        <w:t xml:space="preserve">This decision is accepted in principle, with some details dependent on the follow-on NCR/CAPA design session.</w:t>
      </w:r>
    </w:p>
    <w:bookmarkEnd w:id="12"/>
    <w:bookmarkStart w:id="13" w:name="consequences"/>
    <w:p>
      <w:pPr>
        <w:pStyle w:val="Heading2"/>
      </w:pPr>
      <w:r>
        <w:t xml:space="preserve">Consequences</w:t>
      </w:r>
    </w:p>
    <w:p>
      <w:pPr>
        <w:numPr>
          <w:ilvl w:val="0"/>
          <w:numId w:val="1006"/>
        </w:numPr>
      </w:pPr>
      <w:r>
        <w:t xml:space="preserve">The Observations application should no longer be treated as a blended HSE/Quality container in the future state.</w:t>
      </w:r>
    </w:p>
    <w:p>
      <w:pPr>
        <w:numPr>
          <w:ilvl w:val="0"/>
          <w:numId w:val="1006"/>
        </w:numPr>
      </w:pPr>
      <w:r>
        <w:t xml:space="preserve">Quality Observation functionality will likely be removed from the Observations user experience, retired, hidden, migrated, or re-expressed through the Quality process stream.</w:t>
      </w:r>
    </w:p>
    <w:p>
      <w:pPr>
        <w:numPr>
          <w:ilvl w:val="0"/>
          <w:numId w:val="1006"/>
        </w:numPr>
      </w:pPr>
      <w:r>
        <w:t xml:space="preserve">Hazard ID remains the main candidate for the HSE observation-style process.</w:t>
      </w:r>
    </w:p>
    <w:p>
      <w:pPr>
        <w:numPr>
          <w:ilvl w:val="0"/>
          <w:numId w:val="1006"/>
        </w:numPr>
      </w:pPr>
      <w:r>
        <w:t xml:space="preserve">User training and navigation design should emphasize the domain split.</w:t>
      </w:r>
    </w:p>
    <w:p>
      <w:pPr>
        <w:numPr>
          <w:ilvl w:val="0"/>
          <w:numId w:val="1006"/>
        </w:numPr>
      </w:pPr>
      <w:r>
        <w:t xml:space="preserve">Existing data and historical usage must be handled carefully to avoid changing the meaning of past records.</w:t>
      </w:r>
    </w:p>
    <w:bookmarkEnd w:id="13"/>
    <w:bookmarkStart w:id="14" w:name="more-information"/>
    <w:p>
      <w:pPr>
        <w:pStyle w:val="Heading2"/>
      </w:pPr>
      <w:r>
        <w:t xml:space="preserve">More Information</w:t>
      </w:r>
    </w:p>
    <w:p>
      <w:pPr>
        <w:pStyle w:val="FirstParagraph"/>
      </w:pPr>
      <w:r>
        <w:t xml:space="preserve">This decision was reinforced during the meeting summary, where the target model was described as two streams: HSE/safety and Quality. The exact Quality-side implementation is intentionally out of scope for this Observations ADR set and should be addressed in the NCR/CAPA design ADRs.</w:t>
      </w:r>
    </w:p>
    <w:p>
      <w:r>
        <w:pict>
          <v:rect style="width:0;height:1.5pt" o:hralign="center" o:hrstd="t" o:hr="t"/>
        </w:pic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Separate HSE and Quality into Distinct Solution Streams</dc:title>
  <dc:creator/>
  <cp:keywords/>
  <dcterms:created xsi:type="dcterms:W3CDTF">2026-06-01T17:58:49Z</dcterms:created>
  <dcterms:modified xsi:type="dcterms:W3CDTF">2026-06-01T17:58:49Z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r">
    <vt:lpwstr>ADR-001</vt:lpwstr>
  </property>
  <property fmtid="{D5CDD505-2E9C-101B-9397-08002B2CF9AE}" pid="3" name="consulted">
    <vt:lpwstr/>
  </property>
  <property fmtid="{D5CDD505-2E9C-101B-9397-08002B2CF9AE}" pid="4" name="date">
    <vt:lpwstr>2026-05-29</vt:lpwstr>
  </property>
  <property fmtid="{D5CDD505-2E9C-101B-9397-08002B2CF9AE}" pid="5" name="deciders">
    <vt:lpwstr/>
  </property>
  <property fmtid="{D5CDD505-2E9C-101B-9397-08002B2CF9AE}" pid="6" name="informed">
    <vt:lpwstr/>
  </property>
  <property fmtid="{D5CDD505-2E9C-101B-9397-08002B2CF9AE}" pid="7" name="status">
    <vt:lpwstr>accepted-in-principle</vt:lpwstr>
  </property>
</Properties>
</file>