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Retain Hazard ID as the Primary HSE Observation Concept</w:t>
      </w:r>
    </w:p>
    <w:p>
      <w:pPr>
        <w:pStyle w:val="Date"/>
      </w:pPr>
      <w:r>
        <w:t xml:space="preserve">2026-05-29</w:t>
      </w:r>
    </w:p>
    <w:bookmarkStart w:id="15" w:name="X1458bb79b17a4701e7776a817bc14f1ee44213b"/>
    <w:p>
      <w:pPr>
        <w:pStyle w:val="Heading1"/>
      </w:pPr>
      <w:r>
        <w:t xml:space="preserve">ADR-002: Retain Hazard ID as the Primary HSE Observation Concept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The Observations application includes multiple concepts, including Work Observation and Hazard ID. The meeting established that NDT’s “See It, Own It, Share It” process maps most closely to Hazard ID-type reporting rather than to a planned supervisor work observation process.</w:t>
      </w:r>
    </w:p>
    <w:p>
      <w:pPr>
        <w:pStyle w:val="BodyText"/>
      </w:pPr>
      <w:r>
        <w:t xml:space="preserve">The group did not identify a strong future-state need for the Work Observation object as a standalone proactive supervisor conversation process. Other proactive activities, such as inspections and toolbox talks, are better aligned to other application areas or future phases.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1"/>
        </w:numPr>
      </w:pPr>
      <w:r>
        <w:t xml:space="preserve">NDT’s current observation process is primarily hazard and improvement reporting.</w:t>
      </w:r>
    </w:p>
    <w:p>
      <w:pPr>
        <w:numPr>
          <w:ilvl w:val="0"/>
          <w:numId w:val="1001"/>
        </w:numPr>
      </w:pPr>
      <w:r>
        <w:t xml:space="preserve">The Work Observation object does not appear to map cleanly to the combined future-state process.</w:t>
      </w:r>
    </w:p>
    <w:p>
      <w:pPr>
        <w:numPr>
          <w:ilvl w:val="0"/>
          <w:numId w:val="1001"/>
        </w:numPr>
      </w:pPr>
      <w:r>
        <w:t xml:space="preserve">Hazard ID supports proactive reporting of unsafe conditions, unsafe acts, environmental hazards, and similar HSE concerns.</w:t>
      </w:r>
    </w:p>
    <w:p>
      <w:pPr>
        <w:numPr>
          <w:ilvl w:val="0"/>
          <w:numId w:val="1001"/>
        </w:numPr>
      </w:pPr>
      <w:r>
        <w:t xml:space="preserve">Quality observations are expected to move out of the Observations process stream.</w:t>
      </w:r>
    </w:p>
    <w:p>
      <w:pPr>
        <w:numPr>
          <w:ilvl w:val="0"/>
          <w:numId w:val="1001"/>
        </w:numPr>
      </w:pPr>
      <w:r>
        <w:t xml:space="preserve">The solution should avoid retaining unused or confusing observation concepts.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 both Work Observation and Hazard ID</w:t>
      </w:r>
    </w:p>
    <w:p>
      <w:pPr>
        <w:numPr>
          <w:ilvl w:val="1"/>
          <w:numId w:val="1003"/>
        </w:numPr>
      </w:pPr>
      <w:r>
        <w:t xml:space="preserve">Preserves the full out-of-box Observations structure.</w:t>
      </w:r>
    </w:p>
    <w:p>
      <w:pPr>
        <w:numPr>
          <w:ilvl w:val="1"/>
          <w:numId w:val="1003"/>
        </w:numPr>
      </w:pPr>
      <w:r>
        <w:t xml:space="preserve">Could support planned supervisor observations.</w:t>
      </w:r>
    </w:p>
    <w:p>
      <w:pPr>
        <w:numPr>
          <w:ilvl w:val="1"/>
          <w:numId w:val="1003"/>
        </w:numPr>
      </w:pPr>
      <w:r>
        <w:t xml:space="preserve">Adds confusion if no discrete work observation program exists.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 Hazard ID only for the future-state Observations scope</w:t>
      </w:r>
    </w:p>
    <w:p>
      <w:pPr>
        <w:numPr>
          <w:ilvl w:val="1"/>
          <w:numId w:val="1004"/>
        </w:numPr>
      </w:pPr>
      <w:r>
        <w:t xml:space="preserve">Aligns with NDT’s existing hazard reporting pattern.</w:t>
      </w:r>
    </w:p>
    <w:p>
      <w:pPr>
        <w:numPr>
          <w:ilvl w:val="1"/>
          <w:numId w:val="1004"/>
        </w:numPr>
      </w:pPr>
      <w:r>
        <w:t xml:space="preserve">Simplifies the Observations application.</w:t>
      </w:r>
    </w:p>
    <w:p>
      <w:pPr>
        <w:numPr>
          <w:ilvl w:val="1"/>
          <w:numId w:val="1004"/>
        </w:numPr>
      </w:pPr>
      <w:r>
        <w:t xml:space="preserve">May require hiding or disabling the Work Observation component.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Retire Observations entirely and move all HSE reporting into Incident Management</w:t>
      </w:r>
    </w:p>
    <w:p>
      <w:pPr>
        <w:numPr>
          <w:ilvl w:val="1"/>
          <w:numId w:val="1005"/>
        </w:numPr>
      </w:pPr>
      <w:r>
        <w:t xml:space="preserve">Provides one HSE reporting destination.</w:t>
      </w:r>
    </w:p>
    <w:p>
      <w:pPr>
        <w:numPr>
          <w:ilvl w:val="1"/>
          <w:numId w:val="1005"/>
        </w:numPr>
      </w:pPr>
      <w:r>
        <w:t xml:space="preserve">May obscure the distinction between hazards and incidents.</w:t>
      </w:r>
    </w:p>
    <w:p>
      <w:pPr>
        <w:numPr>
          <w:ilvl w:val="1"/>
          <w:numId w:val="1005"/>
        </w:numPr>
      </w:pPr>
      <w:r>
        <w:t xml:space="preserve">Requires more significant configuration and navigation changes.</w:t>
      </w:r>
    </w:p>
    <w:bookmarkEnd w:id="11"/>
    <w:bookmarkStart w:id="12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Retain Hazard ID as the primary future-state HSE observation concept. The Work Observation / Quality Observation concept should not remain a central user-facing process unless a clear business program is later identified for it.</w:t>
      </w:r>
    </w:p>
    <w:bookmarkEnd w:id="12"/>
    <w:bookmarkStart w:id="13" w:name="consequences"/>
    <w:p>
      <w:pPr>
        <w:pStyle w:val="Heading2"/>
      </w:pPr>
      <w:r>
        <w:t xml:space="preserve">Consequences</w:t>
      </w:r>
    </w:p>
    <w:p>
      <w:pPr>
        <w:numPr>
          <w:ilvl w:val="0"/>
          <w:numId w:val="1006"/>
        </w:numPr>
      </w:pPr>
      <w:r>
        <w:t xml:space="preserve">The Observations application may be reduced to Hazard ID functionality only.</w:t>
      </w:r>
    </w:p>
    <w:p>
      <w:pPr>
        <w:numPr>
          <w:ilvl w:val="0"/>
          <w:numId w:val="1006"/>
        </w:numPr>
      </w:pPr>
      <w:r>
        <w:t xml:space="preserve">Work Observation functionality may be hidden, disabled, repurposed, or left unused.</w:t>
      </w:r>
    </w:p>
    <w:p>
      <w:pPr>
        <w:numPr>
          <w:ilvl w:val="0"/>
          <w:numId w:val="1006"/>
        </w:numPr>
      </w:pPr>
      <w:r>
        <w:t xml:space="preserve">Hazard ID configuration must be harmonized between existing Integra and NDT practices.</w:t>
      </w:r>
    </w:p>
    <w:p>
      <w:pPr>
        <w:numPr>
          <w:ilvl w:val="0"/>
          <w:numId w:val="1006"/>
        </w:numPr>
      </w:pPr>
      <w:r>
        <w:t xml:space="preserve">Training and terminology should clarify how Hazard ID relates to near misses and incidents.</w:t>
      </w:r>
    </w:p>
    <w:bookmarkEnd w:id="13"/>
    <w:bookmarkStart w:id="14" w:name="more-information"/>
    <w:p>
      <w:pPr>
        <w:pStyle w:val="Heading2"/>
      </w:pPr>
      <w:r>
        <w:t xml:space="preserve">More Information</w:t>
      </w:r>
    </w:p>
    <w:p>
      <w:pPr>
        <w:pStyle w:val="FirstParagraph"/>
      </w:pPr>
      <w:r>
        <w:t xml:space="preserve">This decision depends on the broader HSE/Quality stream separation captured in ADR-001. The exact treatment of the retired Quality Observation concept should be handled in the NCR/CAPA design work, not in the Observations ADR set.</w:t>
      </w:r>
    </w:p>
    <w:p>
      <w:r>
        <w:pict>
          <v:rect style="width:0;height:1.5pt" o:hralign="center" o:hrstd="t" o:hr="t"/>
        </w:pic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Retain Hazard ID as the Primary HSE Observation Concept</dc:title>
  <dc:creator/>
  <cp:keywords/>
  <dcterms:created xsi:type="dcterms:W3CDTF">2026-06-01T17:59:10Z</dcterms:created>
  <dcterms:modified xsi:type="dcterms:W3CDTF">2026-06-01T17:59:10Z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r">
    <vt:lpwstr>ADR-002</vt:lpwstr>
  </property>
  <property fmtid="{D5CDD505-2E9C-101B-9397-08002B2CF9AE}" pid="3" name="consulted">
    <vt:lpwstr/>
  </property>
  <property fmtid="{D5CDD505-2E9C-101B-9397-08002B2CF9AE}" pid="4" name="date">
    <vt:lpwstr>2026-05-29</vt:lpwstr>
  </property>
  <property fmtid="{D5CDD505-2E9C-101B-9397-08002B2CF9AE}" pid="5" name="deciders">
    <vt:lpwstr/>
  </property>
  <property fmtid="{D5CDD505-2E9C-101B-9397-08002B2CF9AE}" pid="6" name="informed">
    <vt:lpwstr/>
  </property>
  <property fmtid="{D5CDD505-2E9C-101B-9397-08002B2CF9AE}" pid="7" name="status">
    <vt:lpwstr>accepted-in-principle</vt:lpwstr>
  </property>
</Properties>
</file>