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Intelex Document Control Configuration Guide Part 1</w:t>
      </w:r>
    </w:p>
    <w:p>
      <w:pPr>
        <w:spacing w:after="280"/>
      </w:pPr>
      <w:r>
        <w:rPr>
          <w:rFonts w:ascii="Arial" w:hAnsi="Arial"/>
          <w:b w:val="0"/>
          <w:i/>
          <w:color w:val="595959"/>
          <w:sz w:val="22"/>
        </w:rPr>
        <w:t>Client information request for hierarchy and approval configuration</w:t>
      </w:r>
    </w:p>
    <w:p>
      <w:r>
        <w:rPr>
          <w:rFonts w:ascii="Arial" w:hAnsi="Arial"/>
          <w:b/>
          <w:i w:val="0"/>
          <w:color w:val="222222"/>
          <w:sz w:val="21"/>
        </w:rPr>
        <w:t xml:space="preserve">Purpose. </w:t>
      </w:r>
      <w:r>
        <w:rPr>
          <w:rFonts w:ascii="Arial" w:hAnsi="Arial"/>
          <w:b w:val="0"/>
          <w:i w:val="0"/>
          <w:color w:val="222222"/>
          <w:sz w:val="21"/>
        </w:rPr>
        <w:t>Please provide the information requested in this guide so that the initial Document Control structures and approval options can be configured in Intelex. Complete the two accompanying Excel templates and answer the lifecycle and approval questions in Section 3.</w:t>
      </w:r>
    </w:p>
    <w:p>
      <w:r>
        <w:rPr>
          <w:rFonts w:ascii="Arial" w:hAnsi="Arial"/>
          <w:b/>
          <w:i w:val="0"/>
          <w:color w:val="222222"/>
          <w:sz w:val="21"/>
        </w:rPr>
        <w:t xml:space="preserve">Files to return. </w:t>
      </w:r>
      <w:r>
        <w:rPr>
          <w:rFonts w:ascii="Arial" w:hAnsi="Arial"/>
          <w:b w:val="0"/>
          <w:i w:val="0"/>
          <w:color w:val="222222"/>
          <w:sz w:val="21"/>
        </w:rPr>
        <w:t>Return the completed Document Folder Structure template, the completed Document Category Hierarchy template, and your responses to the lifecycle and approval questions. If supporting procedures or approval matrices already exist, include them with your response.</w:t>
      </w:r>
    </w:p>
    <w:p>
      <w:pPr>
        <w:pStyle w:val="Heading1"/>
      </w:pPr>
      <w:r>
        <w:t>1 Document Folder Structure</w:t>
      </w:r>
    </w:p>
    <w:p>
      <w:r>
        <w:rPr>
          <w:rFonts w:ascii="Arial" w:hAnsi="Arial"/>
          <w:b w:val="0"/>
          <w:i w:val="0"/>
          <w:color w:val="222222"/>
          <w:sz w:val="21"/>
        </w:rPr>
        <w:t>Complete the accompanying Excel template named Intelex Document Folder Structure Import Template. The template contains an Instructions tab and a Data tab. The Calculated Path column is formula-driven and should not be edited.</w:t>
      </w:r>
    </w:p>
    <w:p>
      <w:pPr>
        <w:keepLines/>
        <w:spacing w:before="100" w:after="40"/>
      </w:pPr>
      <w:r>
        <w:rPr>
          <w:rFonts w:ascii="Arial" w:hAnsi="Arial"/>
          <w:b/>
          <w:i w:val="0"/>
          <w:color w:val="222222"/>
          <w:sz w:val="21"/>
        </w:rPr>
        <w:t>1.1. What folder structure should be created in Intelex?</w:t>
      </w:r>
      <w:r>
        <w:rPr>
          <w:rFonts w:ascii="Arial" w:hAnsi="Arial"/>
          <w:b w:val="0"/>
          <w:i/>
          <w:color w:val="595959"/>
          <w:sz w:val="19"/>
        </w:rPr>
        <w:br/>
        <w:t>Response: Enter every required folder in the Excel template, including all top-level and child folders.</w:t>
      </w:r>
    </w:p>
    <w:p>
      <w:pPr>
        <w:keepLines/>
        <w:spacing w:before="100" w:after="40"/>
      </w:pPr>
      <w:r>
        <w:rPr>
          <w:rFonts w:ascii="Arial" w:hAnsi="Arial"/>
          <w:b/>
          <w:i w:val="0"/>
          <w:color w:val="222222"/>
          <w:sz w:val="21"/>
        </w:rPr>
        <w:t>1.2. What unique Folder Code should be assigned to each folder?</w:t>
      </w:r>
      <w:r>
        <w:rPr>
          <w:rFonts w:ascii="Arial" w:hAnsi="Arial"/>
          <w:b w:val="0"/>
          <w:i/>
          <w:color w:val="595959"/>
          <w:sz w:val="19"/>
        </w:rPr>
        <w:br/>
        <w:t>Response: Enter a stable, unique code for every row. Confirm any required code format, prefix, maximum length, or naming convention.</w:t>
      </w:r>
    </w:p>
    <w:p>
      <w:pPr>
        <w:keepLines/>
        <w:spacing w:before="100" w:after="40"/>
      </w:pPr>
      <w:r>
        <w:rPr>
          <w:rFonts w:ascii="Arial" w:hAnsi="Arial"/>
          <w:b/>
          <w:i w:val="0"/>
          <w:color w:val="222222"/>
          <w:sz w:val="21"/>
        </w:rPr>
        <w:t>1.3. What is the approved display name for each folder?</w:t>
      </w:r>
      <w:r>
        <w:rPr>
          <w:rFonts w:ascii="Arial" w:hAnsi="Arial"/>
          <w:b w:val="0"/>
          <w:i/>
          <w:color w:val="595959"/>
          <w:sz w:val="19"/>
        </w:rPr>
        <w:br/>
        <w:t>Response: Enter the final Folder Name exactly as users should see it in Intelex.</w:t>
      </w:r>
    </w:p>
    <w:p>
      <w:pPr>
        <w:keepLines/>
        <w:spacing w:before="100" w:after="40"/>
      </w:pPr>
      <w:r>
        <w:rPr>
          <w:rFonts w:ascii="Arial" w:hAnsi="Arial"/>
          <w:b/>
          <w:i w:val="0"/>
          <w:color w:val="222222"/>
          <w:sz w:val="21"/>
        </w:rPr>
        <w:t>1.4. Which folder is the immediate parent of each child folder?</w:t>
      </w:r>
      <w:r>
        <w:rPr>
          <w:rFonts w:ascii="Arial" w:hAnsi="Arial"/>
          <w:b w:val="0"/>
          <w:i/>
          <w:color w:val="595959"/>
          <w:sz w:val="19"/>
        </w:rPr>
        <w:br/>
        <w:t>Response: Enter the Parent Folder Code. Leave it blank only for top-level folders.</w:t>
      </w:r>
    </w:p>
    <w:p>
      <w:pPr>
        <w:keepLines/>
        <w:spacing w:before="100" w:after="40"/>
      </w:pPr>
      <w:r>
        <w:rPr>
          <w:rFonts w:ascii="Arial" w:hAnsi="Arial"/>
          <w:b/>
          <w:i w:val="0"/>
          <w:color w:val="222222"/>
          <w:sz w:val="21"/>
        </w:rPr>
        <w:t>1.5. Does the Calculated Path correctly represent the intended hierarchy for every folder?</w:t>
      </w:r>
      <w:r>
        <w:rPr>
          <w:rFonts w:ascii="Arial" w:hAnsi="Arial"/>
          <w:b w:val="0"/>
          <w:i/>
          <w:color w:val="595959"/>
          <w:sz w:val="19"/>
        </w:rPr>
        <w:br/>
        <w:t>Response: Review the formula-generated paths and correct the folder or parent codes where the path is not correct.</w:t>
      </w:r>
    </w:p>
    <w:p>
      <w:pPr>
        <w:keepLines/>
        <w:spacing w:before="100" w:after="40"/>
      </w:pPr>
      <w:r>
        <w:rPr>
          <w:rFonts w:ascii="Arial" w:hAnsi="Arial"/>
          <w:b/>
          <w:i w:val="0"/>
          <w:color w:val="222222"/>
          <w:sz w:val="21"/>
        </w:rPr>
        <w:t>1.6. Are there any folder naming rules or structural constraints that must be followed?</w:t>
      </w:r>
      <w:r>
        <w:rPr>
          <w:rFonts w:ascii="Arial" w:hAnsi="Arial"/>
          <w:b w:val="0"/>
          <w:i/>
          <w:color w:val="595959"/>
          <w:sz w:val="19"/>
        </w:rPr>
        <w:br/>
        <w:t>Response: Describe required abbreviations, numbering, depth limits, prohibited characters, or other standards.</w:t>
      </w:r>
    </w:p>
    <w:p>
      <w:pPr>
        <w:spacing w:after="60"/>
      </w:pPr>
      <w:r>
        <w:rPr>
          <w:rFonts w:ascii="Arial" w:hAnsi="Arial"/>
          <w:b w:val="0"/>
          <w:i w:val="0"/>
          <w:color w:val="A6A6A6"/>
          <w:sz w:val="18"/>
        </w:rPr>
        <w:t>________________________________________________________________________________</w:t>
      </w:r>
    </w:p>
    <w:p>
      <w:pPr>
        <w:spacing w:after="60"/>
      </w:pPr>
      <w:r>
        <w:rPr>
          <w:rFonts w:ascii="Arial" w:hAnsi="Arial"/>
          <w:b w:val="0"/>
          <w:i w:val="0"/>
          <w:color w:val="A6A6A6"/>
          <w:sz w:val="18"/>
        </w:rPr>
        <w:t>________________________________________________________________________________</w:t>
      </w:r>
    </w:p>
    <w:p>
      <w:pPr>
        <w:pStyle w:val="Heading1"/>
      </w:pPr>
      <w:r>
        <w:t>2 Document Category Hierarchy</w:t>
      </w:r>
    </w:p>
    <w:p>
      <w:r>
        <w:rPr>
          <w:rFonts w:ascii="Arial" w:hAnsi="Arial"/>
          <w:b w:val="0"/>
          <w:i w:val="0"/>
          <w:color w:val="222222"/>
          <w:sz w:val="21"/>
        </w:rPr>
        <w:t>Complete the accompanying Excel template named Intelex Document Category Hierarchy Import Template. Categories should describe the classification hierarchy used for documents. The Calculated Path column is formula-driven and should not be edited.</w:t>
      </w:r>
    </w:p>
    <w:p>
      <w:pPr>
        <w:keepLines/>
        <w:spacing w:before="100" w:after="40"/>
      </w:pPr>
      <w:r>
        <w:rPr>
          <w:rFonts w:ascii="Arial" w:hAnsi="Arial"/>
          <w:b/>
          <w:i w:val="0"/>
          <w:color w:val="222222"/>
          <w:sz w:val="21"/>
        </w:rPr>
        <w:t>2.1. What document category hierarchy should be created in Intelex?</w:t>
      </w:r>
      <w:r>
        <w:rPr>
          <w:rFonts w:ascii="Arial" w:hAnsi="Arial"/>
          <w:b w:val="0"/>
          <w:i/>
          <w:color w:val="595959"/>
          <w:sz w:val="19"/>
        </w:rPr>
        <w:br/>
        <w:t>Response: Enter every required category in the Excel template, including all top-level and child categories.</w:t>
      </w:r>
    </w:p>
    <w:p>
      <w:pPr>
        <w:keepLines/>
        <w:spacing w:before="100" w:after="40"/>
      </w:pPr>
      <w:r>
        <w:rPr>
          <w:rFonts w:ascii="Arial" w:hAnsi="Arial"/>
          <w:b/>
          <w:i w:val="0"/>
          <w:color w:val="222222"/>
          <w:sz w:val="21"/>
        </w:rPr>
        <w:t>2.2. What unique Category Code should be assigned to each category?</w:t>
      </w:r>
      <w:r>
        <w:rPr>
          <w:rFonts w:ascii="Arial" w:hAnsi="Arial"/>
          <w:b w:val="0"/>
          <w:i/>
          <w:color w:val="595959"/>
          <w:sz w:val="19"/>
        </w:rPr>
        <w:br/>
        <w:t>Response: Enter a stable, unique code for every row. Confirm any required code format, prefix, maximum length, or naming convention.</w:t>
      </w:r>
    </w:p>
    <w:p>
      <w:pPr>
        <w:keepLines/>
        <w:spacing w:before="100" w:after="40"/>
      </w:pPr>
      <w:r>
        <w:rPr>
          <w:rFonts w:ascii="Arial" w:hAnsi="Arial"/>
          <w:b/>
          <w:i w:val="0"/>
          <w:color w:val="222222"/>
          <w:sz w:val="21"/>
        </w:rPr>
        <w:t>2.3. What is the approved display name for each category?</w:t>
      </w:r>
      <w:r>
        <w:rPr>
          <w:rFonts w:ascii="Arial" w:hAnsi="Arial"/>
          <w:b w:val="0"/>
          <w:i/>
          <w:color w:val="595959"/>
          <w:sz w:val="19"/>
        </w:rPr>
        <w:br/>
        <w:t>Response: Enter the final Category Name exactly as users should see it in Intelex.</w:t>
      </w:r>
    </w:p>
    <w:p>
      <w:pPr>
        <w:keepLines/>
        <w:spacing w:before="100" w:after="40"/>
      </w:pPr>
      <w:r>
        <w:rPr>
          <w:rFonts w:ascii="Arial" w:hAnsi="Arial"/>
          <w:b/>
          <w:i w:val="0"/>
          <w:color w:val="222222"/>
          <w:sz w:val="21"/>
        </w:rPr>
        <w:t>2.4. Which category is the immediate parent of each child category?</w:t>
      </w:r>
      <w:r>
        <w:rPr>
          <w:rFonts w:ascii="Arial" w:hAnsi="Arial"/>
          <w:b w:val="0"/>
          <w:i/>
          <w:color w:val="595959"/>
          <w:sz w:val="19"/>
        </w:rPr>
        <w:br/>
        <w:t>Response: Enter the Parent Category Code. Leave it blank only for top-level categories.</w:t>
      </w:r>
    </w:p>
    <w:p>
      <w:pPr>
        <w:keepLines/>
        <w:spacing w:before="100" w:after="40"/>
      </w:pPr>
      <w:r>
        <w:rPr>
          <w:rFonts w:ascii="Arial" w:hAnsi="Arial"/>
          <w:b/>
          <w:i w:val="0"/>
          <w:color w:val="222222"/>
          <w:sz w:val="21"/>
        </w:rPr>
        <w:t>2.5. Does the Calculated Path correctly represent the intended hierarchy for every category?</w:t>
      </w:r>
      <w:r>
        <w:rPr>
          <w:rFonts w:ascii="Arial" w:hAnsi="Arial"/>
          <w:b w:val="0"/>
          <w:i/>
          <w:color w:val="595959"/>
          <w:sz w:val="19"/>
        </w:rPr>
        <w:br/>
        <w:t>Response: Review the formula-generated paths and correct the category or parent codes where the path is not correct.</w:t>
      </w:r>
    </w:p>
    <w:p>
      <w:pPr>
        <w:keepLines/>
        <w:spacing w:before="100" w:after="40"/>
      </w:pPr>
      <w:r>
        <w:rPr>
          <w:rFonts w:ascii="Arial" w:hAnsi="Arial"/>
          <w:b/>
          <w:i w:val="0"/>
          <w:color w:val="222222"/>
          <w:sz w:val="21"/>
        </w:rPr>
        <w:t>2.6. Are there any category naming rules or structural constraints that must be followed?</w:t>
      </w:r>
      <w:r>
        <w:rPr>
          <w:rFonts w:ascii="Arial" w:hAnsi="Arial"/>
          <w:b w:val="0"/>
          <w:i/>
          <w:color w:val="595959"/>
          <w:sz w:val="19"/>
        </w:rPr>
        <w:br/>
        <w:t>Response: Describe required abbreviations, numbering, depth limits, prohibited characters, or other standards.</w:t>
      </w:r>
    </w:p>
    <w:p>
      <w:pPr>
        <w:spacing w:after="60"/>
      </w:pPr>
      <w:r>
        <w:rPr>
          <w:rFonts w:ascii="Arial" w:hAnsi="Arial"/>
          <w:b w:val="0"/>
          <w:i w:val="0"/>
          <w:color w:val="A6A6A6"/>
          <w:sz w:val="18"/>
        </w:rPr>
        <w:t>________________________________________________________________________________</w:t>
      </w:r>
    </w:p>
    <w:p>
      <w:pPr>
        <w:spacing w:after="60"/>
      </w:pPr>
      <w:r>
        <w:rPr>
          <w:rFonts w:ascii="Arial" w:hAnsi="Arial"/>
          <w:b w:val="0"/>
          <w:i w:val="0"/>
          <w:color w:val="A6A6A6"/>
          <w:sz w:val="18"/>
        </w:rPr>
        <w:t>________________________________________________________________________________</w:t>
      </w:r>
    </w:p>
    <w:p>
      <w:pPr>
        <w:pStyle w:val="Heading1"/>
      </w:pPr>
      <w:r>
        <w:t>3 Document Lifecycles and Approval Processes</w:t>
      </w:r>
    </w:p>
    <w:p>
      <w:r>
        <w:rPr>
          <w:rFonts w:ascii="Arial" w:hAnsi="Arial"/>
          <w:b w:val="0"/>
          <w:i w:val="0"/>
          <w:color w:val="222222"/>
          <w:sz w:val="21"/>
        </w:rPr>
        <w:t>Identify each document lifecycle that Intelex must support and the approval process associated with it. An approval can use a fixed process or an approved configurable approval process template.</w:t>
      </w:r>
    </w:p>
    <w:p>
      <w:pPr>
        <w:keepLines/>
        <w:spacing w:before="100" w:after="40"/>
      </w:pPr>
      <w:r>
        <w:rPr>
          <w:rFonts w:ascii="Arial" w:hAnsi="Arial"/>
          <w:b/>
          <w:i w:val="0"/>
          <w:color w:val="222222"/>
          <w:sz w:val="21"/>
        </w:rPr>
        <w:t>3.1. What document lifecycles are required?</w:t>
      </w:r>
      <w:r>
        <w:rPr>
          <w:rFonts w:ascii="Arial" w:hAnsi="Arial"/>
          <w:b w:val="0"/>
          <w:i/>
          <w:color w:val="595959"/>
          <w:sz w:val="19"/>
        </w:rPr>
        <w:br/>
        <w:t>Response: List each lifecycle name and describe the documents or business situations in which it should be used.</w:t>
      </w:r>
    </w:p>
    <w:p>
      <w:pPr>
        <w:keepLines/>
        <w:spacing w:before="100" w:after="40"/>
      </w:pPr>
      <w:r>
        <w:rPr>
          <w:rFonts w:ascii="Arial" w:hAnsi="Arial"/>
          <w:b/>
          <w:i w:val="0"/>
          <w:color w:val="222222"/>
          <w:sz w:val="21"/>
        </w:rPr>
        <w:t>3.2. What stages or statuses are required in each lifecycle?</w:t>
      </w:r>
      <w:r>
        <w:rPr>
          <w:rFonts w:ascii="Arial" w:hAnsi="Arial"/>
          <w:b w:val="0"/>
          <w:i/>
          <w:color w:val="595959"/>
          <w:sz w:val="19"/>
        </w:rPr>
        <w:br/>
        <w:t>Response: List the stages in order and identify the event or decision that moves a document to the next stage.</w:t>
      </w:r>
    </w:p>
    <w:p>
      <w:pPr>
        <w:keepLines/>
        <w:spacing w:before="100" w:after="40"/>
      </w:pPr>
      <w:r>
        <w:rPr>
          <w:rFonts w:ascii="Arial" w:hAnsi="Arial"/>
          <w:b/>
          <w:i w:val="0"/>
          <w:color w:val="222222"/>
          <w:sz w:val="21"/>
        </w:rPr>
        <w:t>3.3. Which approval approach applies to each lifecycle?</w:t>
      </w:r>
      <w:r>
        <w:rPr>
          <w:rFonts w:ascii="Arial" w:hAnsi="Arial"/>
          <w:b w:val="0"/>
          <w:i/>
          <w:color w:val="595959"/>
          <w:sz w:val="19"/>
        </w:rPr>
        <w:br/>
        <w:t>Response: Select Fixed Approval Process or Configurable Approval Process Template for each lifecycle.</w:t>
      </w:r>
    </w:p>
    <w:p>
      <w:pPr>
        <w:keepLines/>
        <w:spacing w:before="100" w:after="40"/>
      </w:pPr>
      <w:r>
        <w:rPr>
          <w:rFonts w:ascii="Arial" w:hAnsi="Arial"/>
          <w:b/>
          <w:i w:val="0"/>
          <w:color w:val="222222"/>
          <w:sz w:val="21"/>
        </w:rPr>
        <w:t>3.4. For each fixed approval process, what approval steps are required and in what order?</w:t>
      </w:r>
      <w:r>
        <w:rPr>
          <w:rFonts w:ascii="Arial" w:hAnsi="Arial"/>
          <w:b w:val="0"/>
          <w:i/>
          <w:color w:val="595959"/>
          <w:sz w:val="19"/>
        </w:rPr>
        <w:br/>
        <w:t>Response: Identify the approving role, group, or individual for each step and whether steps are sequential or parallel.</w:t>
      </w:r>
    </w:p>
    <w:p>
      <w:pPr>
        <w:keepLines/>
        <w:spacing w:before="100" w:after="40"/>
      </w:pPr>
      <w:r>
        <w:rPr>
          <w:rFonts w:ascii="Arial" w:hAnsi="Arial"/>
          <w:b/>
          <w:i w:val="0"/>
          <w:color w:val="222222"/>
          <w:sz w:val="21"/>
        </w:rPr>
        <w:t>3.5. For parallel approvals, must all assigned approvers approve, or is one approval sufficient?</w:t>
      </w:r>
      <w:r>
        <w:rPr>
          <w:rFonts w:ascii="Arial" w:hAnsi="Arial"/>
          <w:b w:val="0"/>
          <w:i/>
          <w:color w:val="595959"/>
          <w:sz w:val="19"/>
        </w:rPr>
        <w:br/>
        <w:t>Response: State the rule for every parallel approval step.</w:t>
      </w:r>
    </w:p>
    <w:p>
      <w:pPr>
        <w:keepLines/>
        <w:spacing w:before="100" w:after="40"/>
      </w:pPr>
      <w:r>
        <w:rPr>
          <w:rFonts w:ascii="Arial" w:hAnsi="Arial"/>
          <w:b/>
          <w:i w:val="0"/>
          <w:color w:val="222222"/>
          <w:sz w:val="21"/>
        </w:rPr>
        <w:t>3.6. Which configurable approval process templates are required?</w:t>
      </w:r>
      <w:r>
        <w:rPr>
          <w:rFonts w:ascii="Arial" w:hAnsi="Arial"/>
          <w:b w:val="0"/>
          <w:i/>
          <w:color w:val="595959"/>
          <w:sz w:val="19"/>
        </w:rPr>
        <w:br/>
        <w:t>Response: Provide each template name, its standard approval steps, and the lifecycle or document types for which it may be selected.</w:t>
      </w:r>
    </w:p>
    <w:p>
      <w:pPr>
        <w:keepLines/>
        <w:spacing w:before="100" w:after="40"/>
      </w:pPr>
      <w:r>
        <w:rPr>
          <w:rFonts w:ascii="Arial" w:hAnsi="Arial"/>
          <w:b/>
          <w:i w:val="0"/>
          <w:color w:val="222222"/>
          <w:sz w:val="21"/>
        </w:rPr>
        <w:t>3.7. Which parts of a configurable approval process may the document owner change?</w:t>
      </w:r>
      <w:r>
        <w:rPr>
          <w:rFonts w:ascii="Arial" w:hAnsi="Arial"/>
          <w:b w:val="0"/>
          <w:i/>
          <w:color w:val="595959"/>
          <w:sz w:val="19"/>
        </w:rPr>
        <w:br/>
        <w:t>Response: Identify whether approvers, approval steps, order, due dates, or other settings may be changed, and by whom.</w:t>
      </w:r>
    </w:p>
    <w:p>
      <w:pPr>
        <w:keepLines/>
        <w:spacing w:before="100" w:after="40"/>
      </w:pPr>
      <w:r>
        <w:rPr>
          <w:rFonts w:ascii="Arial" w:hAnsi="Arial"/>
          <w:b/>
          <w:i w:val="0"/>
          <w:color w:val="222222"/>
          <w:sz w:val="21"/>
        </w:rPr>
        <w:t>3.8. What should happen when an approver rejects or returns a document?</w:t>
      </w:r>
      <w:r>
        <w:rPr>
          <w:rFonts w:ascii="Arial" w:hAnsi="Arial"/>
          <w:b w:val="0"/>
          <w:i/>
          <w:color w:val="595959"/>
          <w:sz w:val="19"/>
        </w:rPr>
        <w:br/>
        <w:t>Response: Describe the resulting status, who may revise the document, where the approval process restarts, and whether prior approvals remain valid.</w:t>
      </w:r>
    </w:p>
    <w:p>
      <w:pPr>
        <w:keepLines/>
        <w:spacing w:before="100" w:after="40"/>
      </w:pPr>
      <w:r>
        <w:rPr>
          <w:rFonts w:ascii="Arial" w:hAnsi="Arial"/>
          <w:b/>
          <w:i w:val="0"/>
          <w:color w:val="222222"/>
          <w:sz w:val="21"/>
        </w:rPr>
        <w:t>3.9. Are delegate, escalation, reminder, or overdue rules required?</w:t>
      </w:r>
      <w:r>
        <w:rPr>
          <w:rFonts w:ascii="Arial" w:hAnsi="Arial"/>
          <w:b w:val="0"/>
          <w:i/>
          <w:color w:val="595959"/>
          <w:sz w:val="19"/>
        </w:rPr>
        <w:br/>
        <w:t>Response: Describe the rule, timing, recipient, and any exceptions for each lifecycle or approval template.</w:t>
      </w:r>
    </w:p>
    <w:p>
      <w:pPr>
        <w:pStyle w:val="Heading2"/>
      </w:pPr>
      <w:r>
        <w:t>Lifecycle and approval mapping</w:t>
      </w:r>
    </w:p>
    <w:p>
      <w:r>
        <w:rPr>
          <w:rFonts w:ascii="Arial" w:hAnsi="Arial"/>
          <w:b w:val="0"/>
          <w:i/>
          <w:color w:val="595959"/>
          <w:sz w:val="19"/>
        </w:rPr>
        <w:t>Complete one row for each lifecycle. Add rows as needed and attach a detailed approval matrix if the process cannot be described clearly in this table.</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368"/>
            <w:vAlign w:val="center"/>
            <w:shd w:fill="1F4E78"/>
            <w:tcMar>
              <w:top w:w="120" w:type="dxa"/>
              <w:start w:w="120" w:type="dxa"/>
              <w:bottom w:w="120" w:type="dxa"/>
              <w:end w:w="120" w:type="dxa"/>
            </w:tcMar>
          </w:tcPr>
          <w:p>
            <w:pPr>
              <w:spacing w:after="0"/>
              <w:jc w:val="center"/>
            </w:pPr>
            <w:r>
              <w:rPr>
                <w:rFonts w:ascii="Arial" w:hAnsi="Arial"/>
                <w:b/>
                <w:i w:val="0"/>
                <w:color w:val="FFFFFF"/>
                <w:sz w:val="17"/>
              </w:rPr>
              <w:t>Lifecycle name</w:t>
            </w:r>
          </w:p>
        </w:tc>
        <w:tc>
          <w:tcPr>
            <w:tcW w:type="dxa" w:w="1800"/>
            <w:vAlign w:val="center"/>
            <w:shd w:fill="1F4E78"/>
            <w:tcMar>
              <w:top w:w="120" w:type="dxa"/>
              <w:start w:w="120" w:type="dxa"/>
              <w:bottom w:w="120" w:type="dxa"/>
              <w:end w:w="120" w:type="dxa"/>
            </w:tcMar>
          </w:tcPr>
          <w:p>
            <w:pPr>
              <w:spacing w:after="0"/>
              <w:jc w:val="center"/>
            </w:pPr>
            <w:r>
              <w:rPr>
                <w:rFonts w:ascii="Arial" w:hAnsi="Arial"/>
                <w:b/>
                <w:i w:val="0"/>
                <w:color w:val="FFFFFF"/>
                <w:sz w:val="17"/>
              </w:rPr>
              <w:t>Documents or use case</w:t>
            </w:r>
          </w:p>
        </w:tc>
        <w:tc>
          <w:tcPr>
            <w:tcW w:type="dxa" w:w="1512"/>
            <w:vAlign w:val="center"/>
            <w:shd w:fill="1F4E78"/>
            <w:tcMar>
              <w:top w:w="120" w:type="dxa"/>
              <w:start w:w="120" w:type="dxa"/>
              <w:bottom w:w="120" w:type="dxa"/>
              <w:end w:w="120" w:type="dxa"/>
            </w:tcMar>
          </w:tcPr>
          <w:p>
            <w:pPr>
              <w:spacing w:after="0"/>
              <w:jc w:val="center"/>
            </w:pPr>
            <w:r>
              <w:rPr>
                <w:rFonts w:ascii="Arial" w:hAnsi="Arial"/>
                <w:b/>
                <w:i w:val="0"/>
                <w:color w:val="FFFFFF"/>
                <w:sz w:val="17"/>
              </w:rPr>
              <w:t>Approval approach</w:t>
            </w:r>
          </w:p>
        </w:tc>
        <w:tc>
          <w:tcPr>
            <w:tcW w:type="dxa" w:w="1656"/>
            <w:vAlign w:val="center"/>
            <w:shd w:fill="1F4E78"/>
            <w:tcMar>
              <w:top w:w="120" w:type="dxa"/>
              <w:start w:w="120" w:type="dxa"/>
              <w:bottom w:w="120" w:type="dxa"/>
              <w:end w:w="120" w:type="dxa"/>
            </w:tcMar>
          </w:tcPr>
          <w:p>
            <w:pPr>
              <w:spacing w:after="0"/>
              <w:jc w:val="center"/>
            </w:pPr>
            <w:r>
              <w:rPr>
                <w:rFonts w:ascii="Arial" w:hAnsi="Arial"/>
                <w:b/>
                <w:i w:val="0"/>
                <w:color w:val="FFFFFF"/>
                <w:sz w:val="17"/>
              </w:rPr>
              <w:t>Process or template name</w:t>
            </w:r>
          </w:p>
        </w:tc>
        <w:tc>
          <w:tcPr>
            <w:tcW w:type="dxa" w:w="2376"/>
            <w:vAlign w:val="center"/>
            <w:shd w:fill="1F4E78"/>
            <w:tcMar>
              <w:top w:w="120" w:type="dxa"/>
              <w:start w:w="120" w:type="dxa"/>
              <w:bottom w:w="120" w:type="dxa"/>
              <w:end w:w="120" w:type="dxa"/>
            </w:tcMar>
          </w:tcPr>
          <w:p>
            <w:pPr>
              <w:spacing w:after="0"/>
              <w:jc w:val="center"/>
            </w:pPr>
            <w:r>
              <w:rPr>
                <w:rFonts w:ascii="Arial" w:hAnsi="Arial"/>
                <w:b/>
                <w:i w:val="0"/>
                <w:color w:val="FFFFFF"/>
                <w:sz w:val="17"/>
              </w:rPr>
              <w:t>Approval sequence and roles</w:t>
            </w:r>
          </w:p>
        </w:tc>
        <w:tc>
          <w:tcPr>
            <w:tcW w:type="dxa" w:w="1656"/>
            <w:vAlign w:val="center"/>
            <w:shd w:fill="1F4E78"/>
            <w:tcMar>
              <w:top w:w="120" w:type="dxa"/>
              <w:start w:w="120" w:type="dxa"/>
              <w:bottom w:w="120" w:type="dxa"/>
              <w:end w:w="120" w:type="dxa"/>
            </w:tcMar>
          </w:tcPr>
          <w:p>
            <w:pPr>
              <w:spacing w:after="0"/>
              <w:jc w:val="center"/>
            </w:pPr>
            <w:r>
              <w:rPr>
                <w:rFonts w:ascii="Arial" w:hAnsi="Arial"/>
                <w:b/>
                <w:i w:val="0"/>
                <w:color w:val="FFFFFF"/>
                <w:sz w:val="17"/>
              </w:rPr>
              <w:t>Exceptions or notes</w:t>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r>
        <w:tc>
          <w:tcPr>
            <w:tcW w:type="dxa" w:w="1368"/>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800"/>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512"/>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2376"/>
            <w:vAlign w:val="center"/>
            <w:tcMar>
              <w:top w:w="160" w:type="dxa"/>
              <w:start w:w="120" w:type="dxa"/>
              <w:bottom w:w="160" w:type="dxa"/>
              <w:end w:w="120" w:type="dxa"/>
            </w:tcMar>
          </w:tcPr>
          <w:p>
            <w:pPr>
              <w:spacing w:after="0"/>
            </w:pPr>
            <w:r>
              <w:rPr>
                <w:rFonts w:ascii="Arial" w:hAnsi="Arial"/>
                <w:b w:val="0"/>
                <w:i w:val="0"/>
                <w:color w:val="222222"/>
                <w:sz w:val="17"/>
              </w:rPr>
            </w:r>
          </w:p>
        </w:tc>
        <w:tc>
          <w:tcPr>
            <w:tcW w:type="dxa" w:w="1656"/>
            <w:vAlign w:val="center"/>
            <w:tcMar>
              <w:top w:w="160" w:type="dxa"/>
              <w:start w:w="120" w:type="dxa"/>
              <w:bottom w:w="160" w:type="dxa"/>
              <w:end w:w="120" w:type="dxa"/>
            </w:tcMar>
          </w:tcPr>
          <w:p>
            <w:pPr>
              <w:spacing w:after="0"/>
            </w:pPr>
            <w:r>
              <w:rPr>
                <w:rFonts w:ascii="Arial" w:hAnsi="Arial"/>
                <w:b w:val="0"/>
                <w:i w:val="0"/>
                <w:color w:val="222222"/>
                <w:sz w:val="17"/>
              </w:rPr>
            </w:r>
          </w:p>
        </w:tc>
      </w:tr>
    </w:tbl>
    <w:p>
      <w:pPr>
        <w:pStyle w:val="Heading1"/>
      </w:pPr>
      <w:r>
        <w:t>Submission checklist</w:t>
      </w:r>
    </w:p>
    <w:p>
      <w:pPr>
        <w:spacing w:after="60"/>
        <w:ind w:left="346" w:hanging="346"/>
      </w:pPr>
      <w:r>
        <w:rPr>
          <w:rFonts w:ascii="Arial" w:hAnsi="Arial"/>
          <w:b w:val="0"/>
          <w:i w:val="0"/>
          <w:color w:val="222222"/>
          <w:sz w:val="21"/>
        </w:rPr>
        <w:t>☐ The Document Folder Structure template is complete and all calculated paths have been reviewed.</w:t>
      </w:r>
    </w:p>
    <w:p>
      <w:pPr>
        <w:spacing w:after="60"/>
        <w:ind w:left="346" w:hanging="346"/>
      </w:pPr>
      <w:r>
        <w:rPr>
          <w:rFonts w:ascii="Arial" w:hAnsi="Arial"/>
          <w:b w:val="0"/>
          <w:i w:val="0"/>
          <w:color w:val="222222"/>
          <w:sz w:val="21"/>
        </w:rPr>
        <w:t>☐ The Document Category Hierarchy template is complete and all calculated paths have been reviewed.</w:t>
      </w:r>
    </w:p>
    <w:p>
      <w:pPr>
        <w:spacing w:after="60"/>
        <w:ind w:left="346" w:hanging="346"/>
      </w:pPr>
      <w:r>
        <w:rPr>
          <w:rFonts w:ascii="Arial" w:hAnsi="Arial"/>
          <w:b w:val="0"/>
          <w:i w:val="0"/>
          <w:color w:val="222222"/>
          <w:sz w:val="21"/>
        </w:rPr>
        <w:t>☐ Every required document lifecycle is listed.</w:t>
      </w:r>
    </w:p>
    <w:p>
      <w:pPr>
        <w:spacing w:after="60"/>
        <w:ind w:left="346" w:hanging="346"/>
      </w:pPr>
      <w:r>
        <w:rPr>
          <w:rFonts w:ascii="Arial" w:hAnsi="Arial"/>
          <w:b w:val="0"/>
          <w:i w:val="0"/>
          <w:color w:val="222222"/>
          <w:sz w:val="21"/>
        </w:rPr>
        <w:t>☐ Each lifecycle is mapped to a fixed approval process or a configurable approval process template.</w:t>
      </w:r>
    </w:p>
    <w:p>
      <w:pPr>
        <w:spacing w:after="60"/>
        <w:ind w:left="346" w:hanging="346"/>
      </w:pPr>
      <w:r>
        <w:rPr>
          <w:rFonts w:ascii="Arial" w:hAnsi="Arial"/>
          <w:b w:val="0"/>
          <w:i w:val="0"/>
          <w:color w:val="222222"/>
          <w:sz w:val="21"/>
        </w:rPr>
        <w:t>☐ Approval steps, roles, rejection behavior, and any reminder or escalation requirements are documented.</w:t>
      </w:r>
    </w:p>
    <w:p>
      <w:pPr>
        <w:spacing w:after="60"/>
        <w:ind w:left="346" w:hanging="346"/>
      </w:pPr>
      <w:r>
        <w:rPr>
          <w:rFonts w:ascii="Arial" w:hAnsi="Arial"/>
          <w:b w:val="0"/>
          <w:i w:val="0"/>
          <w:color w:val="222222"/>
          <w:sz w:val="21"/>
        </w:rPr>
        <w:t>☐ Supporting procedures, approval matrices, and naming standards are attached where available.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7F7F7F"/>
        <w:sz w:val="16"/>
      </w:rPr>
      <w:t>Intelex Document Control Configuration Guide Part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Intelex Document Control Configuration Guide Part 1</dc:title>
  <dc:subject>Client information request for Document Control hierarchy and approval configuration</dc:subject>
  <dc:creator>Summit EHSQ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