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Summit Sensory Gym</w:t>
      </w:r>
    </w:p>
    <w:p>
      <w:pPr>
        <w:spacing w:after="200"/>
      </w:pPr>
      <w:r>
        <w:rPr>
          <w:b/>
          <w:bCs/>
          <w:sz w:val="32"/>
          <w:szCs w:val="32"/>
        </w:rPr>
        <w:t xml:space="preserve">Internal CPQ Platform — Requirements &amp; Implementation Package</w:t>
      </w:r>
    </w:p>
    <w:p>
      <w:pPr>
        <w:spacing w:after="100"/>
      </w:pPr>
      <w:r>
        <w:rPr>
          <w:i/>
          <w:iCs/>
          <w:color w:val="555555"/>
          <w:sz w:val="24"/>
          <w:szCs w:val="24"/>
        </w:rPr>
        <w:t xml:space="preserve">DRAFT v1 — Prepared for Claude Code development</w:t>
      </w:r>
    </w:p>
    <w:p>
      <w:pPr>
        <w:spacing w:after="400"/>
      </w:pPr>
      <w:r>
        <w:rPr>
          <w:color w:val="555555"/>
          <w:sz w:val="22"/>
          <w:szCs w:val="22"/>
        </w:rPr>
        <w:t xml:space="preserve">Prepared: July 11, 2026</w:t>
      </w:r>
    </w:p>
    <w:p>
      <w:pPr>
        <w:spacing w:after="400"/>
      </w:pPr>
      <w:r>
        <w:rPr>
          <w:i/>
          <w:iCs/>
        </w:rPr>
        <w:t xml:space="preserve">This document contains a mix of CONFIRMED requirements (from a direct interview with the founder) and TEMPORARY ASSUMPTIONS used to keep the specification complete where the interview was intentionally skipped. Every assumption is labeled and must be confirmed, corrected, or rejected by the business owner before development begins on that section. Nothing in this document should be treated as final until reviewed.</w:t>
      </w:r>
    </w:p>
    <w:p>
      <w:pPr>
        <w:pStyle w:val="Heading1"/>
        <w:spacing w:after="200" w:before="400"/>
      </w:pPr>
      <w:r>
        <w:t xml:space="preserve">1. Executive Summary</w:t>
      </w:r>
    </w:p>
    <w:p>
      <w:pPr>
        <w:spacing w:after="160"/>
      </w:pPr>
      <w:r>
        <w:t xml:space="preserve">Summit Sensory Gym currently builds every sales proposal using a large multi-tab Excel workbook. This creates fragile, error-prone calculations, scattered information, manual PDF formatting, and a process that no longer scales with lead volume. The founder currently owns proposal creation start to finish; a second team member depends on hidden hardware/bolt-count data buried in the workbook to run fulfillment.</w:t>
      </w:r>
    </w:p>
    <w:p>
      <w:pPr>
        <w:spacing w:after="160"/>
      </w:pPr>
      <w:r>
        <w:t xml:space="preserve">The goal of this project is an internal Configure-Price-Quote (CPQ) platform that replaces the Excel workbook, cuts proposal creation time from 20–30 minutes to under 5 minutes, and automates the surrounding busywork: freight-rate requests to vendors, third-party sourcing tracking, e-signature routing, and QuickBooks Online invoicing.</w:t>
      </w:r>
    </w:p>
    <w:p>
      <w:pPr>
        <w:spacing w:after="160"/>
      </w:pPr>
      <w:r>
        <w:rPr>
          <w:b/>
          <w:bCs/>
          <w:color w:val="15803D"/>
        </w:rPr>
        <w:t xml:space="preserve">CONFIRMED: </w:t>
      </w:r>
      <w:r>
        <w:t xml:space="preserve">Business objectives and current-state pain points were captured directly from the founder (Section 2 below). All other modules — user roles, data structures, pricing rules, freight vendor specifics, approval thresholds, payment schedules, and reporting priorities — were not covered in the interview by the owner’s choice, and are represented here as reasonable, clearly labeled assumptions based on the original project instructions and CPQ industry norms.</w:t>
      </w:r>
    </w:p>
    <w:p>
      <w:pPr>
        <w:spacing w:after="160"/>
      </w:pPr>
      <w:r>
        <w:t xml:space="preserve">How to use this document: skim Section 9 (Assumptions Register) and Section 10 (Open Questions) first — those are the fastest way to see what needs a decision before anything gets built.</w:t>
      </w:r>
    </w:p>
    <w:p>
      <w:pPr>
        <w:pStyle w:val="Heading1"/>
        <w:spacing w:after="200" w:before="400"/>
      </w:pPr>
      <w:r>
        <w:t xml:space="preserve">2. Confirmed Requirements (Business Objectives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Mar>
              <w:top w:type="dxa" w:w="80"/>
              <w:left w:type="dxa" w:w="100"/>
              <w:bottom w:type="dxa" w:w="80"/>
              <w:right w:type="dxa" w:w="100"/>
            </w:tcMar>
          </w:tcPr>
          <w:p>
            <w:r>
              <w:rPr>
                <w:b/>
                <w:bCs/>
              </w:rPr>
              <w:t xml:space="preserve">Area</w:t>
            </w:r>
          </w:p>
        </w:tc>
        <w:tc>
          <w:tcPr>
            <w:tcW w:type="dxa" w:w="6960"/>
            <w:shd w:fill="D9E2F3" w:color="auto" w:val="clear"/>
            <w:tcMar>
              <w:top w:type="dxa" w:w="80"/>
              <w:left w:type="dxa" w:w="100"/>
              <w:bottom w:type="dxa" w:w="80"/>
              <w:right w:type="dxa" w:w="100"/>
            </w:tcMar>
          </w:tcPr>
          <w:p>
            <w:r>
              <w:rPr>
                <w:b/>
                <w:bCs/>
              </w:rPr>
              <w:t xml:space="preserve">What was confirmed</w:t>
            </w:r>
          </w:p>
        </w:tc>
      </w:tr>
      <w:tr>
        <w:tc>
          <w:tcPr>
            <w:tcW w:type="dxa" w:w="2400"/>
            <w:tcMar>
              <w:top w:type="dxa" w:w="80"/>
              <w:left w:type="dxa" w:w="100"/>
              <w:bottom w:type="dxa" w:w="80"/>
              <w:right w:type="dxa" w:w="100"/>
            </w:tcMar>
          </w:tcPr>
          <w:p>
            <w:r>
              <w:rPr>
                <w:b w:val="false"/>
                <w:bCs w:val="false"/>
              </w:rPr>
              <w:t xml:space="preserve">Current process</w:t>
            </w:r>
          </w:p>
        </w:tc>
        <w:tc>
          <w:tcPr>
            <w:tcW w:type="dxa" w:w="6960"/>
            <w:tcMar>
              <w:top w:type="dxa" w:w="80"/>
              <w:left w:type="dxa" w:w="100"/>
              <w:bottom w:type="dxa" w:w="80"/>
              <w:right w:type="dxa" w:w="100"/>
            </w:tcMar>
          </w:tcPr>
          <w:p>
            <w:r>
              <w:rPr>
                <w:b w:val="false"/>
                <w:bCs w:val="false"/>
              </w:rPr>
              <w:t xml:space="preserve">Proposals are built in a multi-tab Excel workbook. Formula changes on one sheet often aren’t mirrored on related sheets, causing calculation errors. Data needed for a proposal is scattered across sheets. Empty lines must be manually filtered before sending, and the PDF print layout must be manually adjusted to look right.</w:t>
            </w:r>
          </w:p>
        </w:tc>
      </w:tr>
      <w:tr>
        <w:tc>
          <w:tcPr>
            <w:tcW w:type="dxa" w:w="2400"/>
            <w:tcMar>
              <w:top w:type="dxa" w:w="80"/>
              <w:left w:type="dxa" w:w="100"/>
              <w:bottom w:type="dxa" w:w="80"/>
              <w:right w:type="dxa" w:w="100"/>
            </w:tcMar>
          </w:tcPr>
          <w:p>
            <w:r>
              <w:rPr>
                <w:b w:val="false"/>
                <w:bCs w:val="false"/>
              </w:rPr>
              <w:t xml:space="preserve">Target speed</w:t>
            </w:r>
          </w:p>
        </w:tc>
        <w:tc>
          <w:tcPr>
            <w:tcW w:type="dxa" w:w="6960"/>
            <w:tcMar>
              <w:top w:type="dxa" w:w="80"/>
              <w:left w:type="dxa" w:w="100"/>
              <w:bottom w:type="dxa" w:w="80"/>
              <w:right w:type="dxa" w:w="100"/>
            </w:tcMar>
          </w:tcPr>
          <w:p>
            <w:r>
              <w:rPr>
                <w:b w:val="false"/>
                <w:bCs w:val="false"/>
              </w:rPr>
              <w:t xml:space="preserve">Reduce proposal creation time from 20–30 minutes today to under 5 minutes.</w:t>
            </w:r>
          </w:p>
        </w:tc>
      </w:tr>
      <w:tr>
        <w:tc>
          <w:tcPr>
            <w:tcW w:type="dxa" w:w="2400"/>
            <w:tcMar>
              <w:top w:type="dxa" w:w="80"/>
              <w:left w:type="dxa" w:w="100"/>
              <w:bottom w:type="dxa" w:w="80"/>
              <w:right w:type="dxa" w:w="100"/>
            </w:tcMar>
          </w:tcPr>
          <w:p>
            <w:r>
              <w:rPr>
                <w:b w:val="false"/>
                <w:bCs w:val="false"/>
              </w:rPr>
              <w:t xml:space="preserve">Volume</w:t>
            </w:r>
          </w:p>
        </w:tc>
        <w:tc>
          <w:tcPr>
            <w:tcW w:type="dxa" w:w="6960"/>
            <w:tcMar>
              <w:top w:type="dxa" w:w="80"/>
              <w:left w:type="dxa" w:w="100"/>
              <w:bottom w:type="dxa" w:w="80"/>
              <w:right w:type="dxa" w:w="100"/>
            </w:tcMar>
          </w:tcPr>
          <w:p>
            <w:r>
              <w:rPr>
                <w:b w:val="false"/>
                <w:bCs w:val="false"/>
              </w:rPr>
              <w:t xml:space="preserve">30–50 proposals sent per month; 15–20 active projects (sold, not yet installed) in flight at once.</w:t>
            </w:r>
          </w:p>
        </w:tc>
      </w:tr>
      <w:tr>
        <w:tc>
          <w:tcPr>
            <w:tcW w:type="dxa" w:w="2400"/>
            <w:tcMar>
              <w:top w:type="dxa" w:w="80"/>
              <w:left w:type="dxa" w:w="100"/>
              <w:bottom w:type="dxa" w:w="80"/>
              <w:right w:type="dxa" w:w="100"/>
            </w:tcMar>
          </w:tcPr>
          <w:p>
            <w:r>
              <w:rPr>
                <w:b w:val="false"/>
                <w:bCs w:val="false"/>
              </w:rPr>
              <w:t xml:space="preserve">Who builds proposals</w:t>
            </w:r>
          </w:p>
        </w:tc>
        <w:tc>
          <w:tcPr>
            <w:tcW w:type="dxa" w:w="6960"/>
            <w:tcMar>
              <w:top w:type="dxa" w:w="80"/>
              <w:left w:type="dxa" w:w="100"/>
              <w:bottom w:type="dxa" w:w="80"/>
              <w:right w:type="dxa" w:w="100"/>
            </w:tcMar>
          </w:tcPr>
          <w:p>
            <w:r>
              <w:rPr>
                <w:b w:val="false"/>
                <w:bCs w:val="false"/>
              </w:rPr>
              <w:t xml:space="preserve">The founder builds every proposal start to finish today.</w:t>
            </w:r>
          </w:p>
        </w:tc>
      </w:tr>
      <w:tr>
        <w:tc>
          <w:tcPr>
            <w:tcW w:type="dxa" w:w="2400"/>
            <w:tcMar>
              <w:top w:type="dxa" w:w="80"/>
              <w:left w:type="dxa" w:w="100"/>
              <w:bottom w:type="dxa" w:w="80"/>
              <w:right w:type="dxa" w:w="100"/>
            </w:tcMar>
          </w:tcPr>
          <w:p>
            <w:r>
              <w:rPr>
                <w:b w:val="false"/>
                <w:bCs w:val="false"/>
              </w:rPr>
              <w:t xml:space="preserve">Fulfillment hand-off</w:t>
            </w:r>
          </w:p>
        </w:tc>
        <w:tc>
          <w:tcPr>
            <w:tcW w:type="dxa" w:w="6960"/>
            <w:tcMar>
              <w:top w:type="dxa" w:w="80"/>
              <w:left w:type="dxa" w:w="100"/>
              <w:bottom w:type="dxa" w:w="80"/>
              <w:right w:type="dxa" w:w="100"/>
            </w:tcMar>
          </w:tcPr>
          <w:p>
            <w:r>
              <w:rPr>
                <w:b w:val="false"/>
                <w:bCs w:val="false"/>
              </w:rPr>
              <w:t xml:space="preserve">A second team member needs to see the hardware/bolt-count breakdown hidden behind each proposal line (e.g., a "$500 hardware" line may represent 20–30 individual hardware pieces) so they can confirm accuracy before sending the order to the manufacturer.</w:t>
            </w:r>
          </w:p>
        </w:tc>
      </w:tr>
      <w:tr>
        <w:tc>
          <w:tcPr>
            <w:tcW w:type="dxa" w:w="2400"/>
            <w:tcMar>
              <w:top w:type="dxa" w:w="80"/>
              <w:left w:type="dxa" w:w="100"/>
              <w:bottom w:type="dxa" w:w="80"/>
              <w:right w:type="dxa" w:w="100"/>
            </w:tcMar>
          </w:tcPr>
          <w:p>
            <w:r>
              <w:rPr>
                <w:b w:val="false"/>
                <w:bCs w:val="false"/>
              </w:rPr>
              <w:t xml:space="preserve">Third-party sourcing</w:t>
            </w:r>
          </w:p>
        </w:tc>
        <w:tc>
          <w:tcPr>
            <w:tcW w:type="dxa" w:w="6960"/>
            <w:tcMar>
              <w:top w:type="dxa" w:w="80"/>
              <w:left w:type="dxa" w:w="100"/>
              <w:bottom w:type="dxa" w:w="80"/>
              <w:right w:type="dxa" w:w="100"/>
            </w:tcMar>
          </w:tcPr>
          <w:p>
            <w:r>
              <w:rPr>
                <w:b w:val="false"/>
                <w:bCs w:val="false"/>
              </w:rPr>
              <w:t xml:space="preserve">Some proposal line items must be ordered from outside vendors after a deal closes. The founder wants the system to flag which items need outside sourcing and produce a report tracking order status (ordered vs. pending) per item.</w:t>
            </w:r>
          </w:p>
        </w:tc>
      </w:tr>
      <w:tr>
        <w:tc>
          <w:tcPr>
            <w:tcW w:type="dxa" w:w="2400"/>
            <w:tcMar>
              <w:top w:type="dxa" w:w="80"/>
              <w:left w:type="dxa" w:w="100"/>
              <w:bottom w:type="dxa" w:w="80"/>
              <w:right w:type="dxa" w:w="100"/>
            </w:tcMar>
          </w:tcPr>
          <w:p>
            <w:r>
              <w:rPr>
                <w:b w:val="false"/>
                <w:bCs w:val="false"/>
              </w:rPr>
              <w:t xml:space="preserve">Freight requests</w:t>
            </w:r>
          </w:p>
        </w:tc>
        <w:tc>
          <w:tcPr>
            <w:tcW w:type="dxa" w:w="6960"/>
            <w:tcMar>
              <w:top w:type="dxa" w:w="80"/>
              <w:left w:type="dxa" w:w="100"/>
              <w:bottom w:type="dxa" w:w="80"/>
              <w:right w:type="dxa" w:w="100"/>
            </w:tcMar>
          </w:tcPr>
          <w:p>
            <w:r>
              <w:rPr>
                <w:b w:val="false"/>
                <w:bCs w:val="false"/>
              </w:rPr>
              <w:t xml:space="preserve">Freight quotes are currently requested by manually emailing vendors per product; there is no reliable way to track who has responded, who hasn’t, or whether a request was even sent. This has caused missed requests that surface as problems after order approval.</w:t>
            </w:r>
          </w:p>
        </w:tc>
      </w:tr>
      <w:tr>
        <w:tc>
          <w:tcPr>
            <w:tcW w:type="dxa" w:w="2400"/>
            <w:tcMar>
              <w:top w:type="dxa" w:w="80"/>
              <w:left w:type="dxa" w:w="100"/>
              <w:bottom w:type="dxa" w:w="80"/>
              <w:right w:type="dxa" w:w="100"/>
            </w:tcMar>
          </w:tcPr>
          <w:p>
            <w:r>
              <w:rPr>
                <w:b w:val="false"/>
                <w:bCs w:val="false"/>
              </w:rPr>
              <w:t xml:space="preserve">Vision — automation</w:t>
            </w:r>
          </w:p>
        </w:tc>
        <w:tc>
          <w:tcPr>
            <w:tcW w:type="dxa" w:w="6960"/>
            <w:tcMar>
              <w:top w:type="dxa" w:w="80"/>
              <w:left w:type="dxa" w:w="100"/>
              <w:bottom w:type="dxa" w:w="80"/>
              <w:right w:type="dxa" w:w="100"/>
            </w:tcMar>
          </w:tcPr>
          <w:p>
            <w:r>
              <w:rPr>
                <w:b w:val="false"/>
                <w:bCs w:val="false"/>
              </w:rPr>
              <w:t xml:space="preserve">On proposal creation, the system should automatically push freight requests to the right vendor/contact; maintain a full audit trail of proposal changes and actions; and eliminate manual re-verification of proposal quantities/quality.</w:t>
            </w:r>
          </w:p>
        </w:tc>
      </w:tr>
      <w:tr>
        <w:tc>
          <w:tcPr>
            <w:tcW w:type="dxa" w:w="2400"/>
            <w:tcMar>
              <w:top w:type="dxa" w:w="80"/>
              <w:left w:type="dxa" w:w="100"/>
              <w:bottom w:type="dxa" w:w="80"/>
              <w:right w:type="dxa" w:w="100"/>
            </w:tcMar>
          </w:tcPr>
          <w:p>
            <w:r>
              <w:rPr>
                <w:b w:val="false"/>
                <w:bCs w:val="false"/>
              </w:rPr>
              <w:t xml:space="preserve">Vision — PandaDoc</w:t>
            </w:r>
          </w:p>
        </w:tc>
        <w:tc>
          <w:tcPr>
            <w:tcW w:type="dxa" w:w="6960"/>
            <w:tcMar>
              <w:top w:type="dxa" w:w="80"/>
              <w:left w:type="dxa" w:w="100"/>
              <w:bottom w:type="dxa" w:w="80"/>
              <w:right w:type="dxa" w:w="100"/>
            </w:tcMar>
          </w:tcPr>
          <w:p>
            <w:r>
              <w:rPr>
                <w:b w:val="false"/>
                <w:bCs w:val="false"/>
              </w:rPr>
              <w:t xml:space="preserve">Completing a proposal should be able to trigger a PandaDoc envelope for customer e-signature.</w:t>
            </w:r>
          </w:p>
        </w:tc>
      </w:tr>
      <w:tr>
        <w:tc>
          <w:tcPr>
            <w:tcW w:type="dxa" w:w="2400"/>
            <w:tcMar>
              <w:top w:type="dxa" w:w="80"/>
              <w:left w:type="dxa" w:w="100"/>
              <w:bottom w:type="dxa" w:w="80"/>
              <w:right w:type="dxa" w:w="100"/>
            </w:tcMar>
          </w:tcPr>
          <w:p>
            <w:r>
              <w:rPr>
                <w:b w:val="false"/>
                <w:bCs w:val="false"/>
              </w:rPr>
              <w:t xml:space="preserve">Vision — QuickBooks Online</w:t>
            </w:r>
          </w:p>
        </w:tc>
        <w:tc>
          <w:tcPr>
            <w:tcW w:type="dxa" w:w="6960"/>
            <w:tcMar>
              <w:top w:type="dxa" w:w="80"/>
              <w:left w:type="dxa" w:w="100"/>
              <w:bottom w:type="dxa" w:w="80"/>
              <w:right w:type="dxa" w:w="100"/>
            </w:tcMar>
          </w:tcPr>
          <w:p>
            <w:r>
              <w:rPr>
                <w:b w:val="false"/>
                <w:bCs w:val="false"/>
              </w:rPr>
              <w:t xml:space="preserve">An accepted/signed proposal should automatically create the corresponding invoice in QuickBooks Online, removing manual invoice entry.</w:t>
            </w:r>
          </w:p>
        </w:tc>
      </w:tr>
      <w:tr>
        <w:tc>
          <w:tcPr>
            <w:tcW w:type="dxa" w:w="2400"/>
            <w:tcMar>
              <w:top w:type="dxa" w:w="80"/>
              <w:left w:type="dxa" w:w="100"/>
              <w:bottom w:type="dxa" w:w="80"/>
              <w:right w:type="dxa" w:w="100"/>
            </w:tcMar>
          </w:tcPr>
          <w:p>
            <w:r>
              <w:rPr>
                <w:b w:val="false"/>
                <w:bCs w:val="false"/>
              </w:rPr>
              <w:t xml:space="preserve">Vision — vendor pricing</w:t>
            </w:r>
          </w:p>
        </w:tc>
        <w:tc>
          <w:tcPr>
            <w:tcW w:type="dxa" w:w="6960"/>
            <w:tcMar>
              <w:top w:type="dxa" w:w="80"/>
              <w:left w:type="dxa" w:w="100"/>
              <w:bottom w:type="dxa" w:w="80"/>
              <w:right w:type="dxa" w:w="100"/>
            </w:tcMar>
          </w:tcPr>
          <w:p>
            <w:r>
              <w:rPr>
                <w:b w:val="false"/>
                <w:bCs w:val="false"/>
              </w:rPr>
              <w:t xml:space="preserve">The system should pull current vendor product pricing automatically, instead of manually checking vendor websites for price changes.</w:t>
            </w:r>
          </w:p>
        </w:tc>
      </w:tr>
      <w:tr>
        <w:tc>
          <w:tcPr>
            <w:tcW w:type="dxa" w:w="2400"/>
            <w:tcMar>
              <w:top w:type="dxa" w:w="80"/>
              <w:left w:type="dxa" w:w="100"/>
              <w:bottom w:type="dxa" w:w="80"/>
              <w:right w:type="dxa" w:w="100"/>
            </w:tcMar>
          </w:tcPr>
          <w:p>
            <w:r>
              <w:rPr>
                <w:b w:val="false"/>
                <w:bCs w:val="false"/>
              </w:rPr>
              <w:t xml:space="preserve">Strategic driver</w:t>
            </w:r>
          </w:p>
        </w:tc>
        <w:tc>
          <w:tcPr>
            <w:tcW w:type="dxa" w:w="6960"/>
            <w:tcMar>
              <w:top w:type="dxa" w:w="80"/>
              <w:left w:type="dxa" w:w="100"/>
              <w:bottom w:type="dxa" w:w="80"/>
              <w:right w:type="dxa" w:w="100"/>
            </w:tcMar>
          </w:tcPr>
          <w:p>
            <w:r>
              <w:rPr>
                <w:b w:val="false"/>
                <w:bCs w:val="false"/>
              </w:rPr>
              <w:t xml:space="preserve">Growth. The manual process worked at low volume but does not scale to current lead/proposal volume.</w:t>
            </w:r>
          </w:p>
        </w:tc>
      </w:tr>
    </w:tbl>
    <w:p>
      <w:pPr>
        <w:pStyle w:val="Heading1"/>
        <w:spacing w:after="200" w:before="400"/>
      </w:pPr>
      <w:r>
        <w:t xml:space="preserve">3. Requirement Classification Key</w:t>
      </w:r>
    </w:p>
    <w:p>
      <w:pPr>
        <w:spacing w:after="160"/>
      </w:pPr>
      <w:r>
        <w:t xml:space="preserve">Every requirement in this document is tagged with one of the following, per the project’s own governance rules. This prevents future ideas from silently becoming Version 1 commitments.</w:t>
      </w:r>
    </w:p>
    <w:p>
      <w:pPr>
        <w:pStyle w:val="ListParagraph"/>
        <w:numPr>
          <w:ilvl w:val="0"/>
          <w:numId w:val="2"/>
        </w:numPr>
        <w:spacing w:after="60"/>
      </w:pPr>
      <w:r>
        <w:t xml:space="preserve">Required for V1 — Must exist for the first usable release.</w:t>
      </w:r>
    </w:p>
    <w:p>
      <w:pPr>
        <w:pStyle w:val="ListParagraph"/>
        <w:numPr>
          <w:ilvl w:val="0"/>
          <w:numId w:val="2"/>
        </w:numPr>
        <w:spacing w:after="60"/>
      </w:pPr>
      <w:r>
        <w:t xml:space="preserve">Recommended for V1 — Not strictly required, but strongly advised to include at launch.</w:t>
      </w:r>
    </w:p>
    <w:p>
      <w:pPr>
        <w:pStyle w:val="ListParagraph"/>
        <w:numPr>
          <w:ilvl w:val="0"/>
          <w:numId w:val="2"/>
        </w:numPr>
        <w:spacing w:after="60"/>
      </w:pPr>
      <w:r>
        <w:t xml:space="preserve">Future enhancement — Explicitly deferred to a later phase.</w:t>
      </w:r>
    </w:p>
    <w:p>
      <w:pPr>
        <w:pStyle w:val="ListParagraph"/>
        <w:numPr>
          <w:ilvl w:val="0"/>
          <w:numId w:val="2"/>
        </w:numPr>
        <w:spacing w:after="60"/>
      </w:pPr>
      <w:r>
        <w:t xml:space="preserve">Open decision — Cannot be scoped until the owner decides something.</w:t>
      </w:r>
    </w:p>
    <w:p>
      <w:pPr>
        <w:pStyle w:val="ListParagraph"/>
        <w:numPr>
          <w:ilvl w:val="0"/>
          <w:numId w:val="2"/>
        </w:numPr>
        <w:spacing w:after="60"/>
      </w:pPr>
      <w:r>
        <w:t xml:space="preserve">Not recommended — Considered and rejected, with reasoning noted.</w:t>
      </w:r>
    </w:p>
    <w:p>
      <w:pPr>
        <w:pStyle w:val="ListParagraph"/>
        <w:numPr>
          <w:ilvl w:val="0"/>
          <w:numId w:val="2"/>
        </w:numPr>
        <w:spacing w:after="60"/>
      </w:pPr>
      <w:r>
        <w:t xml:space="preserve">Out of scope — Explicitly excluded from this project.</w:t>
      </w:r>
    </w:p>
    <w:p>
      <w:pPr>
        <w:pStyle w:val="ListParagraph"/>
        <w:numPr>
          <w:ilvl w:val="0"/>
          <w:numId w:val="2"/>
        </w:numPr>
        <w:spacing w:after="60"/>
      </w:pPr>
      <w:r>
        <w:t xml:space="preserve">Requires 3rd-party integration — Depends on an external vendor/API and their capabilities.</w:t>
      </w:r>
    </w:p>
    <w:p>
      <w:pPr>
        <w:pStyle w:val="ListParagraph"/>
        <w:numPr>
          <w:ilvl w:val="0"/>
          <w:numId w:val="2"/>
        </w:numPr>
        <w:spacing w:after="60"/>
      </w:pPr>
      <w:r>
        <w:t xml:space="preserve">Requires accounting review — Needs sign-off from whoever manages the books.</w:t>
      </w:r>
    </w:p>
    <w:p>
      <w:pPr>
        <w:pStyle w:val="Heading1"/>
        <w:spacing w:after="200" w:before="400"/>
      </w:pPr>
      <w:r>
        <w:t xml:space="preserve">4. User Roles &amp; Permissions</w:t>
      </w:r>
    </w:p>
    <w:p>
      <w:pPr>
        <w:spacing w:after="160"/>
      </w:pPr>
      <w:r>
        <w:rPr>
          <w:b/>
          <w:bCs/>
          <w:color w:val="B45309"/>
        </w:rPr>
        <w:t xml:space="preserve">ASSUMPTION — NEEDS CONFIRMATION: </w:t>
      </w:r>
      <w:r>
        <w:t xml:space="preserve">No roles beyond "founder" and "fulfillment" were confirmed. The table below is a starting proposal based on the two roles mentioned plus standard CPQ roles (accounting, installation). Confirm, rename, remove, or add roles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shd w:fill="D9E2F3" w:color="auto" w:val="clear"/>
            <w:tcMar>
              <w:top w:type="dxa" w:w="80"/>
              <w:left w:type="dxa" w:w="100"/>
              <w:bottom w:type="dxa" w:w="80"/>
              <w:right w:type="dxa" w:w="100"/>
            </w:tcMar>
          </w:tcPr>
          <w:p>
            <w:r>
              <w:rPr>
                <w:b/>
                <w:bCs/>
              </w:rPr>
              <w:t xml:space="preserve">Role</w:t>
            </w:r>
          </w:p>
        </w:tc>
        <w:tc>
          <w:tcPr>
            <w:tcW w:type="dxa" w:w="5200"/>
            <w:shd w:fill="D9E2F3" w:color="auto" w:val="clear"/>
            <w:tcMar>
              <w:top w:type="dxa" w:w="80"/>
              <w:left w:type="dxa" w:w="100"/>
              <w:bottom w:type="dxa" w:w="80"/>
              <w:right w:type="dxa" w:w="100"/>
            </w:tcMar>
          </w:tcPr>
          <w:p>
            <w:r>
              <w:rPr>
                <w:b/>
                <w:bCs/>
              </w:rPr>
              <w:t xml:space="preserve">Assumed purpose</w:t>
            </w:r>
          </w:p>
        </w:tc>
        <w:tc>
          <w:tcPr>
            <w:tcW w:type="dxa" w:w="1560"/>
            <w:shd w:fill="D9E2F3" w:color="auto" w:val="clear"/>
            <w:tcMar>
              <w:top w:type="dxa" w:w="80"/>
              <w:left w:type="dxa" w:w="100"/>
              <w:bottom w:type="dxa" w:w="80"/>
              <w:right w:type="dxa" w:w="100"/>
            </w:tcMar>
          </w:tcPr>
          <w:p>
            <w:r>
              <w:rPr>
                <w:b/>
                <w:bCs/>
              </w:rPr>
              <w:t xml:space="preserve">Sees cost/margin?</w:t>
            </w:r>
          </w:p>
        </w:tc>
      </w:tr>
      <w:tr>
        <w:tc>
          <w:tcPr>
            <w:tcW w:type="dxa" w:w="2600"/>
            <w:tcMar>
              <w:top w:type="dxa" w:w="80"/>
              <w:left w:type="dxa" w:w="100"/>
              <w:bottom w:type="dxa" w:w="80"/>
              <w:right w:type="dxa" w:w="100"/>
            </w:tcMar>
          </w:tcPr>
          <w:p>
            <w:r>
              <w:rPr>
                <w:b w:val="false"/>
                <w:bCs w:val="false"/>
              </w:rPr>
              <w:t xml:space="preserve">Owner / Admin (Bryan)</w:t>
            </w:r>
          </w:p>
        </w:tc>
        <w:tc>
          <w:tcPr>
            <w:tcW w:type="dxa" w:w="5200"/>
            <w:tcMar>
              <w:top w:type="dxa" w:w="80"/>
              <w:left w:type="dxa" w:w="100"/>
              <w:bottom w:type="dxa" w:w="80"/>
              <w:right w:type="dxa" w:w="100"/>
            </w:tcMar>
          </w:tcPr>
          <w:p>
            <w:r>
              <w:rPr>
                <w:b w:val="false"/>
                <w:bCs w:val="false"/>
              </w:rPr>
              <w:t xml:space="preserve">Full access: proposals, pricing, users, integrations, reports.</w:t>
            </w:r>
          </w:p>
        </w:tc>
        <w:tc>
          <w:tcPr>
            <w:tcW w:type="dxa" w:w="1560"/>
            <w:tcMar>
              <w:top w:type="dxa" w:w="80"/>
              <w:left w:type="dxa" w:w="100"/>
              <w:bottom w:type="dxa" w:w="80"/>
              <w:right w:type="dxa" w:w="100"/>
            </w:tcMar>
          </w:tcPr>
          <w:p>
            <w:r>
              <w:rPr>
                <w:b w:val="false"/>
                <w:bCs w:val="false"/>
              </w:rPr>
              <w:t xml:space="preserve">Yes</w:t>
            </w:r>
          </w:p>
        </w:tc>
      </w:tr>
      <w:tr>
        <w:tc>
          <w:tcPr>
            <w:tcW w:type="dxa" w:w="2600"/>
            <w:tcMar>
              <w:top w:type="dxa" w:w="80"/>
              <w:left w:type="dxa" w:w="100"/>
              <w:bottom w:type="dxa" w:w="80"/>
              <w:right w:type="dxa" w:w="100"/>
            </w:tcMar>
          </w:tcPr>
          <w:p>
            <w:r>
              <w:rPr>
                <w:b w:val="false"/>
                <w:bCs w:val="false"/>
              </w:rPr>
              <w:t xml:space="preserve">Sales / Proposal Creator</w:t>
            </w:r>
          </w:p>
        </w:tc>
        <w:tc>
          <w:tcPr>
            <w:tcW w:type="dxa" w:w="5200"/>
            <w:tcMar>
              <w:top w:type="dxa" w:w="80"/>
              <w:left w:type="dxa" w:w="100"/>
              <w:bottom w:type="dxa" w:w="80"/>
              <w:right w:type="dxa" w:w="100"/>
            </w:tcMar>
          </w:tcPr>
          <w:p>
            <w:r>
              <w:rPr>
                <w:b w:val="false"/>
                <w:bCs w:val="false"/>
              </w:rPr>
              <w:t xml:space="preserve">Build and send proposals; request freight; view own pipeline.</w:t>
            </w:r>
          </w:p>
        </w:tc>
        <w:tc>
          <w:tcPr>
            <w:tcW w:type="dxa" w:w="1560"/>
            <w:tcMar>
              <w:top w:type="dxa" w:w="80"/>
              <w:left w:type="dxa" w:w="100"/>
              <w:bottom w:type="dxa" w:w="80"/>
              <w:right w:type="dxa" w:w="100"/>
            </w:tcMar>
          </w:tcPr>
          <w:p>
            <w:r>
              <w:rPr>
                <w:b w:val="false"/>
                <w:bCs w:val="false"/>
              </w:rPr>
              <w:t xml:space="preserve">Open decision</w:t>
            </w:r>
          </w:p>
        </w:tc>
      </w:tr>
      <w:tr>
        <w:tc>
          <w:tcPr>
            <w:tcW w:type="dxa" w:w="2600"/>
            <w:tcMar>
              <w:top w:type="dxa" w:w="80"/>
              <w:left w:type="dxa" w:w="100"/>
              <w:bottom w:type="dxa" w:w="80"/>
              <w:right w:type="dxa" w:w="100"/>
            </w:tcMar>
          </w:tcPr>
          <w:p>
            <w:r>
              <w:rPr>
                <w:b w:val="false"/>
                <w:bCs w:val="false"/>
              </w:rPr>
              <w:t xml:space="preserve">Fulfillment / Production</w:t>
            </w:r>
          </w:p>
        </w:tc>
        <w:tc>
          <w:tcPr>
            <w:tcW w:type="dxa" w:w="5200"/>
            <w:tcMar>
              <w:top w:type="dxa" w:w="80"/>
              <w:left w:type="dxa" w:w="100"/>
              <w:bottom w:type="dxa" w:w="80"/>
              <w:right w:type="dxa" w:w="100"/>
            </w:tcMar>
          </w:tcPr>
          <w:p>
            <w:r>
              <w:rPr>
                <w:b w:val="false"/>
                <w:bCs w:val="false"/>
              </w:rPr>
              <w:t xml:space="preserve">View hardware/BOM breakdown and sourcing status on accepted proposals; cannot see customer pricing.</w:t>
            </w:r>
          </w:p>
        </w:tc>
        <w:tc>
          <w:tcPr>
            <w:tcW w:type="dxa" w:w="1560"/>
            <w:tcMar>
              <w:top w:type="dxa" w:w="80"/>
              <w:left w:type="dxa" w:w="100"/>
              <w:bottom w:type="dxa" w:w="80"/>
              <w:right w:type="dxa" w:w="100"/>
            </w:tcMar>
          </w:tcPr>
          <w:p>
            <w:r>
              <w:rPr>
                <w:b w:val="false"/>
                <w:bCs w:val="false"/>
              </w:rPr>
              <w:t xml:space="preserve">No (BOM/qty only, not $ unless decided otherwise)</w:t>
            </w:r>
          </w:p>
        </w:tc>
      </w:tr>
      <w:tr>
        <w:tc>
          <w:tcPr>
            <w:tcW w:type="dxa" w:w="2600"/>
            <w:tcMar>
              <w:top w:type="dxa" w:w="80"/>
              <w:left w:type="dxa" w:w="100"/>
              <w:bottom w:type="dxa" w:w="80"/>
              <w:right w:type="dxa" w:w="100"/>
            </w:tcMar>
          </w:tcPr>
          <w:p>
            <w:r>
              <w:rPr>
                <w:b w:val="false"/>
                <w:bCs w:val="false"/>
              </w:rPr>
              <w:t xml:space="preserve">Installation</w:t>
            </w:r>
          </w:p>
        </w:tc>
        <w:tc>
          <w:tcPr>
            <w:tcW w:type="dxa" w:w="5200"/>
            <w:tcMar>
              <w:top w:type="dxa" w:w="80"/>
              <w:left w:type="dxa" w:w="100"/>
              <w:bottom w:type="dxa" w:w="80"/>
              <w:right w:type="dxa" w:w="100"/>
            </w:tcMar>
          </w:tcPr>
          <w:p>
            <w:r>
              <w:rPr>
                <w:b w:val="false"/>
                <w:bCs w:val="false"/>
              </w:rPr>
              <w:t xml:space="preserve">View project details, schedule, and site information for accepted projects.</w:t>
            </w:r>
          </w:p>
        </w:tc>
        <w:tc>
          <w:tcPr>
            <w:tcW w:type="dxa" w:w="1560"/>
            <w:tcMar>
              <w:top w:type="dxa" w:w="80"/>
              <w:left w:type="dxa" w:w="100"/>
              <w:bottom w:type="dxa" w:w="80"/>
              <w:right w:type="dxa" w:w="100"/>
            </w:tcMar>
          </w:tcPr>
          <w:p>
            <w:r>
              <w:rPr>
                <w:b w:val="false"/>
                <w:bCs w:val="false"/>
              </w:rPr>
              <w:t xml:space="preserve">No</w:t>
            </w:r>
          </w:p>
        </w:tc>
      </w:tr>
      <w:tr>
        <w:tc>
          <w:tcPr>
            <w:tcW w:type="dxa" w:w="2600"/>
            <w:tcMar>
              <w:top w:type="dxa" w:w="80"/>
              <w:left w:type="dxa" w:w="100"/>
              <w:bottom w:type="dxa" w:w="80"/>
              <w:right w:type="dxa" w:w="100"/>
            </w:tcMar>
          </w:tcPr>
          <w:p>
            <w:r>
              <w:rPr>
                <w:b w:val="false"/>
                <w:bCs w:val="false"/>
              </w:rPr>
              <w:t xml:space="preserve">Accounting</w:t>
            </w:r>
          </w:p>
        </w:tc>
        <w:tc>
          <w:tcPr>
            <w:tcW w:type="dxa" w:w="5200"/>
            <w:tcMar>
              <w:top w:type="dxa" w:w="80"/>
              <w:left w:type="dxa" w:w="100"/>
              <w:bottom w:type="dxa" w:w="80"/>
              <w:right w:type="dxa" w:w="100"/>
            </w:tcMar>
          </w:tcPr>
          <w:p>
            <w:r>
              <w:rPr>
                <w:b w:val="false"/>
                <w:bCs w:val="false"/>
              </w:rPr>
              <w:t xml:space="preserve">View invoice/payment status synced from QuickBooks Online.</w:t>
            </w:r>
          </w:p>
        </w:tc>
        <w:tc>
          <w:tcPr>
            <w:tcW w:type="dxa" w:w="1560"/>
            <w:tcMar>
              <w:top w:type="dxa" w:w="80"/>
              <w:left w:type="dxa" w:w="100"/>
              <w:bottom w:type="dxa" w:w="80"/>
              <w:right w:type="dxa" w:w="100"/>
            </w:tcMar>
          </w:tcPr>
          <w:p>
            <w:r>
              <w:rPr>
                <w:b w:val="false"/>
                <w:bCs w:val="false"/>
              </w:rPr>
              <w:t xml:space="preserve">Open decision</w:t>
            </w:r>
          </w:p>
        </w:tc>
      </w:tr>
      <w:tr>
        <w:tc>
          <w:tcPr>
            <w:tcW w:type="dxa" w:w="2600"/>
            <w:tcMar>
              <w:top w:type="dxa" w:w="80"/>
              <w:left w:type="dxa" w:w="100"/>
              <w:bottom w:type="dxa" w:w="80"/>
              <w:right w:type="dxa" w:w="100"/>
            </w:tcMar>
          </w:tcPr>
          <w:p>
            <w:r>
              <w:rPr>
                <w:b w:val="false"/>
                <w:bCs w:val="false"/>
              </w:rPr>
              <w:t xml:space="preserve">Read-only / Executive</w:t>
            </w:r>
          </w:p>
        </w:tc>
        <w:tc>
          <w:tcPr>
            <w:tcW w:type="dxa" w:w="5200"/>
            <w:tcMar>
              <w:top w:type="dxa" w:w="80"/>
              <w:left w:type="dxa" w:w="100"/>
              <w:bottom w:type="dxa" w:w="80"/>
              <w:right w:type="dxa" w:w="100"/>
            </w:tcMar>
          </w:tcPr>
          <w:p>
            <w:r>
              <w:rPr>
                <w:b w:val="false"/>
                <w:bCs w:val="false"/>
              </w:rPr>
              <w:t xml:space="preserve">View dashboards and reports only.</w:t>
            </w:r>
          </w:p>
        </w:tc>
        <w:tc>
          <w:tcPr>
            <w:tcW w:type="dxa" w:w="1560"/>
            <w:tcMar>
              <w:top w:type="dxa" w:w="80"/>
              <w:left w:type="dxa" w:w="100"/>
              <w:bottom w:type="dxa" w:w="80"/>
              <w:right w:type="dxa" w:w="100"/>
            </w:tcMar>
          </w:tcPr>
          <w:p>
            <w:r>
              <w:rPr>
                <w:b w:val="false"/>
                <w:bCs w:val="false"/>
              </w:rPr>
              <w:t xml:space="preserve">Open decision</w:t>
            </w:r>
          </w:p>
        </w:tc>
      </w:tr>
    </w:tbl>
    <w:p>
      <w:pPr>
        <w:pStyle w:val="Heading1"/>
        <w:spacing w:after="200" w:before="400"/>
      </w:pPr>
      <w:r>
        <w:t xml:space="preserve">5. Core Modules</w:t>
      </w:r>
    </w:p>
    <w:p>
      <w:pPr>
        <w:pStyle w:val="Heading2"/>
        <w:spacing w:after="150" w:before="300"/>
      </w:pPr>
      <w:r>
        <w:t xml:space="preserve">5.1 Customer &amp; Contact Management</w:t>
      </w:r>
    </w:p>
    <w:p>
      <w:pPr>
        <w:spacing w:after="160"/>
      </w:pPr>
      <w:r>
        <w:rPr>
          <w:b/>
          <w:bCs/>
          <w:color w:val="B45309"/>
        </w:rPr>
        <w:t xml:space="preserve">ASSUMPTION — NEEDS CONFIRMATION: </w:t>
      </w:r>
      <w:r>
        <w:t xml:space="preserve">No specific fields were confirmed. Recommend standard CPQ fields: legal name, DBA, billing/shipping/project address, phone, tax-exempt status + documentation, QuickBooks Online customer link, notes, documents, and multiple contacts per customer (name, title, email, phone, role, primary/billing/decision-maker flags).</w:t>
      </w:r>
    </w:p>
    <w:p>
      <w:pPr>
        <w:spacing w:after="160"/>
      </w:pPr>
      <w:r>
        <w:t xml:space="preserve">Classification: Required for V1 (core to any CPQ system).</w:t>
      </w:r>
    </w:p>
    <w:p>
      <w:pPr>
        <w:pStyle w:val="Heading2"/>
        <w:spacing w:after="150" w:before="300"/>
      </w:pPr>
      <w:r>
        <w:t xml:space="preserve">5.2 Project Management</w:t>
      </w:r>
    </w:p>
    <w:p>
      <w:pPr>
        <w:spacing w:after="160"/>
      </w:pPr>
      <w:r>
        <w:rPr>
          <w:b/>
          <w:bCs/>
          <w:color w:val="B45309"/>
        </w:rPr>
        <w:t xml:space="preserve">ASSUMPTION — NEEDS CONFIRMATION: </w:t>
      </w:r>
      <w:r>
        <w:t xml:space="preserve">Recommend one project per sold engagement, linked to a customer, holding: location, salesperson, status, target install date, floor plans/photos/renderings, and full proposal/invoice/freight/installation history. Exact status stages are an open decision.</w:t>
      </w:r>
    </w:p>
    <w:p>
      <w:pPr>
        <w:spacing w:after="160"/>
      </w:pPr>
      <w:r>
        <w:t xml:space="preserve">Classification: Required for V1 — directly supports the "15–20 active projects in flight" tracking problem the founder described.</w:t>
      </w:r>
    </w:p>
    <w:p>
      <w:pPr>
        <w:pStyle w:val="Heading2"/>
        <w:spacing w:after="150" w:before="300"/>
      </w:pPr>
      <w:r>
        <w:t xml:space="preserve">5.3 Product Database &amp; Bill of Materials (BOM)</w:t>
      </w:r>
    </w:p>
    <w:p>
      <w:pPr>
        <w:spacing w:after="160"/>
      </w:pPr>
      <w:r>
        <w:rPr>
          <w:b/>
          <w:bCs/>
          <w:color w:val="15803D"/>
        </w:rPr>
        <w:t xml:space="preserve">CONFIRMED: </w:t>
      </w:r>
      <w:r>
        <w:t xml:space="preserve">Each product needs a hidden hardware/component breakdown (BOM) that fulfillment must verify before an order goes to the manufacturer.</w:t>
      </w:r>
    </w:p>
    <w:p>
      <w:pPr>
        <w:spacing w:after="160"/>
      </w:pPr>
      <w:r>
        <w:rPr>
          <w:b/>
          <w:bCs/>
          <w:color w:val="B45309"/>
        </w:rPr>
        <w:t xml:space="preserve">ASSUMPTION — NEEDS CONFIRMATION: </w:t>
      </w:r>
      <w:r>
        <w:t xml:space="preserve">Whether the BOM is a fixed table per SKU (e.g., "Frame Model A = 24 x 3/8″ bolts, 12 x brackets…") or calculated by formula (e.g., driven by dimensions) was not confirmed. Recommend table-based BOM per SKU/variant for accuracy and auditability, with formula-driven quantities only where a product genuinely scales with a configurable dimension. This must be confirmed against real product examples before the data model is finalized.</w:t>
      </w:r>
    </w:p>
    <w:p>
      <w:pPr>
        <w:spacing w:after="160"/>
      </w:pPr>
      <w:r>
        <w:t xml:space="preserve">Classification: Required for V1 (this directly replaces the most error-prone part of the current Excel process).</w:t>
      </w:r>
    </w:p>
    <w:p>
      <w:pPr>
        <w:pStyle w:val="Heading2"/>
        <w:spacing w:after="150" w:before="300"/>
      </w:pPr>
      <w:r>
        <w:t xml:space="preserve">5.4 Product Configuration &amp; Rules</w:t>
      </w:r>
    </w:p>
    <w:p>
      <w:pPr>
        <w:spacing w:after="160"/>
      </w:pPr>
      <w:r>
        <w:rPr>
          <w:b/>
          <w:bCs/>
          <w:color w:val="B45309"/>
        </w:rPr>
        <w:t xml:space="preserve">ASSUMPTION — NEEDS CONFIRMATION: </w:t>
      </w:r>
      <w:r>
        <w:t xml:space="preserve">No configuration rules (compatible/incompatible products, required accessories, approval triggers) were discussed. Recommend deferring a full rules engine to Phase 2/3 and shipping V1 with simple product + BOM + manual quantity selection.</w:t>
      </w:r>
    </w:p>
    <w:p>
      <w:pPr>
        <w:spacing w:after="160"/>
      </w:pPr>
      <w:r>
        <w:t xml:space="preserve">Classification: Future enhancement, pending examples of real configuration constraints.</w:t>
      </w:r>
    </w:p>
    <w:p>
      <w:pPr>
        <w:pStyle w:val="Heading2"/>
        <w:spacing w:after="150" w:before="300"/>
      </w:pPr>
      <w:r>
        <w:t xml:space="preserve">5.5 Third-Party Sourcing &amp; Purchase Tracking</w:t>
      </w:r>
    </w:p>
    <w:p>
      <w:pPr>
        <w:spacing w:after="160"/>
      </w:pPr>
      <w:r>
        <w:rPr>
          <w:b/>
          <w:bCs/>
          <w:color w:val="15803D"/>
        </w:rPr>
        <w:t xml:space="preserve">CONFIRMED: </w:t>
      </w:r>
      <w:r>
        <w:t xml:space="preserve">The founder specifically asked for a way to flag which proposal line items require third-party vendor sourcing, and to generate a report tracking order status (e.g., Not Ordered / Ordered / Confirmed / Received) per item after a proposal is signed.</w:t>
      </w:r>
    </w:p>
    <w:p>
      <w:pPr>
        <w:spacing w:after="160"/>
      </w:pPr>
      <w:r>
        <w:t xml:space="preserve">Recommended V1 behavior:</w:t>
      </w:r>
    </w:p>
    <w:p>
      <w:pPr>
        <w:pStyle w:val="ListParagraph"/>
        <w:numPr>
          <w:ilvl w:val="0"/>
          <w:numId w:val="2"/>
        </w:numPr>
        <w:spacing w:after="60"/>
      </w:pPr>
      <w:r>
        <w:t xml:space="preserve">Each product record has a flag: "Sourced internally" vs. "Third-party sourced," with the responsible vendor attached.</w:t>
      </w:r>
    </w:p>
    <w:p>
      <w:pPr>
        <w:pStyle w:val="ListParagraph"/>
        <w:numPr>
          <w:ilvl w:val="0"/>
          <w:numId w:val="2"/>
        </w:numPr>
        <w:spacing w:after="60"/>
      </w:pPr>
      <w:r>
        <w:t xml:space="preserve">When a proposal is accepted, the system auto-generates a sourcing checklist per project, one row per third-party item.</w:t>
      </w:r>
    </w:p>
    <w:p>
      <w:pPr>
        <w:pStyle w:val="ListParagraph"/>
        <w:numPr>
          <w:ilvl w:val="0"/>
          <w:numId w:val="2"/>
        </w:numPr>
        <w:spacing w:after="60"/>
      </w:pPr>
      <w:r>
        <w:t xml:space="preserve">Status field per item, manually updated by whoever places the order (Not Ordered / Ordered / Confirmed / Received) — no vendor portal integration assumed for V1.</w:t>
      </w:r>
    </w:p>
    <w:p>
      <w:pPr>
        <w:pStyle w:val="ListParagraph"/>
        <w:numPr>
          <w:ilvl w:val="0"/>
          <w:numId w:val="2"/>
        </w:numPr>
        <w:spacing w:after="60"/>
      </w:pPr>
      <w:r>
        <w:t xml:space="preserve">A report/dashboard view across all active projects showing outstanding (Not Ordered) items, so nothing falls through the cracks.</w:t>
      </w:r>
    </w:p>
    <w:p>
      <w:pPr>
        <w:spacing w:after="160"/>
      </w:pPr>
      <w:r>
        <w:t xml:space="preserve">Classification: Required for V1.</w:t>
      </w:r>
    </w:p>
    <w:p>
      <w:pPr>
        <w:pStyle w:val="Heading2"/>
        <w:spacing w:after="150" w:before="300"/>
      </w:pPr>
      <w:r>
        <w:t xml:space="preserve">5.6 Freight Request &amp; Tracking Subsystem</w:t>
      </w:r>
    </w:p>
    <w:p>
      <w:pPr>
        <w:spacing w:after="160"/>
      </w:pPr>
      <w:r>
        <w:rPr>
          <w:b/>
          <w:bCs/>
          <w:color w:val="15803D"/>
        </w:rPr>
        <w:t xml:space="preserve">CONFIRMED: </w:t>
      </w:r>
      <w:r>
        <w:t xml:space="preserve">This was named as a major pain point: freight quotes are requested manually per vendor/product by email, with no reliable tracking of sent/received/forgotten requests.</w:t>
      </w:r>
    </w:p>
    <w:p>
      <w:pPr>
        <w:spacing w:after="160"/>
      </w:pPr>
      <w:r>
        <w:t xml:space="preserve">Recommended V1 behavior:</w:t>
      </w:r>
    </w:p>
    <w:p>
      <w:pPr>
        <w:pStyle w:val="ListParagraph"/>
        <w:numPr>
          <w:ilvl w:val="0"/>
          <w:numId w:val="2"/>
        </w:numPr>
        <w:spacing w:after="60"/>
      </w:pPr>
      <w:r>
        <w:t xml:space="preserve">When a proposal is created and includes items requiring freight quotes, the system identifies the responsible vendor(s) per item.</w:t>
      </w:r>
    </w:p>
    <w:p>
      <w:pPr>
        <w:pStyle w:val="ListParagraph"/>
        <w:numPr>
          <w:ilvl w:val="0"/>
          <w:numId w:val="2"/>
        </w:numPr>
        <w:spacing w:after="60"/>
      </w:pPr>
      <w:r>
        <w:t xml:space="preserve">System auto-sends (or auto-drafts, pending vendor capability) a freight request referencing the specific product(s) and shipping destination.</w:t>
      </w:r>
    </w:p>
    <w:p>
      <w:pPr>
        <w:pStyle w:val="ListParagraph"/>
        <w:numPr>
          <w:ilvl w:val="0"/>
          <w:numId w:val="2"/>
        </w:numPr>
        <w:spacing w:after="60"/>
      </w:pPr>
      <w:r>
        <w:t xml:space="preserve">Each request is tracked with a status: Requested / Awaiting Response / Received / Expired / Not Yet Sent — with "Not Yet Sent" specifically solving the "I forgot to request freight" problem.</w:t>
      </w:r>
    </w:p>
    <w:p>
      <w:pPr>
        <w:pStyle w:val="ListParagraph"/>
        <w:numPr>
          <w:ilvl w:val="0"/>
          <w:numId w:val="2"/>
        </w:numPr>
        <w:spacing w:after="60"/>
      </w:pPr>
      <w:r>
        <w:t xml:space="preserve">A dashboard shows all outstanding freight requests across active proposals/projects, filterable by vendor or proposal.</w:t>
      </w:r>
    </w:p>
    <w:p>
      <w:pPr>
        <w:spacing w:after="160"/>
      </w:pPr>
      <w:r>
        <w:rPr>
          <w:b/>
          <w:bCs/>
          <w:color w:val="B45309"/>
        </w:rPr>
        <w:t xml:space="preserve">ASSUMPTION — NEEDS CONFIRMATION: </w:t>
      </w:r>
      <w:r>
        <w:t xml:space="preserve">Whether requests can be fully automated (API/structured email) depends on which vendors support it — this needs a vendor-by-vendor capability review before scoping true automation vs. a "generate + log" version for V1.</w:t>
      </w:r>
    </w:p>
    <w:p>
      <w:pPr>
        <w:spacing w:after="160"/>
      </w:pPr>
      <w:r>
        <w:t xml:space="preserve">Classification: Required for V1 (tracking/visibility); Requires 3rd-party integration for true automation (open decision, per vendor).</w:t>
      </w:r>
    </w:p>
    <w:p>
      <w:pPr>
        <w:pStyle w:val="Heading2"/>
        <w:spacing w:after="150" w:before="300"/>
      </w:pPr>
      <w:r>
        <w:t xml:space="preserve">5.7 Pricing Engine</w:t>
      </w:r>
    </w:p>
    <w:p>
      <w:pPr>
        <w:spacing w:after="160"/>
      </w:pPr>
      <w:r>
        <w:rPr>
          <w:b/>
          <w:bCs/>
          <w:color w:val="B45309"/>
        </w:rPr>
        <w:t xml:space="preserve">ASSUMPTION — NEEDS CONFIRMATION: </w:t>
      </w:r>
      <w:r>
        <w:t xml:space="preserve">No pricing rules, discount policies, or margin thresholds were confirmed. Recommend standard CPQ pricing engine: product price/cost, line and proposal-level discounts, minimum-margin enforcement, and manual override with approval. Vendor cost auto-pull (the founder’s "don’t make me check the website" ask) is listed separately below since it depends on vendor-by-vendor feasibility.</w:t>
      </w:r>
    </w:p>
    <w:p>
      <w:pPr>
        <w:spacing w:after="160"/>
      </w:pPr>
      <w:r>
        <w:t xml:space="preserve">Classification: Required for V1 (core calculation); discount/approval thresholds are Open decisions.</w:t>
      </w:r>
    </w:p>
    <w:p>
      <w:pPr>
        <w:pStyle w:val="Heading2"/>
        <w:spacing w:after="150" w:before="300"/>
      </w:pPr>
      <w:r>
        <w:t xml:space="preserve">5.8 Vendor Price Auto-Pull</w:t>
      </w:r>
    </w:p>
    <w:p>
      <w:pPr>
        <w:spacing w:after="160"/>
      </w:pPr>
      <w:r>
        <w:rPr>
          <w:b/>
          <w:bCs/>
          <w:color w:val="15803D"/>
        </w:rPr>
        <w:t xml:space="preserve">CONFIRMED: </w:t>
      </w:r>
      <w:r>
        <w:t xml:space="preserve">The founder wants current vendor pricing pulled automatically rather than manually checked on vendor websites.</w:t>
      </w:r>
    </w:p>
    <w:p>
      <w:pPr>
        <w:spacing w:after="160"/>
      </w:pPr>
      <w:r>
        <w:rPr>
          <w:b/>
          <w:bCs/>
          <w:color w:val="B45309"/>
        </w:rPr>
        <w:t xml:space="preserve">ASSUMPTION — NEEDS CONFIRMATION: </w:t>
      </w:r>
      <w:r>
        <w:t xml:space="preserve">Feasibility depends entirely on whether each vendor exposes a price list, API, or scrapeable catalog page. Recommend Phase 2+ after auditing vendor sources; V1 can support manual price updates with an effective-date field so stale pricing is at least visible.</w:t>
      </w:r>
    </w:p>
    <w:p>
      <w:pPr>
        <w:spacing w:after="160"/>
      </w:pPr>
      <w:r>
        <w:t xml:space="preserve">Classification: Recommended, contingent on vendor-by-vendor research; Requires 3rd-party integration.</w:t>
      </w:r>
    </w:p>
    <w:p>
      <w:pPr>
        <w:pStyle w:val="Heading2"/>
        <w:spacing w:after="150" w:before="300"/>
      </w:pPr>
      <w:r>
        <w:t xml:space="preserve">5.9 Proposal Builder</w:t>
      </w:r>
    </w:p>
    <w:p>
      <w:pPr>
        <w:spacing w:after="160"/>
      </w:pPr>
      <w:r>
        <w:rPr>
          <w:b/>
          <w:bCs/>
          <w:color w:val="15803D"/>
        </w:rPr>
        <w:t xml:space="preserve">CONFIRMED: </w:t>
      </w:r>
      <w:r>
        <w:t xml:space="preserve">The founder wants to select items and have the system generate a clean proposal automatically — no manually filtering empty lines, no manually adjusting PDF layout.</w:t>
      </w:r>
    </w:p>
    <w:p>
      <w:pPr>
        <w:spacing w:after="160"/>
      </w:pPr>
      <w:r>
        <w:t xml:space="preserve">Recommended V1 behavior:</w:t>
      </w:r>
    </w:p>
    <w:p>
      <w:pPr>
        <w:pStyle w:val="ListParagraph"/>
        <w:numPr>
          <w:ilvl w:val="0"/>
          <w:numId w:val="2"/>
        </w:numPr>
        <w:spacing w:after="60"/>
      </w:pPr>
      <w:r>
        <w:t xml:space="preserve">Item picker with search/filter by category; adding an item populates description, price, and image automatically from the product database.</w:t>
      </w:r>
    </w:p>
    <w:p>
      <w:pPr>
        <w:pStyle w:val="ListParagraph"/>
        <w:numPr>
          <w:ilvl w:val="0"/>
          <w:numId w:val="2"/>
        </w:numPr>
        <w:spacing w:after="60"/>
      </w:pPr>
      <w:r>
        <w:t xml:space="preserve">Empty/unused sections and lines are automatically excluded from the generated document — never a manual step.</w:t>
      </w:r>
    </w:p>
    <w:p>
      <w:pPr>
        <w:pStyle w:val="ListParagraph"/>
        <w:numPr>
          <w:ilvl w:val="0"/>
          <w:numId w:val="2"/>
        </w:numPr>
        <w:spacing w:after="60"/>
      </w:pPr>
      <w:r>
        <w:t xml:space="preserve">One-click PDF (or PandaDoc) generation with a fixed, tested layout — no manual page-fit adjustment.</w:t>
      </w:r>
    </w:p>
    <w:p>
      <w:pPr>
        <w:pStyle w:val="ListParagraph"/>
        <w:numPr>
          <w:ilvl w:val="0"/>
          <w:numId w:val="2"/>
        </w:numPr>
        <w:spacing w:after="60"/>
      </w:pPr>
      <w:r>
        <w:t xml:space="preserve">Proposal duplication/cloning from a prior project to speed up similar builds.</w:t>
      </w:r>
    </w:p>
    <w:p>
      <w:pPr>
        <w:pStyle w:val="ListParagraph"/>
        <w:numPr>
          <w:ilvl w:val="0"/>
          <w:numId w:val="2"/>
        </w:numPr>
        <w:spacing w:after="60"/>
      </w:pPr>
      <w:r>
        <w:t xml:space="preserve">Revisions create a new version; the previously sent version is preserved unchanged (see 5.9.1).</w:t>
      </w:r>
    </w:p>
    <w:p>
      <w:pPr>
        <w:spacing w:after="160"/>
      </w:pPr>
      <w:r>
        <w:rPr>
          <w:b/>
          <w:bCs/>
          <w:color w:val="B45309"/>
        </w:rPr>
        <w:t xml:space="preserve">ASSUMPTION — NEEDS CONFIRMATION: </w:t>
      </w:r>
      <w:r>
        <w:t xml:space="preserve">Exact proposal status stages (Draft, Sent, Accepted, Declined, Expired, etc.) were not confirmed. Recommend the standard set from the original project instructions as a starting point, to be reviewed once the builder is prototyped.</w:t>
      </w:r>
    </w:p>
    <w:p>
      <w:pPr>
        <w:spacing w:after="160"/>
      </w:pPr>
      <w:r>
        <w:t xml:space="preserve">Classification: Required for V1 — this is the core replacement for the Excel workbook.</w:t>
      </w:r>
    </w:p>
    <w:p>
      <w:pPr>
        <w:pStyle w:val="Heading3"/>
        <w:spacing w:after="100" w:before="200"/>
      </w:pPr>
      <w:r>
        <w:t xml:space="preserve">5.9.1 Versioning &amp; Historical Accuracy</w:t>
      </w:r>
    </w:p>
    <w:p>
      <w:pPr>
        <w:spacing w:after="160"/>
      </w:pPr>
      <w:r>
        <w:rPr>
          <w:b/>
          <w:bCs/>
          <w:color w:val="B45309"/>
        </w:rPr>
        <w:t xml:space="preserve">ASSUMPTION — NEEDS CONFIRMATION: </w:t>
      </w:r>
      <w:r>
        <w:t xml:space="preserve">Not explicitly discussed, but required by the original project instructions: a previously sent proposal must never change when current pricing, product descriptions, or terms change later. Each issued proposal should snapshot its pricing, products, and terms at time of issue.</w:t>
      </w:r>
    </w:p>
    <w:p>
      <w:pPr>
        <w:spacing w:after="160"/>
      </w:pPr>
      <w:r>
        <w:t xml:space="preserve">Classification: Required for V1.</w:t>
      </w:r>
    </w:p>
    <w:p>
      <w:pPr>
        <w:pStyle w:val="Heading2"/>
        <w:spacing w:after="150" w:before="300"/>
      </w:pPr>
      <w:r>
        <w:t xml:space="preserve">5.10 Approval Workflows</w:t>
      </w:r>
    </w:p>
    <w:p>
      <w:pPr>
        <w:spacing w:after="160"/>
      </w:pPr>
      <w:r>
        <w:rPr>
          <w:b/>
          <w:bCs/>
          <w:color w:val="B45309"/>
        </w:rPr>
        <w:t xml:space="preserve">ASSUMPTION — NEEDS CONFIRMATION: </w:t>
      </w:r>
      <w:r>
        <w:t xml:space="preserve">No discount thresholds, margin floors, or approval chains were confirmed. Recommend deferring a formal approval workflow to Phase 2 unless the founder identifies a specific trigger (e.g., "discounts over X% need my approval") before V1 build starts.</w:t>
      </w:r>
    </w:p>
    <w:p>
      <w:pPr>
        <w:spacing w:after="160"/>
      </w:pPr>
      <w:r>
        <w:t xml:space="preserve">Classification: Open decision / Future enhancement.</w:t>
      </w:r>
    </w:p>
    <w:p>
      <w:pPr>
        <w:pStyle w:val="Heading2"/>
        <w:spacing w:after="150" w:before="300"/>
      </w:pPr>
      <w:r>
        <w:t xml:space="preserve">5.11 PandaDoc E-Signature Integration</w:t>
      </w:r>
    </w:p>
    <w:p>
      <w:pPr>
        <w:spacing w:after="160"/>
      </w:pPr>
      <w:r>
        <w:rPr>
          <w:b/>
          <w:bCs/>
          <w:color w:val="15803D"/>
        </w:rPr>
        <w:t xml:space="preserve">CONFIRMED: </w:t>
      </w:r>
      <w:r>
        <w:t xml:space="preserve">The founder wants proposal completion to be able to trigger a PandaDoc envelope for customer signature.</w:t>
      </w:r>
    </w:p>
    <w:p>
      <w:pPr>
        <w:spacing w:after="160"/>
      </w:pPr>
      <w:r>
        <w:t xml:space="preserve">Classification: Recommended for V1 — directly named in the founder’s "what done looks like" answer. Requires 3rd-party integration (PandaDoc API).</w:t>
      </w:r>
    </w:p>
    <w:p>
      <w:pPr>
        <w:pStyle w:val="Heading2"/>
        <w:spacing w:after="150" w:before="300"/>
      </w:pPr>
      <w:r>
        <w:t xml:space="preserve">5.12 QuickBooks Online Integration</w:t>
      </w:r>
    </w:p>
    <w:p>
      <w:pPr>
        <w:spacing w:after="160"/>
      </w:pPr>
      <w:r>
        <w:rPr>
          <w:b/>
          <w:bCs/>
          <w:color w:val="15803D"/>
        </w:rPr>
        <w:t xml:space="preserve">CONFIRMED: </w:t>
      </w:r>
      <w:r>
        <w:t xml:space="preserve">The founder wants an accepted proposal to automatically create the matching invoice in QuickBooks Online, eliminating manual invoice entry.</w:t>
      </w:r>
    </w:p>
    <w:p>
      <w:pPr>
        <w:spacing w:after="160"/>
      </w:pPr>
      <w:r>
        <w:t xml:space="preserve">Recommended V1 behavior, per the original project’s QuickBooks Online governance rules:</w:t>
      </w:r>
    </w:p>
    <w:p>
      <w:pPr>
        <w:pStyle w:val="ListParagraph"/>
        <w:numPr>
          <w:ilvl w:val="0"/>
          <w:numId w:val="2"/>
        </w:numPr>
        <w:spacing w:after="60"/>
      </w:pPr>
      <w:r>
        <w:t xml:space="preserve">QuickBooks Online remains the source of truth for invoice status, balances, and payments — the internal app never marks something "paid" on its own.</w:t>
      </w:r>
    </w:p>
    <w:p>
      <w:pPr>
        <w:pStyle w:val="ListParagraph"/>
        <w:numPr>
          <w:ilvl w:val="0"/>
          <w:numId w:val="2"/>
        </w:numPr>
        <w:spacing w:after="60"/>
      </w:pPr>
      <w:r>
        <w:t xml:space="preserve">Before invoice creation, the system checks the customer is linked (or creates one, avoiding duplicates), all line items are mapped to QuickBooks products/services, and no invoice already exists for that proposal/milestone.</w:t>
      </w:r>
    </w:p>
    <w:p>
      <w:pPr>
        <w:pStyle w:val="ListParagraph"/>
        <w:numPr>
          <w:ilvl w:val="0"/>
          <w:numId w:val="2"/>
        </w:numPr>
        <w:spacing w:after="60"/>
      </w:pPr>
      <w:r>
        <w:t xml:space="preserve">Deposit vs. progress vs. full invoices depend on the payment schedule (Section 5.13, still an open decision).</w:t>
      </w:r>
    </w:p>
    <w:p>
      <w:pPr>
        <w:pStyle w:val="ListParagraph"/>
        <w:numPr>
          <w:ilvl w:val="0"/>
          <w:numId w:val="2"/>
        </w:numPr>
        <w:spacing w:after="60"/>
      </w:pPr>
      <w:r>
        <w:t xml:space="preserve">All QuickBooks Online actions are logged to the audit trail (Section 5.15).</w:t>
      </w:r>
    </w:p>
    <w:p>
      <w:pPr>
        <w:spacing w:after="160"/>
      </w:pPr>
      <w:r>
        <w:t xml:space="preserve">Classification: Required for V1. Requires 3rd-party integration (QuickBooks Online API); requires accounting review before go-live.</w:t>
      </w:r>
    </w:p>
    <w:p>
      <w:pPr>
        <w:pStyle w:val="Heading2"/>
        <w:spacing w:after="150" w:before="300"/>
      </w:pPr>
      <w:r>
        <w:t xml:space="preserve">5.13 Payment Schedules</w:t>
      </w:r>
    </w:p>
    <w:p>
      <w:pPr>
        <w:spacing w:after="160"/>
      </w:pPr>
      <w:r>
        <w:rPr>
          <w:b/>
          <w:bCs/>
          <w:color w:val="B45309"/>
        </w:rPr>
        <w:t xml:space="preserve">ASSUMPTION — NEEDS CONFIRMATION: </w:t>
      </w:r>
      <w:r>
        <w:t xml:space="preserve">Not discussed. The system needs to know whether a project is invoiced 100% upfront, deposit + final, or milestone-based, since this drives QuickBooks Online invoice creation. This must be confirmed directly with the founder before Section 5.12 can be finalized.</w:t>
      </w:r>
    </w:p>
    <w:p>
      <w:pPr>
        <w:spacing w:after="160"/>
      </w:pPr>
      <w:r>
        <w:t xml:space="preserve">Classification: Open decision — blocks final QuickBooks Online invoice logic.</w:t>
      </w:r>
    </w:p>
    <w:p>
      <w:pPr>
        <w:pStyle w:val="Heading2"/>
        <w:spacing w:after="150" w:before="300"/>
      </w:pPr>
      <w:r>
        <w:t xml:space="preserve">5.14 Reporting &amp; Dashboards</w:t>
      </w:r>
    </w:p>
    <w:p>
      <w:pPr>
        <w:spacing w:after="160"/>
      </w:pPr>
      <w:r>
        <w:rPr>
          <w:b/>
          <w:bCs/>
          <w:color w:val="15803D"/>
        </w:rPr>
        <w:t xml:space="preserve">CONFIRMED: </w:t>
      </w:r>
      <w:r>
        <w:t xml:space="preserve">Two reports were specifically requested: (1) third-party sourcing status per project, and (2) outstanding freight-request status across proposals.</w:t>
      </w:r>
    </w:p>
    <w:p>
      <w:pPr>
        <w:spacing w:after="160"/>
      </w:pPr>
      <w:r>
        <w:rPr>
          <w:b/>
          <w:bCs/>
          <w:color w:val="B45309"/>
        </w:rPr>
        <w:t xml:space="preserve">ASSUMPTION — NEEDS CONFIRMATION: </w:t>
      </w:r>
      <w:r>
        <w:t xml:space="preserve">Additional standard CPQ reports (sales by customer/product/salesperson, proposal win rate, average cycle time, margin reporting) are recommended but not yet confirmed as priorities.</w:t>
      </w:r>
    </w:p>
    <w:p>
      <w:pPr>
        <w:spacing w:after="160"/>
      </w:pPr>
      <w:r>
        <w:t xml:space="preserve">Classification: Sourcing/freight reports — Required for V1. General sales/margin reporting — Recommended for V1.</w:t>
      </w:r>
    </w:p>
    <w:p>
      <w:pPr>
        <w:pStyle w:val="Heading2"/>
        <w:spacing w:after="150" w:before="300"/>
      </w:pPr>
      <w:r>
        <w:t xml:space="preserve">5.15 Security &amp; Audit History</w:t>
      </w:r>
    </w:p>
    <w:p>
      <w:pPr>
        <w:spacing w:after="160"/>
      </w:pPr>
      <w:r>
        <w:rPr>
          <w:b/>
          <w:bCs/>
          <w:color w:val="15803D"/>
        </w:rPr>
        <w:t xml:space="preserve">CONFIRMED: </w:t>
      </w:r>
      <w:r>
        <w:t xml:space="preserve">The founder wants a full audit trail of changes/actions on proposals, so the team doesn’t need to manually re-verify quantities or quality.</w:t>
      </w:r>
    </w:p>
    <w:p>
      <w:pPr>
        <w:spacing w:after="160"/>
      </w:pPr>
      <w:r>
        <w:t xml:space="preserve">Classification: Required for V1.</w:t>
      </w:r>
    </w:p>
    <w:p>
      <w:pPr>
        <w:pStyle w:val="Heading2"/>
        <w:spacing w:after="150" w:before="300"/>
      </w:pPr>
      <w:r>
        <w:t xml:space="preserve">5.16 Integrations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shd w:fill="D9E2F3" w:color="auto" w:val="clear"/>
            <w:tcMar>
              <w:top w:type="dxa" w:w="80"/>
              <w:left w:type="dxa" w:w="100"/>
              <w:bottom w:type="dxa" w:w="80"/>
              <w:right w:type="dxa" w:w="100"/>
            </w:tcMar>
          </w:tcPr>
          <w:p>
            <w:r>
              <w:rPr>
                <w:b/>
                <w:bCs/>
              </w:rPr>
              <w:t xml:space="preserve">Integration</w:t>
            </w:r>
          </w:p>
        </w:tc>
        <w:tc>
          <w:tcPr>
            <w:tcW w:type="dxa" w:w="2960"/>
            <w:shd w:fill="D9E2F3" w:color="auto" w:val="clear"/>
            <w:tcMar>
              <w:top w:type="dxa" w:w="80"/>
              <w:left w:type="dxa" w:w="100"/>
              <w:bottom w:type="dxa" w:w="80"/>
              <w:right w:type="dxa" w:w="100"/>
            </w:tcMar>
          </w:tcPr>
          <w:p>
            <w:r>
              <w:rPr>
                <w:b/>
                <w:bCs/>
              </w:rPr>
              <w:t xml:space="preserve">Purpose</w:t>
            </w:r>
          </w:p>
        </w:tc>
        <w:tc>
          <w:tcPr>
            <w:tcW w:type="dxa" w:w="3200"/>
            <w:shd w:fill="D9E2F3" w:color="auto" w:val="clear"/>
            <w:tcMar>
              <w:top w:type="dxa" w:w="80"/>
              <w:left w:type="dxa" w:w="100"/>
              <w:bottom w:type="dxa" w:w="80"/>
              <w:right w:type="dxa" w:w="100"/>
            </w:tcMar>
          </w:tcPr>
          <w:p>
            <w:r>
              <w:rPr>
                <w:b/>
                <w:bCs/>
              </w:rPr>
              <w:t xml:space="preserve">Status</w:t>
            </w:r>
          </w:p>
        </w:tc>
      </w:tr>
      <w:tr>
        <w:tc>
          <w:tcPr>
            <w:tcW w:type="dxa" w:w="3200"/>
            <w:tcMar>
              <w:top w:type="dxa" w:w="80"/>
              <w:left w:type="dxa" w:w="100"/>
              <w:bottom w:type="dxa" w:w="80"/>
              <w:right w:type="dxa" w:w="100"/>
            </w:tcMar>
          </w:tcPr>
          <w:p>
            <w:r>
              <w:rPr>
                <w:b w:val="false"/>
                <w:bCs w:val="false"/>
              </w:rPr>
              <w:t xml:space="preserve">QuickBooks Online</w:t>
            </w:r>
          </w:p>
        </w:tc>
        <w:tc>
          <w:tcPr>
            <w:tcW w:type="dxa" w:w="2960"/>
            <w:tcMar>
              <w:top w:type="dxa" w:w="80"/>
              <w:left w:type="dxa" w:w="100"/>
              <w:bottom w:type="dxa" w:w="80"/>
              <w:right w:type="dxa" w:w="100"/>
            </w:tcMar>
          </w:tcPr>
          <w:p>
            <w:r>
              <w:rPr>
                <w:b w:val="false"/>
                <w:bCs w:val="false"/>
              </w:rPr>
              <w:t xml:space="preserve">Auto-create invoices on proposal acceptance; sync payment status.</w:t>
            </w:r>
          </w:p>
        </w:tc>
        <w:tc>
          <w:tcPr>
            <w:tcW w:type="dxa" w:w="3200"/>
            <w:tcMar>
              <w:top w:type="dxa" w:w="80"/>
              <w:left w:type="dxa" w:w="100"/>
              <w:bottom w:type="dxa" w:w="80"/>
              <w:right w:type="dxa" w:w="100"/>
            </w:tcMar>
          </w:tcPr>
          <w:p>
            <w:r>
              <w:rPr>
                <w:b w:val="false"/>
                <w:bCs w:val="false"/>
              </w:rPr>
              <w:t xml:space="preserve">Confirmed — Required for V1</w:t>
            </w:r>
          </w:p>
        </w:tc>
      </w:tr>
      <w:tr>
        <w:tc>
          <w:tcPr>
            <w:tcW w:type="dxa" w:w="3200"/>
            <w:tcMar>
              <w:top w:type="dxa" w:w="80"/>
              <w:left w:type="dxa" w:w="100"/>
              <w:bottom w:type="dxa" w:w="80"/>
              <w:right w:type="dxa" w:w="100"/>
            </w:tcMar>
          </w:tcPr>
          <w:p>
            <w:r>
              <w:rPr>
                <w:b w:val="false"/>
                <w:bCs w:val="false"/>
              </w:rPr>
              <w:t xml:space="preserve">PandaDoc</w:t>
            </w:r>
          </w:p>
        </w:tc>
        <w:tc>
          <w:tcPr>
            <w:tcW w:type="dxa" w:w="2960"/>
            <w:tcMar>
              <w:top w:type="dxa" w:w="80"/>
              <w:left w:type="dxa" w:w="100"/>
              <w:bottom w:type="dxa" w:w="80"/>
              <w:right w:type="dxa" w:w="100"/>
            </w:tcMar>
          </w:tcPr>
          <w:p>
            <w:r>
              <w:rPr>
                <w:b w:val="false"/>
                <w:bCs w:val="false"/>
              </w:rPr>
              <w:t xml:space="preserve">E-signature on completed proposals.</w:t>
            </w:r>
          </w:p>
        </w:tc>
        <w:tc>
          <w:tcPr>
            <w:tcW w:type="dxa" w:w="3200"/>
            <w:tcMar>
              <w:top w:type="dxa" w:w="80"/>
              <w:left w:type="dxa" w:w="100"/>
              <w:bottom w:type="dxa" w:w="80"/>
              <w:right w:type="dxa" w:w="100"/>
            </w:tcMar>
          </w:tcPr>
          <w:p>
            <w:r>
              <w:rPr>
                <w:b w:val="false"/>
                <w:bCs w:val="false"/>
              </w:rPr>
              <w:t xml:space="preserve">Confirmed — Recommended for V1</w:t>
            </w:r>
          </w:p>
        </w:tc>
      </w:tr>
      <w:tr>
        <w:tc>
          <w:tcPr>
            <w:tcW w:type="dxa" w:w="3200"/>
            <w:tcMar>
              <w:top w:type="dxa" w:w="80"/>
              <w:left w:type="dxa" w:w="100"/>
              <w:bottom w:type="dxa" w:w="80"/>
              <w:right w:type="dxa" w:w="100"/>
            </w:tcMar>
          </w:tcPr>
          <w:p>
            <w:r>
              <w:rPr>
                <w:b w:val="false"/>
                <w:bCs w:val="false"/>
              </w:rPr>
              <w:t xml:space="preserve">Freight vendors</w:t>
            </w:r>
          </w:p>
        </w:tc>
        <w:tc>
          <w:tcPr>
            <w:tcW w:type="dxa" w:w="2960"/>
            <w:tcMar>
              <w:top w:type="dxa" w:w="80"/>
              <w:left w:type="dxa" w:w="100"/>
              <w:bottom w:type="dxa" w:w="80"/>
              <w:right w:type="dxa" w:w="100"/>
            </w:tcMar>
          </w:tcPr>
          <w:p>
            <w:r>
              <w:rPr>
                <w:b w:val="false"/>
                <w:bCs w:val="false"/>
              </w:rPr>
              <w:t xml:space="preserve">Automated freight rate requests and tracking.</w:t>
            </w:r>
          </w:p>
        </w:tc>
        <w:tc>
          <w:tcPr>
            <w:tcW w:type="dxa" w:w="3200"/>
            <w:tcMar>
              <w:top w:type="dxa" w:w="80"/>
              <w:left w:type="dxa" w:w="100"/>
              <w:bottom w:type="dxa" w:w="80"/>
              <w:right w:type="dxa" w:w="100"/>
            </w:tcMar>
          </w:tcPr>
          <w:p>
            <w:r>
              <w:rPr>
                <w:b w:val="false"/>
                <w:bCs w:val="false"/>
              </w:rPr>
              <w:t xml:space="preserve">Confirmed need; automation depth is an open decision per vendor</w:t>
            </w:r>
          </w:p>
        </w:tc>
      </w:tr>
      <w:tr>
        <w:tc>
          <w:tcPr>
            <w:tcW w:type="dxa" w:w="3200"/>
            <w:tcMar>
              <w:top w:type="dxa" w:w="80"/>
              <w:left w:type="dxa" w:w="100"/>
              <w:bottom w:type="dxa" w:w="80"/>
              <w:right w:type="dxa" w:w="100"/>
            </w:tcMar>
          </w:tcPr>
          <w:p>
            <w:r>
              <w:rPr>
                <w:b w:val="false"/>
                <w:bCs w:val="false"/>
              </w:rPr>
              <w:t xml:space="preserve">Vendor pricing sources</w:t>
            </w:r>
          </w:p>
        </w:tc>
        <w:tc>
          <w:tcPr>
            <w:tcW w:type="dxa" w:w="2960"/>
            <w:tcMar>
              <w:top w:type="dxa" w:w="80"/>
              <w:left w:type="dxa" w:w="100"/>
              <w:bottom w:type="dxa" w:w="80"/>
              <w:right w:type="dxa" w:w="100"/>
            </w:tcMar>
          </w:tcPr>
          <w:p>
            <w:r>
              <w:rPr>
                <w:b w:val="false"/>
                <w:bCs w:val="false"/>
              </w:rPr>
              <w:t xml:space="preserve">Automatic product cost updates.</w:t>
            </w:r>
          </w:p>
        </w:tc>
        <w:tc>
          <w:tcPr>
            <w:tcW w:type="dxa" w:w="3200"/>
            <w:tcMar>
              <w:top w:type="dxa" w:w="80"/>
              <w:left w:type="dxa" w:w="100"/>
              <w:bottom w:type="dxa" w:w="80"/>
              <w:right w:type="dxa" w:w="100"/>
            </w:tcMar>
          </w:tcPr>
          <w:p>
            <w:r>
              <w:rPr>
                <w:b w:val="false"/>
                <w:bCs w:val="false"/>
              </w:rPr>
              <w:t xml:space="preserve">Confirmed need; feasibility open, likely Phase 2+</w:t>
            </w:r>
          </w:p>
        </w:tc>
      </w:tr>
      <w:tr>
        <w:tc>
          <w:tcPr>
            <w:tcW w:type="dxa" w:w="3200"/>
            <w:tcMar>
              <w:top w:type="dxa" w:w="80"/>
              <w:left w:type="dxa" w:w="100"/>
              <w:bottom w:type="dxa" w:w="80"/>
              <w:right w:type="dxa" w:w="100"/>
            </w:tcMar>
          </w:tcPr>
          <w:p>
            <w:r>
              <w:rPr>
                <w:b w:val="false"/>
                <w:bCs w:val="false"/>
              </w:rPr>
              <w:t xml:space="preserve">Monday.com / Outlook / SharePoint / others</w:t>
            </w:r>
          </w:p>
        </w:tc>
        <w:tc>
          <w:tcPr>
            <w:tcW w:type="dxa" w:w="2960"/>
            <w:tcMar>
              <w:top w:type="dxa" w:w="80"/>
              <w:left w:type="dxa" w:w="100"/>
              <w:bottom w:type="dxa" w:w="80"/>
              <w:right w:type="dxa" w:w="100"/>
            </w:tcMar>
          </w:tcPr>
          <w:p>
            <w:r>
              <w:rPr>
                <w:b w:val="false"/>
                <w:bCs w:val="false"/>
              </w:rPr>
              <w:t xml:space="preserve">Mentioned in the original project instructions as possible future integrations.</w:t>
            </w:r>
          </w:p>
        </w:tc>
        <w:tc>
          <w:tcPr>
            <w:tcW w:type="dxa" w:w="3200"/>
            <w:tcMar>
              <w:top w:type="dxa" w:w="80"/>
              <w:left w:type="dxa" w:w="100"/>
              <w:bottom w:type="dxa" w:w="80"/>
              <w:right w:type="dxa" w:w="100"/>
            </w:tcMar>
          </w:tcPr>
          <w:p>
            <w:r>
              <w:rPr>
                <w:b w:val="false"/>
                <w:bCs w:val="false"/>
              </w:rPr>
              <w:t xml:space="preserve">Not discussed — open question, likely out of scope for V1</w:t>
            </w:r>
          </w:p>
        </w:tc>
      </w:tr>
    </w:tbl>
    <w:p>
      <w:pPr>
        <w:pStyle w:val="Heading1"/>
        <w:spacing w:after="200" w:before="400"/>
      </w:pPr>
      <w:r>
        <w:t xml:space="preserve">6. Decision Log</w:t>
      </w:r>
    </w:p>
    <w:p>
      <w:pPr>
        <w:spacing w:after="160"/>
      </w:pPr>
      <w:r>
        <w:t xml:space="preserve">Decisions actually made and confirmed so far (everything else in this document is an assumption pending decision, not a decision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shd w:fill="D9E2F3" w:color="auto" w:val="clear"/>
            <w:tcMar>
              <w:top w:type="dxa" w:w="80"/>
              <w:left w:type="dxa" w:w="100"/>
              <w:bottom w:type="dxa" w:w="80"/>
              <w:right w:type="dxa" w:w="100"/>
            </w:tcMar>
          </w:tcPr>
          <w:p>
            <w:r>
              <w:rPr>
                <w:b/>
                <w:bCs/>
              </w:rPr>
              <w:t xml:space="preserve">ID</w:t>
            </w:r>
          </w:p>
        </w:tc>
        <w:tc>
          <w:tcPr>
            <w:tcW w:type="dxa" w:w="5400"/>
            <w:shd w:fill="D9E2F3" w:color="auto" w:val="clear"/>
            <w:tcMar>
              <w:top w:type="dxa" w:w="80"/>
              <w:left w:type="dxa" w:w="100"/>
              <w:bottom w:type="dxa" w:w="80"/>
              <w:right w:type="dxa" w:w="100"/>
            </w:tcMar>
          </w:tcPr>
          <w:p>
            <w:r>
              <w:rPr>
                <w:b/>
                <w:bCs/>
              </w:rPr>
              <w:t xml:space="preserve">Decision</w:t>
            </w:r>
          </w:p>
        </w:tc>
        <w:tc>
          <w:tcPr>
            <w:tcW w:type="dxa" w:w="2760"/>
            <w:shd w:fill="D9E2F3" w:color="auto" w:val="clear"/>
            <w:tcMar>
              <w:top w:type="dxa" w:w="80"/>
              <w:left w:type="dxa" w:w="100"/>
              <w:bottom w:type="dxa" w:w="80"/>
              <w:right w:type="dxa" w:w="100"/>
            </w:tcMar>
          </w:tcPr>
          <w:p>
            <w:r>
              <w:rPr>
                <w:b/>
                <w:bCs/>
              </w:rPr>
              <w:t xml:space="preserve">Reason</w:t>
            </w:r>
          </w:p>
        </w:tc>
      </w:tr>
      <w:tr>
        <w:tc>
          <w:tcPr>
            <w:tcW w:type="dxa" w:w="1200"/>
            <w:tcMar>
              <w:top w:type="dxa" w:w="80"/>
              <w:left w:type="dxa" w:w="100"/>
              <w:bottom w:type="dxa" w:w="80"/>
              <w:right w:type="dxa" w:w="100"/>
            </w:tcMar>
          </w:tcPr>
          <w:p>
            <w:r>
              <w:rPr>
                <w:b w:val="false"/>
                <w:bCs w:val="false"/>
              </w:rPr>
              <w:t xml:space="preserve">D-001</w:t>
            </w:r>
          </w:p>
        </w:tc>
        <w:tc>
          <w:tcPr>
            <w:tcW w:type="dxa" w:w="5400"/>
            <w:tcMar>
              <w:top w:type="dxa" w:w="80"/>
              <w:left w:type="dxa" w:w="100"/>
              <w:bottom w:type="dxa" w:w="80"/>
              <w:right w:type="dxa" w:w="100"/>
            </w:tcMar>
          </w:tcPr>
          <w:p>
            <w:r>
              <w:rPr>
                <w:b w:val="false"/>
                <w:bCs w:val="false"/>
              </w:rPr>
              <w:t xml:space="preserve">Target proposal creation time: under 5 minutes.</w:t>
            </w:r>
          </w:p>
        </w:tc>
        <w:tc>
          <w:tcPr>
            <w:tcW w:type="dxa" w:w="2760"/>
            <w:tcMar>
              <w:top w:type="dxa" w:w="80"/>
              <w:left w:type="dxa" w:w="100"/>
              <w:bottom w:type="dxa" w:w="80"/>
              <w:right w:type="dxa" w:w="100"/>
            </w:tcMar>
          </w:tcPr>
          <w:p>
            <w:r>
              <w:rPr>
                <w:b w:val="false"/>
                <w:bCs w:val="false"/>
              </w:rPr>
              <w:t xml:space="preserve">Founder-stated goal, down from current 20–30 minutes.</w:t>
            </w:r>
          </w:p>
        </w:tc>
      </w:tr>
      <w:tr>
        <w:tc>
          <w:tcPr>
            <w:tcW w:type="dxa" w:w="1200"/>
            <w:tcMar>
              <w:top w:type="dxa" w:w="80"/>
              <w:left w:type="dxa" w:w="100"/>
              <w:bottom w:type="dxa" w:w="80"/>
              <w:right w:type="dxa" w:w="100"/>
            </w:tcMar>
          </w:tcPr>
          <w:p>
            <w:r>
              <w:rPr>
                <w:b w:val="false"/>
                <w:bCs w:val="false"/>
              </w:rPr>
              <w:t xml:space="preserve">D-002</w:t>
            </w:r>
          </w:p>
        </w:tc>
        <w:tc>
          <w:tcPr>
            <w:tcW w:type="dxa" w:w="5400"/>
            <w:tcMar>
              <w:top w:type="dxa" w:w="80"/>
              <w:left w:type="dxa" w:w="100"/>
              <w:bottom w:type="dxa" w:w="80"/>
              <w:right w:type="dxa" w:w="100"/>
            </w:tcMar>
          </w:tcPr>
          <w:p>
            <w:r>
              <w:rPr>
                <w:b w:val="false"/>
                <w:bCs w:val="false"/>
              </w:rPr>
              <w:t xml:space="preserve">System must flag and track third-party-sourced line items with an order-status report.</w:t>
            </w:r>
          </w:p>
        </w:tc>
        <w:tc>
          <w:tcPr>
            <w:tcW w:type="dxa" w:w="2760"/>
            <w:tcMar>
              <w:top w:type="dxa" w:w="80"/>
              <w:left w:type="dxa" w:w="100"/>
              <w:bottom w:type="dxa" w:w="80"/>
              <w:right w:type="dxa" w:w="100"/>
            </w:tcMar>
          </w:tcPr>
          <w:p>
            <w:r>
              <w:rPr>
                <w:b w:val="false"/>
                <w:bCs w:val="false"/>
              </w:rPr>
              <w:t xml:space="preserve">Founder identified this as a current tracking gap causing confusion after proposal approval.</w:t>
            </w:r>
          </w:p>
        </w:tc>
      </w:tr>
      <w:tr>
        <w:tc>
          <w:tcPr>
            <w:tcW w:type="dxa" w:w="1200"/>
            <w:tcMar>
              <w:top w:type="dxa" w:w="80"/>
              <w:left w:type="dxa" w:w="100"/>
              <w:bottom w:type="dxa" w:w="80"/>
              <w:right w:type="dxa" w:w="100"/>
            </w:tcMar>
          </w:tcPr>
          <w:p>
            <w:r>
              <w:rPr>
                <w:b w:val="false"/>
                <w:bCs w:val="false"/>
              </w:rPr>
              <w:t xml:space="preserve">D-003</w:t>
            </w:r>
          </w:p>
        </w:tc>
        <w:tc>
          <w:tcPr>
            <w:tcW w:type="dxa" w:w="5400"/>
            <w:tcMar>
              <w:top w:type="dxa" w:w="80"/>
              <w:left w:type="dxa" w:w="100"/>
              <w:bottom w:type="dxa" w:w="80"/>
              <w:right w:type="dxa" w:w="100"/>
            </w:tcMar>
          </w:tcPr>
          <w:p>
            <w:r>
              <w:rPr>
                <w:b w:val="false"/>
                <w:bCs w:val="false"/>
              </w:rPr>
              <w:t xml:space="preserve">System must track freight-request status (sent/received/missing) per item/vendor.</w:t>
            </w:r>
          </w:p>
        </w:tc>
        <w:tc>
          <w:tcPr>
            <w:tcW w:type="dxa" w:w="2760"/>
            <w:tcMar>
              <w:top w:type="dxa" w:w="80"/>
              <w:left w:type="dxa" w:w="100"/>
              <w:bottom w:type="dxa" w:w="80"/>
              <w:right w:type="dxa" w:w="100"/>
            </w:tcMar>
          </w:tcPr>
          <w:p>
            <w:r>
              <w:rPr>
                <w:b w:val="false"/>
                <w:bCs w:val="false"/>
              </w:rPr>
              <w:t xml:space="preserve">Founder identified forgotten/untracked freight requests as a recurring problem for the team.</w:t>
            </w:r>
          </w:p>
        </w:tc>
      </w:tr>
      <w:tr>
        <w:tc>
          <w:tcPr>
            <w:tcW w:type="dxa" w:w="1200"/>
            <w:tcMar>
              <w:top w:type="dxa" w:w="80"/>
              <w:left w:type="dxa" w:w="100"/>
              <w:bottom w:type="dxa" w:w="80"/>
              <w:right w:type="dxa" w:w="100"/>
            </w:tcMar>
          </w:tcPr>
          <w:p>
            <w:r>
              <w:rPr>
                <w:b w:val="false"/>
                <w:bCs w:val="false"/>
              </w:rPr>
              <w:t xml:space="preserve">D-004</w:t>
            </w:r>
          </w:p>
        </w:tc>
        <w:tc>
          <w:tcPr>
            <w:tcW w:type="dxa" w:w="5400"/>
            <w:tcMar>
              <w:top w:type="dxa" w:w="80"/>
              <w:left w:type="dxa" w:w="100"/>
              <w:bottom w:type="dxa" w:w="80"/>
              <w:right w:type="dxa" w:w="100"/>
            </w:tcMar>
          </w:tcPr>
          <w:p>
            <w:r>
              <w:rPr>
                <w:b w:val="false"/>
                <w:bCs w:val="false"/>
              </w:rPr>
              <w:t xml:space="preserve">Hardware/BOM breakdown must remain visible to fulfillment even though it’s summarized as one price line on the customer-facing proposal.</w:t>
            </w:r>
          </w:p>
        </w:tc>
        <w:tc>
          <w:tcPr>
            <w:tcW w:type="dxa" w:w="2760"/>
            <w:tcMar>
              <w:top w:type="dxa" w:w="80"/>
              <w:left w:type="dxa" w:w="100"/>
              <w:bottom w:type="dxa" w:w="80"/>
              <w:right w:type="dxa" w:w="100"/>
            </w:tcMar>
          </w:tcPr>
          <w:p>
            <w:r>
              <w:rPr>
                <w:b w:val="false"/>
                <w:bCs w:val="false"/>
              </w:rPr>
              <w:t xml:space="preserve">Fulfillment currently depends on this hidden detail to place manufacturing orders correctly.</w:t>
            </w:r>
          </w:p>
        </w:tc>
      </w:tr>
    </w:tbl>
    <w:p>
      <w:pPr>
        <w:pStyle w:val="Heading1"/>
        <w:spacing w:after="200" w:before="400"/>
      </w:pPr>
      <w:r>
        <w:t xml:space="preserve">7. Open Questions List</w:t>
      </w:r>
    </w:p>
    <w:p>
      <w:pPr>
        <w:spacing w:after="160"/>
      </w:pPr>
      <w:r>
        <w:t xml:space="preserve">These need direct answers from the founder before the corresponding module can be finalized. Grouped by topic:</w:t>
      </w:r>
    </w:p>
    <w:p>
      <w:pPr>
        <w:pStyle w:val="Heading3"/>
        <w:spacing w:after="100" w:before="200"/>
      </w:pPr>
      <w:r>
        <w:t xml:space="preserve">Roles &amp; Permissions</w:t>
      </w:r>
    </w:p>
    <w:p>
      <w:pPr>
        <w:pStyle w:val="ListParagraph"/>
        <w:numPr>
          <w:ilvl w:val="0"/>
          <w:numId w:val="2"/>
        </w:numPr>
        <w:spacing w:after="60"/>
      </w:pPr>
      <w:r>
        <w:t xml:space="preserve">Who besides the founder and the fulfillment person needs system access (installation, accounting, other salespeople)?</w:t>
      </w:r>
    </w:p>
    <w:p>
      <w:pPr>
        <w:pStyle w:val="ListParagraph"/>
        <w:numPr>
          <w:ilvl w:val="0"/>
          <w:numId w:val="2"/>
        </w:numPr>
        <w:spacing w:after="60"/>
      </w:pPr>
      <w:r>
        <w:t xml:space="preserve">Should sales/other roles see product cost and margin, or is that founder-only?</w:t>
      </w:r>
    </w:p>
    <w:p>
      <w:pPr>
        <w:pStyle w:val="ListParagraph"/>
        <w:numPr>
          <w:ilvl w:val="0"/>
          <w:numId w:val="2"/>
        </w:numPr>
        <w:spacing w:after="60"/>
      </w:pPr>
      <w:r>
        <w:t xml:space="preserve">Are additional salespeople/designers expected to be hired in the next year?</w:t>
      </w:r>
    </w:p>
    <w:p>
      <w:pPr>
        <w:pStyle w:val="Heading3"/>
        <w:spacing w:after="100" w:before="200"/>
      </w:pPr>
      <w:r>
        <w:t xml:space="preserve">Customer &amp; Project Structure</w:t>
      </w:r>
    </w:p>
    <w:p>
      <w:pPr>
        <w:pStyle w:val="ListParagraph"/>
        <w:numPr>
          <w:ilvl w:val="0"/>
          <w:numId w:val="2"/>
        </w:numPr>
        <w:spacing w:after="60"/>
      </w:pPr>
      <w:r>
        <w:t xml:space="preserve">What project status stages matter (e.g., Quoted, Sold, In Production, Installed, Closed)?</w:t>
      </w:r>
    </w:p>
    <w:p>
      <w:pPr>
        <w:pStyle w:val="ListParagraph"/>
        <w:numPr>
          <w:ilvl w:val="0"/>
          <w:numId w:val="2"/>
        </w:numPr>
        <w:spacing w:after="60"/>
      </w:pPr>
      <w:r>
        <w:t xml:space="preserve">What fields are must-have vs. nice-to-have on a customer/project record?</w:t>
      </w:r>
    </w:p>
    <w:p>
      <w:pPr>
        <w:pStyle w:val="Heading3"/>
        <w:spacing w:after="100" w:before="200"/>
      </w:pPr>
      <w:r>
        <w:t xml:space="preserve">Product &amp; Configuration</w:t>
      </w:r>
    </w:p>
    <w:p>
      <w:pPr>
        <w:pStyle w:val="ListParagraph"/>
        <w:numPr>
          <w:ilvl w:val="0"/>
          <w:numId w:val="2"/>
        </w:numPr>
        <w:spacing w:after="60"/>
      </w:pPr>
      <w:r>
        <w:t xml:space="preserve">Is the hardware/BOM calculation table-based per SKU, or formula-based off dimensions? How many products currently need this?</w:t>
      </w:r>
    </w:p>
    <w:p>
      <w:pPr>
        <w:pStyle w:val="ListParagraph"/>
        <w:numPr>
          <w:ilvl w:val="0"/>
          <w:numId w:val="2"/>
        </w:numPr>
        <w:spacing w:after="60"/>
      </w:pPr>
      <w:r>
        <w:t xml:space="preserve">Are there product compatibility/incompatibility rules that need enforcing, or is that not a real-world issue today?</w:t>
      </w:r>
    </w:p>
    <w:p>
      <w:pPr>
        <w:pStyle w:val="Heading3"/>
        <w:spacing w:after="100" w:before="200"/>
      </w:pPr>
      <w:r>
        <w:t xml:space="preserve">Pricing &amp; Discounts</w:t>
      </w:r>
    </w:p>
    <w:p>
      <w:pPr>
        <w:pStyle w:val="ListParagraph"/>
        <w:numPr>
          <w:ilvl w:val="0"/>
          <w:numId w:val="2"/>
        </w:numPr>
        <w:spacing w:after="60"/>
      </w:pPr>
      <w:r>
        <w:t xml:space="preserve">What discount levels, if any, require approval today?</w:t>
      </w:r>
    </w:p>
    <w:p>
      <w:pPr>
        <w:pStyle w:val="ListParagraph"/>
        <w:numPr>
          <w:ilvl w:val="0"/>
          <w:numId w:val="2"/>
        </w:numPr>
        <w:spacing w:after="60"/>
      </w:pPr>
      <w:r>
        <w:t xml:space="preserve">Is there a minimum acceptable margin per product/proposal?</w:t>
      </w:r>
    </w:p>
    <w:p>
      <w:pPr>
        <w:pStyle w:val="ListParagraph"/>
        <w:numPr>
          <w:ilvl w:val="0"/>
          <w:numId w:val="2"/>
        </w:numPr>
        <w:spacing w:after="60"/>
      </w:pPr>
      <w:r>
        <w:t xml:space="preserve">Which vendors could realistically support automated price pulls (API, price list export, or website)?</w:t>
      </w:r>
    </w:p>
    <w:p>
      <w:pPr>
        <w:pStyle w:val="Heading3"/>
        <w:spacing w:after="100" w:before="200"/>
      </w:pPr>
      <w:r>
        <w:t xml:space="preserve">Freight</w:t>
      </w:r>
    </w:p>
    <w:p>
      <w:pPr>
        <w:pStyle w:val="ListParagraph"/>
        <w:numPr>
          <w:ilvl w:val="0"/>
          <w:numId w:val="2"/>
        </w:numPr>
        <w:spacing w:after="60"/>
      </w:pPr>
      <w:r>
        <w:t xml:space="preserve">Which vendors are involved in freight quoting today, and do any support anything beyond email?</w:t>
      </w:r>
    </w:p>
    <w:p>
      <w:pPr>
        <w:pStyle w:val="ListParagraph"/>
        <w:numPr>
          <w:ilvl w:val="0"/>
          <w:numId w:val="2"/>
        </w:numPr>
        <w:spacing w:after="60"/>
      </w:pPr>
      <w:r>
        <w:t xml:space="preserve">What information does a freight request need to include (dimensions, weight, destination type, dock access, etc.)?</w:t>
      </w:r>
    </w:p>
    <w:p>
      <w:pPr>
        <w:pStyle w:val="Heading3"/>
        <w:spacing w:after="100" w:before="200"/>
      </w:pPr>
      <w:r>
        <w:t xml:space="preserve">Proposal Output &amp; Approval</w:t>
      </w:r>
    </w:p>
    <w:p>
      <w:pPr>
        <w:pStyle w:val="ListParagraph"/>
        <w:numPr>
          <w:ilvl w:val="0"/>
          <w:numId w:val="2"/>
        </w:numPr>
        <w:spacing w:after="60"/>
      </w:pPr>
      <w:r>
        <w:t xml:space="preserve">What proposal statuses actually matter to the business (see Section 5.9 for a starting list to react to)?</w:t>
      </w:r>
    </w:p>
    <w:p>
      <w:pPr>
        <w:pStyle w:val="ListParagraph"/>
        <w:numPr>
          <w:ilvl w:val="0"/>
          <w:numId w:val="2"/>
        </w:numPr>
        <w:spacing w:after="60"/>
      </w:pPr>
      <w:r>
        <w:t xml:space="preserve">Are there any approval gates today (e.g., discounts over X%, low-margin deals) or is approval entirely informal right now?</w:t>
      </w:r>
    </w:p>
    <w:p>
      <w:pPr>
        <w:pStyle w:val="Heading3"/>
        <w:spacing w:after="100" w:before="200"/>
      </w:pPr>
      <w:r>
        <w:t xml:space="preserve">QuickBooks Online &amp; Payment</w:t>
      </w:r>
    </w:p>
    <w:p>
      <w:pPr>
        <w:pStyle w:val="ListParagraph"/>
        <w:numPr>
          <w:ilvl w:val="0"/>
          <w:numId w:val="2"/>
        </w:numPr>
        <w:spacing w:after="60"/>
      </w:pPr>
      <w:r>
        <w:t xml:space="preserve">What payment structures are actually used today — 100% upfront, deposit + final, milestone-based, or a mix depending on customer?</w:t>
      </w:r>
    </w:p>
    <w:p>
      <w:pPr>
        <w:pStyle w:val="ListParagraph"/>
        <w:numPr>
          <w:ilvl w:val="0"/>
          <w:numId w:val="2"/>
        </w:numPr>
        <w:spacing w:after="60"/>
      </w:pPr>
      <w:r>
        <w:t xml:space="preserve">Who currently creates QuickBooks Online invoices, and do they need to stay in the approval loop even after automation?</w:t>
      </w:r>
    </w:p>
    <w:p>
      <w:pPr>
        <w:pStyle w:val="Heading3"/>
        <w:spacing w:after="100" w:before="200"/>
      </w:pPr>
      <w:r>
        <w:t xml:space="preserve">Reporting &amp; Other Systems</w:t>
      </w:r>
    </w:p>
    <w:p>
      <w:pPr>
        <w:pStyle w:val="ListParagraph"/>
        <w:numPr>
          <w:ilvl w:val="0"/>
          <w:numId w:val="2"/>
        </w:numPr>
        <w:spacing w:after="60"/>
      </w:pPr>
      <w:r>
        <w:t xml:space="preserve">Beyond sourcing and freight tracking, what reports would the founder actually look at weekly/monthly?</w:t>
      </w:r>
    </w:p>
    <w:p>
      <w:pPr>
        <w:pStyle w:val="ListParagraph"/>
        <w:numPr>
          <w:ilvl w:val="0"/>
          <w:numId w:val="2"/>
        </w:numPr>
        <w:spacing w:after="60"/>
      </w:pPr>
      <w:r>
        <w:t xml:space="preserve">Is Monday.com, Outlook, or any other current tool actually in active use and worth integrating, or can it be considered out of scope?</w:t>
      </w:r>
    </w:p>
    <w:p>
      <w:pPr>
        <w:pStyle w:val="Heading1"/>
        <w:spacing w:after="200" w:before="400"/>
      </w:pPr>
      <w:r>
        <w:t xml:space="preserve">8. Assumptions Register</w:t>
      </w:r>
    </w:p>
    <w:p>
      <w:pPr>
        <w:spacing w:after="160"/>
      </w:pPr>
      <w:r>
        <w:t xml:space="preserve">Every assumption above, in one place, for quick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D9E2F3" w:color="auto" w:val="clear"/>
            <w:tcMar>
              <w:top w:type="dxa" w:w="80"/>
              <w:left w:type="dxa" w:w="100"/>
              <w:bottom w:type="dxa" w:w="80"/>
              <w:right w:type="dxa" w:w="100"/>
            </w:tcMar>
          </w:tcPr>
          <w:p>
            <w:r>
              <w:rPr>
                <w:b/>
                <w:bCs/>
              </w:rPr>
              <w:t xml:space="preserve">Module</w:t>
            </w:r>
          </w:p>
        </w:tc>
        <w:tc>
          <w:tcPr>
            <w:tcW w:type="dxa" w:w="4600"/>
            <w:shd w:fill="D9E2F3" w:color="auto" w:val="clear"/>
            <w:tcMar>
              <w:top w:type="dxa" w:w="80"/>
              <w:left w:type="dxa" w:w="100"/>
              <w:bottom w:type="dxa" w:w="80"/>
              <w:right w:type="dxa" w:w="100"/>
            </w:tcMar>
          </w:tcPr>
          <w:p>
            <w:r>
              <w:rPr>
                <w:b/>
                <w:bCs/>
              </w:rPr>
              <w:t xml:space="preserve">Assumption made</w:t>
            </w:r>
          </w:p>
        </w:tc>
        <w:tc>
          <w:tcPr>
            <w:tcW w:type="dxa" w:w="2560"/>
            <w:shd w:fill="D9E2F3" w:color="auto" w:val="clear"/>
            <w:tcMar>
              <w:top w:type="dxa" w:w="80"/>
              <w:left w:type="dxa" w:w="100"/>
              <w:bottom w:type="dxa" w:w="80"/>
              <w:right w:type="dxa" w:w="100"/>
            </w:tcMar>
          </w:tcPr>
          <w:p>
            <w:r>
              <w:rPr>
                <w:b/>
                <w:bCs/>
              </w:rPr>
              <w:t xml:space="preserve">Confirm before building</w:t>
            </w:r>
          </w:p>
        </w:tc>
      </w:tr>
      <w:tr>
        <w:tc>
          <w:tcPr>
            <w:tcW w:type="dxa" w:w="2200"/>
            <w:tcMar>
              <w:top w:type="dxa" w:w="80"/>
              <w:left w:type="dxa" w:w="100"/>
              <w:bottom w:type="dxa" w:w="80"/>
              <w:right w:type="dxa" w:w="100"/>
            </w:tcMar>
          </w:tcPr>
          <w:p>
            <w:r>
              <w:rPr>
                <w:b w:val="false"/>
                <w:bCs w:val="false"/>
              </w:rPr>
              <w:t xml:space="preserve">Roles</w:t>
            </w:r>
          </w:p>
        </w:tc>
        <w:tc>
          <w:tcPr>
            <w:tcW w:type="dxa" w:w="4600"/>
            <w:tcMar>
              <w:top w:type="dxa" w:w="80"/>
              <w:left w:type="dxa" w:w="100"/>
              <w:bottom w:type="dxa" w:w="80"/>
              <w:right w:type="dxa" w:w="100"/>
            </w:tcMar>
          </w:tcPr>
          <w:p>
            <w:r>
              <w:rPr>
                <w:b w:val="false"/>
                <w:bCs w:val="false"/>
              </w:rPr>
              <w:t xml:space="preserve">Owner, Sales, Fulfillment, Installation, Accounting, Read-only roles as a starting set.</w:t>
            </w:r>
          </w:p>
        </w:tc>
        <w:tc>
          <w:tcPr>
            <w:tcW w:type="dxa" w:w="2560"/>
            <w:tcMar>
              <w:top w:type="dxa" w:w="80"/>
              <w:left w:type="dxa" w:w="100"/>
              <w:bottom w:type="dxa" w:w="80"/>
              <w:right w:type="dxa" w:w="100"/>
            </w:tcMar>
          </w:tcPr>
          <w:p>
            <w:r>
              <w:rPr>
                <w:b w:val="false"/>
                <w:bCs w:val="false"/>
              </w:rPr>
              <w:t xml:space="preserve">Full role list and permission matrix</w:t>
            </w:r>
          </w:p>
        </w:tc>
      </w:tr>
      <w:tr>
        <w:tc>
          <w:tcPr>
            <w:tcW w:type="dxa" w:w="2200"/>
            <w:tcMar>
              <w:top w:type="dxa" w:w="80"/>
              <w:left w:type="dxa" w:w="100"/>
              <w:bottom w:type="dxa" w:w="80"/>
              <w:right w:type="dxa" w:w="100"/>
            </w:tcMar>
          </w:tcPr>
          <w:p>
            <w:r>
              <w:rPr>
                <w:b w:val="false"/>
                <w:bCs w:val="false"/>
              </w:rPr>
              <w:t xml:space="preserve">Customer/Project</w:t>
            </w:r>
          </w:p>
        </w:tc>
        <w:tc>
          <w:tcPr>
            <w:tcW w:type="dxa" w:w="4600"/>
            <w:tcMar>
              <w:top w:type="dxa" w:w="80"/>
              <w:left w:type="dxa" w:w="100"/>
              <w:bottom w:type="dxa" w:w="80"/>
              <w:right w:type="dxa" w:w="100"/>
            </w:tcMar>
          </w:tcPr>
          <w:p>
            <w:r>
              <w:rPr>
                <w:b w:val="false"/>
                <w:bCs w:val="false"/>
              </w:rPr>
              <w:t xml:space="preserve">Standard CPQ fields and status stages.</w:t>
            </w:r>
          </w:p>
        </w:tc>
        <w:tc>
          <w:tcPr>
            <w:tcW w:type="dxa" w:w="2560"/>
            <w:tcMar>
              <w:top w:type="dxa" w:w="80"/>
              <w:left w:type="dxa" w:w="100"/>
              <w:bottom w:type="dxa" w:w="80"/>
              <w:right w:type="dxa" w:w="100"/>
            </w:tcMar>
          </w:tcPr>
          <w:p>
            <w:r>
              <w:rPr>
                <w:b w:val="false"/>
                <w:bCs w:val="false"/>
              </w:rPr>
              <w:t xml:space="preserve">Actual required fields and status stages</w:t>
            </w:r>
          </w:p>
        </w:tc>
      </w:tr>
      <w:tr>
        <w:tc>
          <w:tcPr>
            <w:tcW w:type="dxa" w:w="2200"/>
            <w:tcMar>
              <w:top w:type="dxa" w:w="80"/>
              <w:left w:type="dxa" w:w="100"/>
              <w:bottom w:type="dxa" w:w="80"/>
              <w:right w:type="dxa" w:w="100"/>
            </w:tcMar>
          </w:tcPr>
          <w:p>
            <w:r>
              <w:rPr>
                <w:b w:val="false"/>
                <w:bCs w:val="false"/>
              </w:rPr>
              <w:t xml:space="preserve">Product/BOM</w:t>
            </w:r>
          </w:p>
        </w:tc>
        <w:tc>
          <w:tcPr>
            <w:tcW w:type="dxa" w:w="4600"/>
            <w:tcMar>
              <w:top w:type="dxa" w:w="80"/>
              <w:left w:type="dxa" w:w="100"/>
              <w:bottom w:type="dxa" w:w="80"/>
              <w:right w:type="dxa" w:w="100"/>
            </w:tcMar>
          </w:tcPr>
          <w:p>
            <w:r>
              <w:rPr>
                <w:b w:val="false"/>
                <w:bCs w:val="false"/>
              </w:rPr>
              <w:t xml:space="preserve">Table-based BOM per SKU is recommended over formula-based.</w:t>
            </w:r>
          </w:p>
        </w:tc>
        <w:tc>
          <w:tcPr>
            <w:tcW w:type="dxa" w:w="2560"/>
            <w:tcMar>
              <w:top w:type="dxa" w:w="80"/>
              <w:left w:type="dxa" w:w="100"/>
              <w:bottom w:type="dxa" w:w="80"/>
              <w:right w:type="dxa" w:w="100"/>
            </w:tcMar>
          </w:tcPr>
          <w:p>
            <w:r>
              <w:rPr>
                <w:b w:val="false"/>
                <w:bCs w:val="false"/>
              </w:rPr>
              <w:t xml:space="preserve">BOM structure, using real product examples</w:t>
            </w:r>
          </w:p>
        </w:tc>
      </w:tr>
      <w:tr>
        <w:tc>
          <w:tcPr>
            <w:tcW w:type="dxa" w:w="2200"/>
            <w:tcMar>
              <w:top w:type="dxa" w:w="80"/>
              <w:left w:type="dxa" w:w="100"/>
              <w:bottom w:type="dxa" w:w="80"/>
              <w:right w:type="dxa" w:w="100"/>
            </w:tcMar>
          </w:tcPr>
          <w:p>
            <w:r>
              <w:rPr>
                <w:b w:val="false"/>
                <w:bCs w:val="false"/>
              </w:rPr>
              <w:t xml:space="preserve">Configuration rules</w:t>
            </w:r>
          </w:p>
        </w:tc>
        <w:tc>
          <w:tcPr>
            <w:tcW w:type="dxa" w:w="4600"/>
            <w:tcMar>
              <w:top w:type="dxa" w:w="80"/>
              <w:left w:type="dxa" w:w="100"/>
              <w:bottom w:type="dxa" w:w="80"/>
              <w:right w:type="dxa" w:w="100"/>
            </w:tcMar>
          </w:tcPr>
          <w:p>
            <w:r>
              <w:rPr>
                <w:b w:val="false"/>
                <w:bCs w:val="false"/>
              </w:rPr>
              <w:t xml:space="preserve">Deferred to Phase 2/3.</w:t>
            </w:r>
          </w:p>
        </w:tc>
        <w:tc>
          <w:tcPr>
            <w:tcW w:type="dxa" w:w="2560"/>
            <w:tcMar>
              <w:top w:type="dxa" w:w="80"/>
              <w:left w:type="dxa" w:w="100"/>
              <w:bottom w:type="dxa" w:w="80"/>
              <w:right w:type="dxa" w:w="100"/>
            </w:tcMar>
          </w:tcPr>
          <w:p>
            <w:r>
              <w:rPr>
                <w:b w:val="false"/>
                <w:bCs w:val="false"/>
              </w:rPr>
              <w:t xml:space="preserve">Whether any real compatibility rules exist today</w:t>
            </w:r>
          </w:p>
        </w:tc>
      </w:tr>
      <w:tr>
        <w:tc>
          <w:tcPr>
            <w:tcW w:type="dxa" w:w="2200"/>
            <w:tcMar>
              <w:top w:type="dxa" w:w="80"/>
              <w:left w:type="dxa" w:w="100"/>
              <w:bottom w:type="dxa" w:w="80"/>
              <w:right w:type="dxa" w:w="100"/>
            </w:tcMar>
          </w:tcPr>
          <w:p>
            <w:r>
              <w:rPr>
                <w:b w:val="false"/>
                <w:bCs w:val="false"/>
              </w:rPr>
              <w:t xml:space="preserve">Pricing engine</w:t>
            </w:r>
          </w:p>
        </w:tc>
        <w:tc>
          <w:tcPr>
            <w:tcW w:type="dxa" w:w="4600"/>
            <w:tcMar>
              <w:top w:type="dxa" w:w="80"/>
              <w:left w:type="dxa" w:w="100"/>
              <w:bottom w:type="dxa" w:w="80"/>
              <w:right w:type="dxa" w:w="100"/>
            </w:tcMar>
          </w:tcPr>
          <w:p>
            <w:r>
              <w:rPr>
                <w:b w:val="false"/>
                <w:bCs w:val="false"/>
              </w:rPr>
              <w:t xml:space="preserve">Standard discount/margin/override structure.</w:t>
            </w:r>
          </w:p>
        </w:tc>
        <w:tc>
          <w:tcPr>
            <w:tcW w:type="dxa" w:w="2560"/>
            <w:tcMar>
              <w:top w:type="dxa" w:w="80"/>
              <w:left w:type="dxa" w:w="100"/>
              <w:bottom w:type="dxa" w:w="80"/>
              <w:right w:type="dxa" w:w="100"/>
            </w:tcMar>
          </w:tcPr>
          <w:p>
            <w:r>
              <w:rPr>
                <w:b w:val="false"/>
                <w:bCs w:val="false"/>
              </w:rPr>
              <w:t xml:space="preserve">Actual discount policy and margin floors</w:t>
            </w:r>
          </w:p>
        </w:tc>
      </w:tr>
      <w:tr>
        <w:tc>
          <w:tcPr>
            <w:tcW w:type="dxa" w:w="2200"/>
            <w:tcMar>
              <w:top w:type="dxa" w:w="80"/>
              <w:left w:type="dxa" w:w="100"/>
              <w:bottom w:type="dxa" w:w="80"/>
              <w:right w:type="dxa" w:w="100"/>
            </w:tcMar>
          </w:tcPr>
          <w:p>
            <w:r>
              <w:rPr>
                <w:b w:val="false"/>
                <w:bCs w:val="false"/>
              </w:rPr>
              <w:t xml:space="preserve">Vendor price pull</w:t>
            </w:r>
          </w:p>
        </w:tc>
        <w:tc>
          <w:tcPr>
            <w:tcW w:type="dxa" w:w="4600"/>
            <w:tcMar>
              <w:top w:type="dxa" w:w="80"/>
              <w:left w:type="dxa" w:w="100"/>
              <w:bottom w:type="dxa" w:w="80"/>
              <w:right w:type="dxa" w:w="100"/>
            </w:tcMar>
          </w:tcPr>
          <w:p>
            <w:r>
              <w:rPr>
                <w:b w:val="false"/>
                <w:bCs w:val="false"/>
              </w:rPr>
              <w:t xml:space="preserve">Deferred pending vendor-by-vendor feasibility review.</w:t>
            </w:r>
          </w:p>
        </w:tc>
        <w:tc>
          <w:tcPr>
            <w:tcW w:type="dxa" w:w="2560"/>
            <w:tcMar>
              <w:top w:type="dxa" w:w="80"/>
              <w:left w:type="dxa" w:w="100"/>
              <w:bottom w:type="dxa" w:w="80"/>
              <w:right w:type="dxa" w:w="100"/>
            </w:tcMar>
          </w:tcPr>
          <w:p>
            <w:r>
              <w:rPr>
                <w:b w:val="false"/>
                <w:bCs w:val="false"/>
              </w:rPr>
              <w:t xml:space="preserve">Which vendors can support this at all</w:t>
            </w:r>
          </w:p>
        </w:tc>
      </w:tr>
      <w:tr>
        <w:tc>
          <w:tcPr>
            <w:tcW w:type="dxa" w:w="2200"/>
            <w:tcMar>
              <w:top w:type="dxa" w:w="80"/>
              <w:left w:type="dxa" w:w="100"/>
              <w:bottom w:type="dxa" w:w="80"/>
              <w:right w:type="dxa" w:w="100"/>
            </w:tcMar>
          </w:tcPr>
          <w:p>
            <w:r>
              <w:rPr>
                <w:b w:val="false"/>
                <w:bCs w:val="false"/>
              </w:rPr>
              <w:t xml:space="preserve">Freight automation depth</w:t>
            </w:r>
          </w:p>
        </w:tc>
        <w:tc>
          <w:tcPr>
            <w:tcW w:type="dxa" w:w="4600"/>
            <w:tcMar>
              <w:top w:type="dxa" w:w="80"/>
              <w:left w:type="dxa" w:w="100"/>
              <w:bottom w:type="dxa" w:w="80"/>
              <w:right w:type="dxa" w:w="100"/>
            </w:tcMar>
          </w:tcPr>
          <w:p>
            <w:r>
              <w:rPr>
                <w:b w:val="false"/>
                <w:bCs w:val="false"/>
              </w:rPr>
              <w:t xml:space="preserve">"Generate + log" for V1, full automation only where vendor supports it.</w:t>
            </w:r>
          </w:p>
        </w:tc>
        <w:tc>
          <w:tcPr>
            <w:tcW w:type="dxa" w:w="2560"/>
            <w:tcMar>
              <w:top w:type="dxa" w:w="80"/>
              <w:left w:type="dxa" w:w="100"/>
              <w:bottom w:type="dxa" w:w="80"/>
              <w:right w:type="dxa" w:w="100"/>
            </w:tcMar>
          </w:tcPr>
          <w:p>
            <w:r>
              <w:rPr>
                <w:b w:val="false"/>
                <w:bCs w:val="false"/>
              </w:rPr>
              <w:t xml:space="preserve">Vendor list and their technical capability</w:t>
            </w:r>
          </w:p>
        </w:tc>
      </w:tr>
      <w:tr>
        <w:tc>
          <w:tcPr>
            <w:tcW w:type="dxa" w:w="2200"/>
            <w:tcMar>
              <w:top w:type="dxa" w:w="80"/>
              <w:left w:type="dxa" w:w="100"/>
              <w:bottom w:type="dxa" w:w="80"/>
              <w:right w:type="dxa" w:w="100"/>
            </w:tcMar>
          </w:tcPr>
          <w:p>
            <w:r>
              <w:rPr>
                <w:b w:val="false"/>
                <w:bCs w:val="false"/>
              </w:rPr>
              <w:t xml:space="preserve">Proposal statuses</w:t>
            </w:r>
          </w:p>
        </w:tc>
        <w:tc>
          <w:tcPr>
            <w:tcW w:type="dxa" w:w="4600"/>
            <w:tcMar>
              <w:top w:type="dxa" w:w="80"/>
              <w:left w:type="dxa" w:w="100"/>
              <w:bottom w:type="dxa" w:w="80"/>
              <w:right w:type="dxa" w:w="100"/>
            </w:tcMar>
          </w:tcPr>
          <w:p>
            <w:r>
              <w:rPr>
                <w:b w:val="false"/>
                <w:bCs w:val="false"/>
              </w:rPr>
              <w:t xml:space="preserve">Standard CPQ status list as a starting point.</w:t>
            </w:r>
          </w:p>
        </w:tc>
        <w:tc>
          <w:tcPr>
            <w:tcW w:type="dxa" w:w="2560"/>
            <w:tcMar>
              <w:top w:type="dxa" w:w="80"/>
              <w:left w:type="dxa" w:w="100"/>
              <w:bottom w:type="dxa" w:w="80"/>
              <w:right w:type="dxa" w:w="100"/>
            </w:tcMar>
          </w:tcPr>
          <w:p>
            <w:r>
              <w:rPr>
                <w:b w:val="false"/>
                <w:bCs w:val="false"/>
              </w:rPr>
              <w:t xml:space="preserve">Statuses that reflect actual business language</w:t>
            </w:r>
          </w:p>
        </w:tc>
      </w:tr>
      <w:tr>
        <w:tc>
          <w:tcPr>
            <w:tcW w:type="dxa" w:w="2200"/>
            <w:tcMar>
              <w:top w:type="dxa" w:w="80"/>
              <w:left w:type="dxa" w:w="100"/>
              <w:bottom w:type="dxa" w:w="80"/>
              <w:right w:type="dxa" w:w="100"/>
            </w:tcMar>
          </w:tcPr>
          <w:p>
            <w:r>
              <w:rPr>
                <w:b w:val="false"/>
                <w:bCs w:val="false"/>
              </w:rPr>
              <w:t xml:space="preserve">Approval workflow</w:t>
            </w:r>
          </w:p>
        </w:tc>
        <w:tc>
          <w:tcPr>
            <w:tcW w:type="dxa" w:w="4600"/>
            <w:tcMar>
              <w:top w:type="dxa" w:w="80"/>
              <w:left w:type="dxa" w:w="100"/>
              <w:bottom w:type="dxa" w:w="80"/>
              <w:right w:type="dxa" w:w="100"/>
            </w:tcMar>
          </w:tcPr>
          <w:p>
            <w:r>
              <w:rPr>
                <w:b w:val="false"/>
                <w:bCs w:val="false"/>
              </w:rPr>
              <w:t xml:space="preserve">Deferred to Phase 2 absent a stated trigger.</w:t>
            </w:r>
          </w:p>
        </w:tc>
        <w:tc>
          <w:tcPr>
            <w:tcW w:type="dxa" w:w="2560"/>
            <w:tcMar>
              <w:top w:type="dxa" w:w="80"/>
              <w:left w:type="dxa" w:w="100"/>
              <w:bottom w:type="dxa" w:w="80"/>
              <w:right w:type="dxa" w:w="100"/>
            </w:tcMar>
          </w:tcPr>
          <w:p>
            <w:r>
              <w:rPr>
                <w:b w:val="false"/>
                <w:bCs w:val="false"/>
              </w:rPr>
              <w:t xml:space="preserve">Whether any approval gate is needed at all for V1</w:t>
            </w:r>
          </w:p>
        </w:tc>
      </w:tr>
      <w:tr>
        <w:tc>
          <w:tcPr>
            <w:tcW w:type="dxa" w:w="2200"/>
            <w:tcMar>
              <w:top w:type="dxa" w:w="80"/>
              <w:left w:type="dxa" w:w="100"/>
              <w:bottom w:type="dxa" w:w="80"/>
              <w:right w:type="dxa" w:w="100"/>
            </w:tcMar>
          </w:tcPr>
          <w:p>
            <w:r>
              <w:rPr>
                <w:b w:val="false"/>
                <w:bCs w:val="false"/>
              </w:rPr>
              <w:t xml:space="preserve">Payment schedules</w:t>
            </w:r>
          </w:p>
        </w:tc>
        <w:tc>
          <w:tcPr>
            <w:tcW w:type="dxa" w:w="4600"/>
            <w:tcMar>
              <w:top w:type="dxa" w:w="80"/>
              <w:left w:type="dxa" w:w="100"/>
              <w:bottom w:type="dxa" w:w="80"/>
              <w:right w:type="dxa" w:w="100"/>
            </w:tcMar>
          </w:tcPr>
          <w:p>
            <w:r>
              <w:rPr>
                <w:b w:val="false"/>
                <w:bCs w:val="false"/>
              </w:rPr>
              <w:t xml:space="preserve">Not yet modeled.</w:t>
            </w:r>
          </w:p>
        </w:tc>
        <w:tc>
          <w:tcPr>
            <w:tcW w:type="dxa" w:w="2560"/>
            <w:tcMar>
              <w:top w:type="dxa" w:w="80"/>
              <w:left w:type="dxa" w:w="100"/>
              <w:bottom w:type="dxa" w:w="80"/>
              <w:right w:type="dxa" w:w="100"/>
            </w:tcMar>
          </w:tcPr>
          <w:p>
            <w:r>
              <w:rPr>
                <w:b w:val="false"/>
                <w:bCs w:val="false"/>
              </w:rPr>
              <w:t xml:space="preserve">Actual payment structures in use</w:t>
            </w:r>
          </w:p>
        </w:tc>
      </w:tr>
      <w:tr>
        <w:tc>
          <w:tcPr>
            <w:tcW w:type="dxa" w:w="2200"/>
            <w:tcMar>
              <w:top w:type="dxa" w:w="80"/>
              <w:left w:type="dxa" w:w="100"/>
              <w:bottom w:type="dxa" w:w="80"/>
              <w:right w:type="dxa" w:w="100"/>
            </w:tcMar>
          </w:tcPr>
          <w:p>
            <w:r>
              <w:rPr>
                <w:b w:val="false"/>
                <w:bCs w:val="false"/>
              </w:rPr>
              <w:t xml:space="preserve">Reporting scope</w:t>
            </w:r>
          </w:p>
        </w:tc>
        <w:tc>
          <w:tcPr>
            <w:tcW w:type="dxa" w:w="4600"/>
            <w:tcMar>
              <w:top w:type="dxa" w:w="80"/>
              <w:left w:type="dxa" w:w="100"/>
              <w:bottom w:type="dxa" w:w="80"/>
              <w:right w:type="dxa" w:w="100"/>
            </w:tcMar>
          </w:tcPr>
          <w:p>
            <w:r>
              <w:rPr>
                <w:b w:val="false"/>
                <w:bCs w:val="false"/>
              </w:rPr>
              <w:t xml:space="preserve">Sourcing + freight reports confirmed; sales/margin reports assumed valuable.</w:t>
            </w:r>
          </w:p>
        </w:tc>
        <w:tc>
          <w:tcPr>
            <w:tcW w:type="dxa" w:w="2560"/>
            <w:tcMar>
              <w:top w:type="dxa" w:w="80"/>
              <w:left w:type="dxa" w:w="100"/>
              <w:bottom w:type="dxa" w:w="80"/>
              <w:right w:type="dxa" w:w="100"/>
            </w:tcMar>
          </w:tcPr>
          <w:p>
            <w:r>
              <w:rPr>
                <w:b w:val="false"/>
                <w:bCs w:val="false"/>
              </w:rPr>
              <w:t xml:space="preserve">Which reports the founder will actually use</w:t>
            </w:r>
          </w:p>
        </w:tc>
      </w:tr>
    </w:tbl>
    <w:p>
      <w:pPr>
        <w:pStyle w:val="Heading1"/>
        <w:spacing w:after="200" w:before="400"/>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color="auto" w:val="clear"/>
            <w:tcMar>
              <w:top w:type="dxa" w:w="80"/>
              <w:left w:type="dxa" w:w="100"/>
              <w:bottom w:type="dxa" w:w="80"/>
              <w:right w:type="dxa" w:w="100"/>
            </w:tcMar>
          </w:tcPr>
          <w:p>
            <w:r>
              <w:rPr>
                <w:b/>
                <w:bCs/>
              </w:rPr>
              <w:t xml:space="preserve">Risk</w:t>
            </w:r>
          </w:p>
        </w:tc>
        <w:tc>
          <w:tcPr>
            <w:tcW w:type="dxa" w:w="4760"/>
            <w:shd w:fill="D9E2F3" w:color="auto" w:val="clear"/>
            <w:tcMar>
              <w:top w:type="dxa" w:w="80"/>
              <w:left w:type="dxa" w:w="100"/>
              <w:bottom w:type="dxa" w:w="80"/>
              <w:right w:type="dxa" w:w="100"/>
            </w:tcMar>
          </w:tcPr>
          <w:p>
            <w:r>
              <w:rPr>
                <w:b/>
                <w:bCs/>
              </w:rPr>
              <w:t xml:space="preserve">Impact if unaddressed</w:t>
            </w:r>
          </w:p>
        </w:tc>
      </w:tr>
      <w:tr>
        <w:tc>
          <w:tcPr>
            <w:tcW w:type="dxa" w:w="4600"/>
            <w:tcMar>
              <w:top w:type="dxa" w:w="80"/>
              <w:left w:type="dxa" w:w="100"/>
              <w:bottom w:type="dxa" w:w="80"/>
              <w:right w:type="dxa" w:w="100"/>
            </w:tcMar>
          </w:tcPr>
          <w:p>
            <w:r>
              <w:rPr>
                <w:b w:val="false"/>
                <w:bCs w:val="false"/>
              </w:rPr>
              <w:t xml:space="preserve">Hardware/BOM data entered incorrectly.</w:t>
            </w:r>
          </w:p>
        </w:tc>
        <w:tc>
          <w:tcPr>
            <w:tcW w:type="dxa" w:w="4760"/>
            <w:tcMar>
              <w:top w:type="dxa" w:w="80"/>
              <w:left w:type="dxa" w:w="100"/>
              <w:bottom w:type="dxa" w:w="80"/>
              <w:right w:type="dxa" w:w="100"/>
            </w:tcMar>
          </w:tcPr>
          <w:p>
            <w:r>
              <w:rPr>
                <w:b w:val="false"/>
                <w:bCs w:val="false"/>
              </w:rPr>
              <w:t xml:space="preserve">Wrong hardware quantities sent to the manufacturer — a fulfillment/safety issue, not just a paperwork one.</w:t>
            </w:r>
          </w:p>
        </w:tc>
      </w:tr>
      <w:tr>
        <w:tc>
          <w:tcPr>
            <w:tcW w:type="dxa" w:w="4600"/>
            <w:tcMar>
              <w:top w:type="dxa" w:w="80"/>
              <w:left w:type="dxa" w:w="100"/>
              <w:bottom w:type="dxa" w:w="80"/>
              <w:right w:type="dxa" w:w="100"/>
            </w:tcMar>
          </w:tcPr>
          <w:p>
            <w:r>
              <w:rPr>
                <w:b w:val="false"/>
                <w:bCs w:val="false"/>
              </w:rPr>
              <w:t xml:space="preserve">Freight-request automation assumed universally possible.</w:t>
            </w:r>
          </w:p>
        </w:tc>
        <w:tc>
          <w:tcPr>
            <w:tcW w:type="dxa" w:w="4760"/>
            <w:tcMar>
              <w:top w:type="dxa" w:w="80"/>
              <w:left w:type="dxa" w:w="100"/>
              <w:bottom w:type="dxa" w:w="80"/>
              <w:right w:type="dxa" w:w="100"/>
            </w:tcMar>
          </w:tcPr>
          <w:p>
            <w:r>
              <w:rPr>
                <w:b w:val="false"/>
                <w:bCs w:val="false"/>
              </w:rPr>
              <w:t xml:space="preserve">Some vendors may only accept manual email — over-promising automation could stall the whole subsystem. Needs a vendor capability audit early.</w:t>
            </w:r>
          </w:p>
        </w:tc>
      </w:tr>
      <w:tr>
        <w:tc>
          <w:tcPr>
            <w:tcW w:type="dxa" w:w="4600"/>
            <w:tcMar>
              <w:top w:type="dxa" w:w="80"/>
              <w:left w:type="dxa" w:w="100"/>
              <w:bottom w:type="dxa" w:w="80"/>
              <w:right w:type="dxa" w:w="100"/>
            </w:tcMar>
          </w:tcPr>
          <w:p>
            <w:r>
              <w:rPr>
                <w:b w:val="false"/>
                <w:bCs w:val="false"/>
              </w:rPr>
              <w:t xml:space="preserve">QuickBooks Online invoice logic built before payment schedules are defined.</w:t>
            </w:r>
          </w:p>
        </w:tc>
        <w:tc>
          <w:tcPr>
            <w:tcW w:type="dxa" w:w="4760"/>
            <w:tcMar>
              <w:top w:type="dxa" w:w="80"/>
              <w:left w:type="dxa" w:w="100"/>
              <w:bottom w:type="dxa" w:w="80"/>
              <w:right w:type="dxa" w:w="100"/>
            </w:tcMar>
          </w:tcPr>
          <w:p>
            <w:r>
              <w:rPr>
                <w:b w:val="false"/>
                <w:bCs w:val="false"/>
              </w:rPr>
              <w:t xml:space="preserve">Invoice amounts/timing could be wrong at launch, creating accounting cleanup work.</w:t>
            </w:r>
          </w:p>
        </w:tc>
      </w:tr>
      <w:tr>
        <w:tc>
          <w:tcPr>
            <w:tcW w:type="dxa" w:w="4600"/>
            <w:tcMar>
              <w:top w:type="dxa" w:w="80"/>
              <w:left w:type="dxa" w:w="100"/>
              <w:bottom w:type="dxa" w:w="80"/>
              <w:right w:type="dxa" w:w="100"/>
            </w:tcMar>
          </w:tcPr>
          <w:p>
            <w:r>
              <w:rPr>
                <w:b w:val="false"/>
                <w:bCs w:val="false"/>
              </w:rPr>
              <w:t xml:space="preserve">Building a full approval/configuration rules engine without confirmed real-world rules.</w:t>
            </w:r>
          </w:p>
        </w:tc>
        <w:tc>
          <w:tcPr>
            <w:tcW w:type="dxa" w:w="4760"/>
            <w:tcMar>
              <w:top w:type="dxa" w:w="80"/>
              <w:left w:type="dxa" w:w="100"/>
              <w:bottom w:type="dxa" w:w="80"/>
              <w:right w:type="dxa" w:w="100"/>
            </w:tcMar>
          </w:tcPr>
          <w:p>
            <w:r>
              <w:rPr>
                <w:b w:val="false"/>
                <w:bCs w:val="false"/>
              </w:rPr>
              <w:t xml:space="preserve">Wasted development effort on flexibility nobody needs yet — recommend deferring until real examples surface.</w:t>
            </w:r>
          </w:p>
        </w:tc>
      </w:tr>
    </w:tbl>
    <w:p>
      <w:pPr>
        <w:pStyle w:val="Heading1"/>
        <w:spacing w:after="200" w:before="400"/>
      </w:pPr>
      <w:r>
        <w:t xml:space="preserve">10. Recommended Development Phasing</w:t>
      </w:r>
    </w:p>
    <w:p>
      <w:pPr>
        <w:spacing w:after="160"/>
      </w:pPr>
      <w:r>
        <w:t xml:space="preserve">Adapted from the original project’s phase structure, re-ordered to attack the founder’s confirmed pain points first.</w:t>
      </w:r>
    </w:p>
    <w:p>
      <w:pPr>
        <w:pStyle w:val="Heading3"/>
        <w:spacing w:after="100" w:before="200"/>
      </w:pPr>
      <w:r>
        <w:t xml:space="preserve">Phase 1 — Core Replacement for Excel</w:t>
      </w:r>
    </w:p>
    <w:p>
      <w:pPr>
        <w:pStyle w:val="ListParagraph"/>
        <w:numPr>
          <w:ilvl w:val="0"/>
          <w:numId w:val="2"/>
        </w:numPr>
        <w:spacing w:after="60"/>
      </w:pPr>
      <w:r>
        <w:t xml:space="preserve">Customer, contact, and project records</w:t>
      </w:r>
    </w:p>
    <w:p>
      <w:pPr>
        <w:pStyle w:val="ListParagraph"/>
        <w:numPr>
          <w:ilvl w:val="0"/>
          <w:numId w:val="2"/>
        </w:numPr>
        <w:spacing w:after="60"/>
      </w:pPr>
      <w:r>
        <w:t xml:space="preserve">Product database with BOM/hardware breakdown</w:t>
      </w:r>
    </w:p>
    <w:p>
      <w:pPr>
        <w:pStyle w:val="ListParagraph"/>
        <w:numPr>
          <w:ilvl w:val="0"/>
          <w:numId w:val="2"/>
        </w:numPr>
        <w:spacing w:after="60"/>
      </w:pPr>
      <w:r>
        <w:t xml:space="preserve">Proposal builder (item picker, auto-filtered sections, one-click PDF)</w:t>
      </w:r>
    </w:p>
    <w:p>
      <w:pPr>
        <w:pStyle w:val="ListParagraph"/>
        <w:numPr>
          <w:ilvl w:val="0"/>
          <w:numId w:val="2"/>
        </w:numPr>
        <w:spacing w:after="60"/>
      </w:pPr>
      <w:r>
        <w:t xml:space="preserve">Proposal versioning/history</w:t>
      </w:r>
    </w:p>
    <w:p>
      <w:pPr>
        <w:pStyle w:val="ListParagraph"/>
        <w:numPr>
          <w:ilvl w:val="0"/>
          <w:numId w:val="2"/>
        </w:numPr>
        <w:spacing w:after="60"/>
      </w:pPr>
      <w:r>
        <w:t xml:space="preserve">Basic user roles and audit log</w:t>
      </w:r>
    </w:p>
    <w:p>
      <w:pPr>
        <w:pStyle w:val="Heading3"/>
        <w:spacing w:after="100" w:before="200"/>
      </w:pPr>
      <w:r>
        <w:t xml:space="preserve">Phase 2 — Sourcing &amp; Freight Tracking</w:t>
      </w:r>
    </w:p>
    <w:p>
      <w:pPr>
        <w:pStyle w:val="ListParagraph"/>
        <w:numPr>
          <w:ilvl w:val="0"/>
          <w:numId w:val="2"/>
        </w:numPr>
        <w:spacing w:after="60"/>
      </w:pPr>
      <w:r>
        <w:t xml:space="preserve">Third-party sourcing flags and order-status report</w:t>
      </w:r>
    </w:p>
    <w:p>
      <w:pPr>
        <w:pStyle w:val="ListParagraph"/>
        <w:numPr>
          <w:ilvl w:val="0"/>
          <w:numId w:val="2"/>
        </w:numPr>
        <w:spacing w:after="60"/>
      </w:pPr>
      <w:r>
        <w:t xml:space="preserve">Freight request generation and status tracking dashboard</w:t>
      </w:r>
    </w:p>
    <w:p>
      <w:pPr>
        <w:pStyle w:val="Heading3"/>
        <w:spacing w:after="100" w:before="200"/>
      </w:pPr>
      <w:r>
        <w:t xml:space="preserve">Phase 3 — Signature &amp; Invoicing Automation</w:t>
      </w:r>
    </w:p>
    <w:p>
      <w:pPr>
        <w:pStyle w:val="ListParagraph"/>
        <w:numPr>
          <w:ilvl w:val="0"/>
          <w:numId w:val="2"/>
        </w:numPr>
        <w:spacing w:after="60"/>
      </w:pPr>
      <w:r>
        <w:t xml:space="preserve">PandaDoc e-signature integration</w:t>
      </w:r>
    </w:p>
    <w:p>
      <w:pPr>
        <w:pStyle w:val="ListParagraph"/>
        <w:numPr>
          <w:ilvl w:val="0"/>
          <w:numId w:val="2"/>
        </w:numPr>
        <w:spacing w:after="60"/>
      </w:pPr>
      <w:r>
        <w:t xml:space="preserve">Payment schedule modeling (pending owner decision)</w:t>
      </w:r>
    </w:p>
    <w:p>
      <w:pPr>
        <w:pStyle w:val="ListParagraph"/>
        <w:numPr>
          <w:ilvl w:val="0"/>
          <w:numId w:val="2"/>
        </w:numPr>
        <w:spacing w:after="60"/>
      </w:pPr>
      <w:r>
        <w:t xml:space="preserve">QuickBooks Online customer matching and invoice creation</w:t>
      </w:r>
    </w:p>
    <w:p>
      <w:pPr>
        <w:pStyle w:val="Heading3"/>
        <w:spacing w:after="100" w:before="200"/>
      </w:pPr>
      <w:r>
        <w:t xml:space="preserve">Phase 4 — Pricing Intelligence</w:t>
      </w:r>
    </w:p>
    <w:p>
      <w:pPr>
        <w:pStyle w:val="ListParagraph"/>
        <w:numPr>
          <w:ilvl w:val="0"/>
          <w:numId w:val="2"/>
        </w:numPr>
        <w:spacing w:after="60"/>
      </w:pPr>
      <w:r>
        <w:t xml:space="preserve">Vendor price auto-pull, vendor by vendor as feasibility is confirmed</w:t>
      </w:r>
    </w:p>
    <w:p>
      <w:pPr>
        <w:pStyle w:val="ListParagraph"/>
        <w:numPr>
          <w:ilvl w:val="0"/>
          <w:numId w:val="2"/>
        </w:numPr>
        <w:spacing w:after="60"/>
      </w:pPr>
      <w:r>
        <w:t xml:space="preserve">Discount/margin rules and approval workflow, if the owner confirms a need</w:t>
      </w:r>
    </w:p>
    <w:p>
      <w:pPr>
        <w:pStyle w:val="Heading3"/>
        <w:spacing w:after="100" w:before="200"/>
      </w:pPr>
      <w:r>
        <w:t xml:space="preserve">Phase 5 — Reporting &amp; Expansion</w:t>
      </w:r>
    </w:p>
    <w:p>
      <w:pPr>
        <w:pStyle w:val="ListParagraph"/>
        <w:numPr>
          <w:ilvl w:val="0"/>
          <w:numId w:val="2"/>
        </w:numPr>
        <w:spacing w:after="60"/>
      </w:pPr>
      <w:r>
        <w:t xml:space="preserve">Sales/margin/win-rate dashboards</w:t>
      </w:r>
    </w:p>
    <w:p>
      <w:pPr>
        <w:pStyle w:val="ListParagraph"/>
        <w:numPr>
          <w:ilvl w:val="0"/>
          <w:numId w:val="2"/>
        </w:numPr>
        <w:spacing w:after="60"/>
      </w:pPr>
      <w:r>
        <w:t xml:space="preserve">Additional integrations (Monday.com, Outlook, etc.) if confirmed as valuable</w:t>
      </w:r>
    </w:p>
    <w:p>
      <w:pPr>
        <w:pStyle w:val="Heading1"/>
        <w:spacing w:after="200" w:before="400"/>
      </w:pPr>
      <w:r>
        <w:t xml:space="preserve">11. Sample Acceptance Criteria</w:t>
      </w:r>
    </w:p>
    <w:p>
      <w:pPr>
        <w:pStyle w:val="ListParagraph"/>
        <w:numPr>
          <w:ilvl w:val="0"/>
          <w:numId w:val="2"/>
        </w:numPr>
        <w:spacing w:after="60"/>
      </w:pPr>
      <w:r>
        <w:t xml:space="preserve">A user can build a complete proposal and produce a correctly formatted PDF in under 5 minutes.</w:t>
      </w:r>
    </w:p>
    <w:p>
      <w:pPr>
        <w:pStyle w:val="ListParagraph"/>
        <w:numPr>
          <w:ilvl w:val="0"/>
          <w:numId w:val="2"/>
        </w:numPr>
        <w:spacing w:after="60"/>
      </w:pPr>
      <w:r>
        <w:t xml:space="preserve">Empty or unused proposal sections never appear in the generated document without manual filtering.</w:t>
      </w:r>
    </w:p>
    <w:p>
      <w:pPr>
        <w:pStyle w:val="ListParagraph"/>
        <w:numPr>
          <w:ilvl w:val="0"/>
          <w:numId w:val="2"/>
        </w:numPr>
        <w:spacing w:after="60"/>
      </w:pPr>
      <w:r>
        <w:t xml:space="preserve">A previously sent proposal does not change when product prices, descriptions, or terms are updated later.</w:t>
      </w:r>
    </w:p>
    <w:p>
      <w:pPr>
        <w:pStyle w:val="ListParagraph"/>
        <w:numPr>
          <w:ilvl w:val="0"/>
          <w:numId w:val="2"/>
        </w:numPr>
        <w:spacing w:after="60"/>
      </w:pPr>
      <w:r>
        <w:t xml:space="preserve">Every third-party-sourced item on an accepted proposal appears on the sourcing report with a status of "Not Ordered" until updated.</w:t>
      </w:r>
    </w:p>
    <w:p>
      <w:pPr>
        <w:pStyle w:val="ListParagraph"/>
        <w:numPr>
          <w:ilvl w:val="0"/>
          <w:numId w:val="2"/>
        </w:numPr>
        <w:spacing w:after="60"/>
      </w:pPr>
      <w:r>
        <w:t xml:space="preserve">A freight request that has not been sent for a proposal is visibly flagged, not silently missing.</w:t>
      </w:r>
    </w:p>
    <w:p>
      <w:pPr>
        <w:pStyle w:val="ListParagraph"/>
        <w:numPr>
          <w:ilvl w:val="0"/>
          <w:numId w:val="2"/>
        </w:numPr>
        <w:spacing w:after="60"/>
      </w:pPr>
      <w:r>
        <w:t xml:space="preserve">A QuickBooks Online invoice cannot be created twice for the same proposal or payment milestone.</w:t>
      </w:r>
    </w:p>
    <w:p>
      <w:pPr>
        <w:pStyle w:val="ListParagraph"/>
        <w:numPr>
          <w:ilvl w:val="0"/>
          <w:numId w:val="2"/>
        </w:numPr>
        <w:spacing w:after="60"/>
      </w:pPr>
      <w:r>
        <w:t xml:space="preserve">Fulfillment can view the full hardware/BOM breakdown behind any accepted proposal line item.</w:t>
      </w:r>
    </w:p>
    <w:p>
      <w:pPr>
        <w:pStyle w:val="Heading1"/>
        <w:spacing w:after="200" w:before="400"/>
      </w:pPr>
      <w:r>
        <w:t xml:space="preserve">12. Master Notes for Development</w:t>
      </w:r>
    </w:p>
    <w:p>
      <w:pPr>
        <w:spacing w:after="160"/>
      </w:pPr>
      <w:r>
        <w:t xml:space="preserve">When this specification is handed to Claude Code (or a developer) for implementation:</w:t>
      </w:r>
    </w:p>
    <w:p>
      <w:pPr>
        <w:pStyle w:val="ListParagraph"/>
        <w:numPr>
          <w:ilvl w:val="0"/>
          <w:numId w:val="2"/>
        </w:numPr>
        <w:spacing w:after="60"/>
      </w:pPr>
      <w:r>
        <w:t xml:space="preserve">Do not begin building modules marked "Open decision" until the founder has answered the corresponding Open Question.</w:t>
      </w:r>
    </w:p>
    <w:p>
      <w:pPr>
        <w:pStyle w:val="ListParagraph"/>
        <w:numPr>
          <w:ilvl w:val="0"/>
          <w:numId w:val="2"/>
        </w:numPr>
        <w:spacing w:after="60"/>
      </w:pPr>
      <w:r>
        <w:t xml:space="preserve">Preserve proposal historical accuracy (Section 5.9.1) from the very first version of the proposal builder — retrofitting this later is expensive.</w:t>
      </w:r>
    </w:p>
    <w:p>
      <w:pPr>
        <w:pStyle w:val="ListParagraph"/>
        <w:numPr>
          <w:ilvl w:val="0"/>
          <w:numId w:val="2"/>
        </w:numPr>
        <w:spacing w:after="60"/>
      </w:pPr>
      <w:r>
        <w:t xml:space="preserve">Treat QuickBooks Online as the permanent source of truth for invoice and payment status; the internal app should never override it.</w:t>
      </w:r>
    </w:p>
    <w:p>
      <w:pPr>
        <w:pStyle w:val="ListParagraph"/>
        <w:numPr>
          <w:ilvl w:val="0"/>
          <w:numId w:val="2"/>
        </w:numPr>
        <w:spacing w:after="60"/>
      </w:pPr>
      <w:r>
        <w:t xml:space="preserve">Confirm real product examples for the BOM/hardware data model before finalizing the product database schema — this is the highest-risk data model in the system.</w:t>
      </w:r>
    </w:p>
    <w:p>
      <w:pPr>
        <w:pStyle w:val="ListParagraph"/>
        <w:numPr>
          <w:ilvl w:val="0"/>
          <w:numId w:val="2"/>
        </w:numPr>
        <w:spacing w:after="60"/>
      </w:pPr>
      <w:r>
        <w:t xml:space="preserve">Build the freight-tracking dashboard so a "not yet requested" item is impossible to miss — this was the founder’s specific complaint about the current process.</w:t>
      </w:r>
    </w:p>
    <w:p>
      <w:pPr>
        <w:pStyle w:val="Heading1"/>
        <w:spacing w:after="200" w:before="400"/>
      </w:pPr>
      <w:r>
        <w:t xml:space="preserve">13. Next Steps</w:t>
      </w:r>
    </w:p>
    <w:p>
      <w:pPr>
        <w:spacing w:after="160"/>
      </w:pPr>
      <w:r>
        <w:t xml:space="preserve">Before development starts, the fastest path forward is a short follow-up session to resolve the Open Questions in Section 7 — particularly roles/permissions, payment schedules, and the BOM data structure, since those three block the most downstream modules (QuickBooks Online invoicing, the product database, and permissions).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2026-07-11T20:32:31.288Z</dcterms:created>
  <dcterms:modified xsi:type="dcterms:W3CDTF">2026-07-11T20:32:31.295Z</dcterms:modified>
</cp:coreProperties>
</file>

<file path=docProps/custom.xml><?xml version="1.0" encoding="utf-8"?>
<Properties xmlns="http://schemas.openxmlformats.org/officeDocument/2006/custom-properties" xmlns:vt="http://schemas.openxmlformats.org/officeDocument/2006/docPropsVTypes"/>
</file>