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8"/>
        <w:keepNext w:val="0"/>
        <w:keepLines w:val="0"/>
        <w:spacing w:before="280"/>
        <w:jc w:val="center"/>
        <w:rPr>
          <w:b/>
          <w:bCs/>
        </w:rPr>
      </w:pPr>
      <w:bookmarkStart w:id="0" w:name="_1iisxihl0d8t" w:colFirst="0" w:colLast="0"/>
      <w:bookmarkEnd w:id="0"/>
      <w:r>
        <w:rPr>
          <w:b/>
          <w:bCs/>
          <w:rtl w:val="0"/>
        </w:rPr>
        <w:t>Marketing Psychedelic-Assisted Wellness: Consumer Perceptions and Ethical Challenges in Emerging Psychedelic Markets</w:t>
      </w:r>
    </w:p>
    <w:p w14:paraId="00000002">
      <w:pPr>
        <w:pStyle w:val="4"/>
        <w:keepNext w:val="0"/>
        <w:keepLines w:val="0"/>
        <w:spacing w:before="240" w:after="40"/>
        <w:rPr>
          <w:b/>
          <w:bCs/>
          <w:color w:val="000000"/>
          <w:sz w:val="22"/>
          <w:szCs w:val="22"/>
        </w:rPr>
      </w:pPr>
      <w:bookmarkStart w:id="1" w:name="_4y9blfydwct1" w:colFirst="0" w:colLast="0"/>
      <w:bookmarkEnd w:id="1"/>
    </w:p>
    <w:p w14:paraId="00000003">
      <w:pPr>
        <w:pStyle w:val="4"/>
        <w:keepNext w:val="0"/>
        <w:keepLines w:val="0"/>
        <w:spacing w:before="240" w:after="40"/>
        <w:rPr>
          <w:b/>
          <w:bCs/>
          <w:color w:val="000000"/>
          <w:sz w:val="22"/>
          <w:szCs w:val="22"/>
        </w:rPr>
      </w:pPr>
      <w:bookmarkStart w:id="2" w:name="_jh7hf9ado8ar" w:colFirst="0" w:colLast="0"/>
      <w:bookmarkEnd w:id="2"/>
    </w:p>
    <w:p w14:paraId="00000004">
      <w:pPr>
        <w:pStyle w:val="4"/>
        <w:keepNext w:val="0"/>
        <w:keepLines w:val="0"/>
        <w:spacing w:before="240" w:after="40"/>
        <w:rPr>
          <w:b/>
          <w:bCs/>
          <w:color w:val="000000"/>
          <w:sz w:val="22"/>
          <w:szCs w:val="22"/>
        </w:rPr>
      </w:pPr>
      <w:bookmarkStart w:id="3" w:name="_ag1uzkhhyi3k" w:colFirst="0" w:colLast="0"/>
      <w:bookmarkEnd w:id="3"/>
    </w:p>
    <w:p w14:paraId="00000005">
      <w:pPr>
        <w:pStyle w:val="4"/>
        <w:keepNext w:val="0"/>
        <w:keepLines w:val="0"/>
        <w:spacing w:before="240" w:after="40"/>
        <w:rPr>
          <w:b/>
          <w:bCs/>
          <w:color w:val="000000"/>
          <w:sz w:val="22"/>
          <w:szCs w:val="22"/>
        </w:rPr>
      </w:pPr>
      <w:bookmarkStart w:id="4" w:name="_a9q0nmpwr8x3" w:colFirst="0" w:colLast="0"/>
      <w:bookmarkEnd w:id="4"/>
    </w:p>
    <w:p w14:paraId="00000006">
      <w:pPr>
        <w:pStyle w:val="4"/>
        <w:keepNext w:val="0"/>
        <w:keepLines w:val="0"/>
        <w:spacing w:before="240" w:after="40"/>
        <w:rPr>
          <w:b/>
          <w:bCs/>
          <w:color w:val="000000"/>
          <w:sz w:val="22"/>
          <w:szCs w:val="22"/>
        </w:rPr>
      </w:pPr>
      <w:bookmarkStart w:id="5" w:name="_379v7uq4nknr" w:colFirst="0" w:colLast="0"/>
      <w:bookmarkEnd w:id="5"/>
    </w:p>
    <w:p w14:paraId="00000007">
      <w:pPr>
        <w:pStyle w:val="4"/>
        <w:keepNext w:val="0"/>
        <w:keepLines w:val="0"/>
        <w:spacing w:before="240" w:after="40"/>
        <w:rPr>
          <w:b/>
          <w:bCs/>
          <w:color w:val="000000"/>
          <w:sz w:val="22"/>
          <w:szCs w:val="22"/>
        </w:rPr>
      </w:pPr>
      <w:bookmarkStart w:id="6" w:name="_avo6eqsyk3d" w:colFirst="0" w:colLast="0"/>
      <w:bookmarkEnd w:id="6"/>
    </w:p>
    <w:p w14:paraId="00000008">
      <w:pPr>
        <w:pStyle w:val="4"/>
        <w:keepNext w:val="0"/>
        <w:keepLines w:val="0"/>
        <w:spacing w:before="240" w:after="40"/>
        <w:rPr>
          <w:b/>
          <w:bCs/>
          <w:color w:val="000000"/>
          <w:sz w:val="22"/>
          <w:szCs w:val="22"/>
        </w:rPr>
      </w:pPr>
      <w:bookmarkStart w:id="7" w:name="_oas85q5ss7be" w:colFirst="0" w:colLast="0"/>
      <w:bookmarkEnd w:id="7"/>
    </w:p>
    <w:p w14:paraId="00000009">
      <w:pPr>
        <w:pStyle w:val="4"/>
        <w:keepNext w:val="0"/>
        <w:keepLines w:val="0"/>
        <w:spacing w:before="240" w:after="40"/>
        <w:rPr>
          <w:b/>
          <w:bCs/>
          <w:color w:val="000000"/>
          <w:sz w:val="22"/>
          <w:szCs w:val="22"/>
        </w:rPr>
      </w:pPr>
      <w:bookmarkStart w:id="8" w:name="_gelikbpiv9ko" w:colFirst="0" w:colLast="0"/>
      <w:bookmarkEnd w:id="8"/>
    </w:p>
    <w:p w14:paraId="0000000A">
      <w:pPr>
        <w:pStyle w:val="4"/>
        <w:keepNext w:val="0"/>
        <w:keepLines w:val="0"/>
        <w:spacing w:before="240" w:after="40"/>
        <w:rPr>
          <w:b/>
          <w:bCs/>
          <w:color w:val="000000"/>
          <w:sz w:val="22"/>
          <w:szCs w:val="22"/>
        </w:rPr>
      </w:pPr>
      <w:bookmarkStart w:id="9" w:name="_4fbn90a2qra0" w:colFirst="0" w:colLast="0"/>
      <w:bookmarkEnd w:id="9"/>
    </w:p>
    <w:p w14:paraId="0000000B">
      <w:pPr>
        <w:pStyle w:val="4"/>
        <w:keepNext w:val="0"/>
        <w:keepLines w:val="0"/>
        <w:spacing w:before="240" w:after="40"/>
        <w:rPr>
          <w:b/>
          <w:bCs/>
          <w:color w:val="000000"/>
          <w:sz w:val="22"/>
          <w:szCs w:val="22"/>
        </w:rPr>
      </w:pPr>
      <w:bookmarkStart w:id="10" w:name="_vsvv2whdbbyv" w:colFirst="0" w:colLast="0"/>
      <w:bookmarkEnd w:id="10"/>
    </w:p>
    <w:p w14:paraId="0000000C">
      <w:pPr>
        <w:pStyle w:val="4"/>
        <w:keepNext w:val="0"/>
        <w:keepLines w:val="0"/>
        <w:spacing w:before="240" w:after="40"/>
        <w:rPr>
          <w:b/>
          <w:bCs/>
          <w:color w:val="000000"/>
          <w:sz w:val="22"/>
          <w:szCs w:val="22"/>
        </w:rPr>
      </w:pPr>
      <w:bookmarkStart w:id="11" w:name="_z1g7v2q599v7" w:colFirst="0" w:colLast="0"/>
      <w:bookmarkEnd w:id="11"/>
    </w:p>
    <w:p w14:paraId="0000000D">
      <w:pPr>
        <w:pStyle w:val="4"/>
        <w:keepNext w:val="0"/>
        <w:keepLines w:val="0"/>
        <w:spacing w:before="240" w:after="40"/>
        <w:rPr>
          <w:b/>
          <w:bCs/>
          <w:color w:val="000000"/>
          <w:sz w:val="22"/>
          <w:szCs w:val="22"/>
        </w:rPr>
      </w:pPr>
      <w:bookmarkStart w:id="12" w:name="_amgk9yrvkz5u" w:colFirst="0" w:colLast="0"/>
      <w:bookmarkEnd w:id="12"/>
    </w:p>
    <w:p w14:paraId="0000000E">
      <w:pPr>
        <w:pStyle w:val="4"/>
        <w:keepNext w:val="0"/>
        <w:keepLines w:val="0"/>
        <w:spacing w:before="240" w:after="40"/>
        <w:rPr>
          <w:b/>
          <w:bCs/>
          <w:color w:val="000000"/>
          <w:sz w:val="22"/>
          <w:szCs w:val="22"/>
        </w:rPr>
      </w:pPr>
      <w:bookmarkStart w:id="13" w:name="_ausupz8t9ss4" w:colFirst="0" w:colLast="0"/>
      <w:bookmarkEnd w:id="13"/>
    </w:p>
    <w:p w14:paraId="0000000F"/>
    <w:p w14:paraId="00000010">
      <w:pPr>
        <w:pStyle w:val="4"/>
        <w:keepNext w:val="0"/>
        <w:keepLines w:val="0"/>
        <w:spacing w:before="240" w:after="40"/>
        <w:rPr>
          <w:b/>
          <w:bCs/>
          <w:color w:val="000000"/>
          <w:sz w:val="22"/>
          <w:szCs w:val="22"/>
        </w:rPr>
      </w:pPr>
      <w:bookmarkStart w:id="14" w:name="_fxo06tvv3fr" w:colFirst="0" w:colLast="0"/>
      <w:bookmarkEnd w:id="14"/>
    </w:p>
    <w:p w14:paraId="00000011">
      <w:pPr>
        <w:pStyle w:val="4"/>
        <w:keepNext w:val="0"/>
        <w:keepLines w:val="0"/>
        <w:spacing w:before="240" w:after="40"/>
        <w:rPr>
          <w:b/>
          <w:bCs/>
          <w:color w:val="000000"/>
          <w:sz w:val="22"/>
          <w:szCs w:val="22"/>
        </w:rPr>
      </w:pPr>
      <w:bookmarkStart w:id="15" w:name="_rjokhsujca7w" w:colFirst="0" w:colLast="0"/>
      <w:bookmarkEnd w:id="15"/>
      <w:r>
        <w:rPr>
          <w:b/>
          <w:bCs/>
          <w:color w:val="000000"/>
          <w:sz w:val="22"/>
          <w:szCs w:val="22"/>
          <w:rtl w:val="0"/>
        </w:rPr>
        <w:t xml:space="preserve">7084SMM - Contemporary Issues in Research Development Conference Paper </w:t>
      </w:r>
    </w:p>
    <w:p w14:paraId="00000012">
      <w:pPr>
        <w:pStyle w:val="4"/>
        <w:keepNext w:val="0"/>
        <w:keepLines w:val="0"/>
        <w:spacing w:before="240" w:after="40"/>
        <w:rPr>
          <w:rFonts w:hint="default"/>
          <w:b/>
          <w:bCs/>
          <w:color w:val="000000"/>
          <w:sz w:val="22"/>
          <w:szCs w:val="22"/>
          <w:lang w:val="en-US"/>
        </w:rPr>
      </w:pPr>
      <w:bookmarkStart w:id="16" w:name="_fffu1mpa37wi" w:colFirst="0" w:colLast="0"/>
      <w:bookmarkEnd w:id="16"/>
      <w:r>
        <w:rPr>
          <w:rFonts w:hint="default"/>
          <w:b/>
          <w:bCs/>
          <w:color w:val="000000"/>
          <w:sz w:val="22"/>
          <w:szCs w:val="22"/>
          <w:lang w:val="en-US"/>
        </w:rPr>
        <w:t>Student ID: 15770013</w:t>
      </w:r>
    </w:p>
    <w:p w14:paraId="00000013">
      <w:pPr>
        <w:pStyle w:val="4"/>
        <w:keepNext w:val="0"/>
        <w:keepLines w:val="0"/>
        <w:spacing w:before="240" w:after="40"/>
        <w:rPr>
          <w:b/>
          <w:bCs/>
          <w:color w:val="000000"/>
          <w:sz w:val="22"/>
          <w:szCs w:val="22"/>
        </w:rPr>
      </w:pPr>
      <w:bookmarkStart w:id="17" w:name="_2veqslbjf25k" w:colFirst="0" w:colLast="0"/>
      <w:bookmarkEnd w:id="17"/>
    </w:p>
    <w:sdt>
      <w:sdtPr>
        <w:id w:val="1173292149"/>
        <w:docPartObj>
          <w:docPartGallery w:val="Table of Contents"/>
          <w:docPartUnique/>
        </w:docPartObj>
      </w:sdtPr>
      <w:sdtContent>
        <w:p w14:paraId="00000014">
          <w:pPr>
            <w:widowControl w:val="0"/>
            <w:tabs>
              <w:tab w:val="right" w:leader="dot" w:pos="9360"/>
            </w:tabs>
            <w:spacing w:before="60" w:line="240" w:lineRule="auto"/>
            <w:rPr>
              <w:b/>
              <w:bCs/>
              <w:color w:val="000000"/>
              <w:u w:val="none"/>
            </w:rPr>
          </w:pPr>
          <w:r>
            <w:fldChar w:fldCharType="begin"/>
          </w:r>
          <w:r>
            <w:instrText xml:space="preserve"> TOC \h \u \z \t "Heading 1,1,Heading 2,2,Heading 3,3,Heading 4,4,Heading 5,5,Heading 6,6,"</w:instrText>
          </w:r>
          <w:r>
            <w:fldChar w:fldCharType="separate"/>
          </w:r>
          <w:r>
            <w:fldChar w:fldCharType="begin"/>
          </w:r>
          <w:r>
            <w:instrText xml:space="preserve"> HYPERLINK \l "_1iisxihl0d8t" \h </w:instrText>
          </w:r>
          <w:r>
            <w:fldChar w:fldCharType="separate"/>
          </w:r>
          <w:r>
            <w:rPr>
              <w:b/>
              <w:bCs/>
              <w:color w:val="1155CC"/>
              <w:u w:val="single"/>
              <w:rtl w:val="0"/>
            </w:rPr>
            <w:t>Table of contents</w:t>
          </w:r>
          <w:r>
            <w:rPr>
              <w:b/>
              <w:bCs/>
              <w:color w:val="1155CC"/>
              <w:u w:val="single"/>
              <w:rtl w:val="0"/>
            </w:rPr>
            <w:fldChar w:fldCharType="end"/>
          </w:r>
        </w:p>
        <w:p w14:paraId="00000015">
          <w:pPr>
            <w:widowControl w:val="0"/>
            <w:tabs>
              <w:tab w:val="right" w:leader="dot" w:pos="9360"/>
            </w:tabs>
            <w:spacing w:before="60" w:line="240" w:lineRule="auto"/>
            <w:ind w:left="360" w:firstLine="0"/>
            <w:rPr>
              <w:color w:val="000000"/>
              <w:u w:val="none"/>
            </w:rPr>
          </w:pPr>
          <w:r>
            <w:fldChar w:fldCharType="begin"/>
          </w:r>
          <w:r>
            <w:instrText xml:space="preserve"> HYPERLINK \l "_xcmlgq78ld86" \h </w:instrText>
          </w:r>
          <w:r>
            <w:fldChar w:fldCharType="separate"/>
          </w:r>
          <w:r>
            <w:rPr>
              <w:color w:val="000000"/>
              <w:u w:val="none"/>
              <w:rtl w:val="0"/>
            </w:rPr>
            <w:t>Abstract</w:t>
          </w:r>
          <w:r>
            <w:rPr>
              <w:color w:val="000000"/>
              <w:u w:val="none"/>
              <w:rtl w:val="0"/>
            </w:rPr>
            <w:tab/>
          </w:r>
          <w:r>
            <w:rPr>
              <w:color w:val="000000"/>
              <w:u w:val="none"/>
              <w:rtl w:val="0"/>
            </w:rPr>
            <w:fldChar w:fldCharType="end"/>
          </w:r>
          <w:r>
            <w:fldChar w:fldCharType="begin"/>
          </w:r>
          <w:r>
            <w:instrText xml:space="preserve"> PAGEREF _xcmlgq78ld86 \h </w:instrText>
          </w:r>
          <w:r>
            <w:fldChar w:fldCharType="separate"/>
          </w:r>
          <w:r>
            <w:rPr>
              <w:rtl w:val="0"/>
            </w:rPr>
            <w:t>3</w:t>
          </w:r>
          <w:r>
            <w:fldChar w:fldCharType="end"/>
          </w:r>
        </w:p>
        <w:p w14:paraId="00000016">
          <w:pPr>
            <w:widowControl w:val="0"/>
            <w:tabs>
              <w:tab w:val="right" w:leader="dot" w:pos="9360"/>
            </w:tabs>
            <w:spacing w:before="60" w:line="240" w:lineRule="auto"/>
            <w:ind w:left="360" w:firstLine="0"/>
            <w:rPr>
              <w:color w:val="000000"/>
              <w:u w:val="none"/>
            </w:rPr>
          </w:pPr>
          <w:r>
            <w:fldChar w:fldCharType="begin"/>
          </w:r>
          <w:r>
            <w:instrText xml:space="preserve"> HYPERLINK \l "_5mfg3mivrcbf" \h </w:instrText>
          </w:r>
          <w:r>
            <w:fldChar w:fldCharType="separate"/>
          </w:r>
          <w:r>
            <w:rPr>
              <w:color w:val="000000"/>
              <w:u w:val="none"/>
              <w:rtl w:val="0"/>
            </w:rPr>
            <w:t xml:space="preserve">1.0 The Purpose of the Research </w:t>
          </w:r>
          <w:r>
            <w:rPr>
              <w:color w:val="000000"/>
              <w:u w:val="none"/>
              <w:rtl w:val="0"/>
            </w:rPr>
            <w:tab/>
          </w:r>
          <w:r>
            <w:rPr>
              <w:color w:val="000000"/>
              <w:u w:val="none"/>
              <w:rtl w:val="0"/>
            </w:rPr>
            <w:fldChar w:fldCharType="end"/>
          </w:r>
          <w:r>
            <w:fldChar w:fldCharType="begin"/>
          </w:r>
          <w:r>
            <w:instrText xml:space="preserve"> PAGEREF _5mfg3mivrcbf \h </w:instrText>
          </w:r>
          <w:r>
            <w:fldChar w:fldCharType="separate"/>
          </w:r>
          <w:r>
            <w:rPr>
              <w:rtl w:val="0"/>
            </w:rPr>
            <w:t>3</w:t>
          </w:r>
          <w:r>
            <w:fldChar w:fldCharType="end"/>
          </w:r>
        </w:p>
        <w:p w14:paraId="00000017">
          <w:pPr>
            <w:widowControl w:val="0"/>
            <w:tabs>
              <w:tab w:val="right" w:leader="dot" w:pos="9360"/>
            </w:tabs>
            <w:spacing w:before="60" w:line="240" w:lineRule="auto"/>
            <w:ind w:left="360" w:firstLine="0"/>
            <w:rPr>
              <w:color w:val="000000"/>
              <w:u w:val="none"/>
            </w:rPr>
          </w:pPr>
          <w:r>
            <w:fldChar w:fldCharType="begin"/>
          </w:r>
          <w:r>
            <w:instrText xml:space="preserve"> HYPERLINK \l "_rdbt9ra4mxf1" \h </w:instrText>
          </w:r>
          <w:r>
            <w:fldChar w:fldCharType="separate"/>
          </w:r>
          <w:r>
            <w:rPr>
              <w:color w:val="000000"/>
              <w:u w:val="none"/>
              <w:rtl w:val="0"/>
            </w:rPr>
            <w:t xml:space="preserve">2.0 Literature Review </w:t>
          </w:r>
          <w:r>
            <w:rPr>
              <w:color w:val="000000"/>
              <w:u w:val="none"/>
              <w:rtl w:val="0"/>
            </w:rPr>
            <w:tab/>
          </w:r>
          <w:r>
            <w:rPr>
              <w:color w:val="000000"/>
              <w:u w:val="none"/>
              <w:rtl w:val="0"/>
            </w:rPr>
            <w:fldChar w:fldCharType="end"/>
          </w:r>
          <w:r>
            <w:fldChar w:fldCharType="begin"/>
          </w:r>
          <w:r>
            <w:instrText xml:space="preserve"> PAGEREF _rdbt9ra4mxf1 \h </w:instrText>
          </w:r>
          <w:r>
            <w:fldChar w:fldCharType="separate"/>
          </w:r>
          <w:r>
            <w:rPr>
              <w:rtl w:val="0"/>
            </w:rPr>
            <w:t>5</w:t>
          </w:r>
          <w:r>
            <w:fldChar w:fldCharType="end"/>
          </w:r>
        </w:p>
        <w:p w14:paraId="00000018">
          <w:pPr>
            <w:widowControl w:val="0"/>
            <w:tabs>
              <w:tab w:val="right" w:leader="dot" w:pos="9360"/>
            </w:tabs>
            <w:spacing w:before="60" w:line="240" w:lineRule="auto"/>
            <w:ind w:left="720" w:firstLine="0"/>
            <w:rPr>
              <w:color w:val="000000"/>
              <w:u w:val="none"/>
            </w:rPr>
          </w:pPr>
          <w:r>
            <w:fldChar w:fldCharType="begin"/>
          </w:r>
          <w:r>
            <w:instrText xml:space="preserve"> HYPERLINK \l "_w975xmy351i6" \h </w:instrText>
          </w:r>
          <w:r>
            <w:fldChar w:fldCharType="separate"/>
          </w:r>
          <w:r>
            <w:rPr>
              <w:color w:val="000000"/>
              <w:u w:val="none"/>
              <w:rtl w:val="0"/>
            </w:rPr>
            <w:t>2.1 The Psychedelic Market and a New Wave of Consumerism</w:t>
          </w:r>
          <w:r>
            <w:rPr>
              <w:color w:val="000000"/>
              <w:u w:val="none"/>
              <w:rtl w:val="0"/>
            </w:rPr>
            <w:tab/>
          </w:r>
          <w:r>
            <w:rPr>
              <w:color w:val="000000"/>
              <w:u w:val="none"/>
              <w:rtl w:val="0"/>
            </w:rPr>
            <w:fldChar w:fldCharType="end"/>
          </w:r>
          <w:r>
            <w:fldChar w:fldCharType="begin"/>
          </w:r>
          <w:r>
            <w:instrText xml:space="preserve"> PAGEREF _w975xmy351i6 \h </w:instrText>
          </w:r>
          <w:r>
            <w:fldChar w:fldCharType="separate"/>
          </w:r>
          <w:r>
            <w:rPr>
              <w:rtl w:val="0"/>
            </w:rPr>
            <w:t>5</w:t>
          </w:r>
          <w:r>
            <w:fldChar w:fldCharType="end"/>
          </w:r>
        </w:p>
        <w:p w14:paraId="00000019">
          <w:pPr>
            <w:widowControl w:val="0"/>
            <w:tabs>
              <w:tab w:val="right" w:leader="dot" w:pos="9360"/>
            </w:tabs>
            <w:spacing w:before="60" w:line="240" w:lineRule="auto"/>
            <w:ind w:left="720" w:firstLine="0"/>
            <w:rPr>
              <w:color w:val="000000"/>
              <w:u w:val="none"/>
            </w:rPr>
          </w:pPr>
          <w:r>
            <w:fldChar w:fldCharType="begin"/>
          </w:r>
          <w:r>
            <w:instrText xml:space="preserve"> HYPERLINK \l "_o1s8bifbacov" \h </w:instrText>
          </w:r>
          <w:r>
            <w:fldChar w:fldCharType="separate"/>
          </w:r>
          <w:r>
            <w:rPr>
              <w:color w:val="000000"/>
              <w:u w:val="none"/>
              <w:rtl w:val="0"/>
            </w:rPr>
            <w:t>2.2 Theoretical Frameworks: Interpretive Consumer Culture Theory (CCT) and Anthropological Research</w:t>
          </w:r>
          <w:r>
            <w:rPr>
              <w:color w:val="000000"/>
              <w:u w:val="none"/>
              <w:rtl w:val="0"/>
            </w:rPr>
            <w:tab/>
          </w:r>
          <w:r>
            <w:rPr>
              <w:color w:val="000000"/>
              <w:u w:val="none"/>
              <w:rtl w:val="0"/>
            </w:rPr>
            <w:fldChar w:fldCharType="end"/>
          </w:r>
          <w:r>
            <w:fldChar w:fldCharType="begin"/>
          </w:r>
          <w:r>
            <w:instrText xml:space="preserve"> PAGEREF _o1s8bifbacov \h </w:instrText>
          </w:r>
          <w:r>
            <w:fldChar w:fldCharType="separate"/>
          </w:r>
          <w:r>
            <w:rPr>
              <w:rtl w:val="0"/>
            </w:rPr>
            <w:t>5</w:t>
          </w:r>
          <w:r>
            <w:fldChar w:fldCharType="end"/>
          </w:r>
        </w:p>
        <w:p w14:paraId="0000001A">
          <w:pPr>
            <w:widowControl w:val="0"/>
            <w:tabs>
              <w:tab w:val="right" w:leader="dot" w:pos="9360"/>
            </w:tabs>
            <w:spacing w:before="60" w:line="240" w:lineRule="auto"/>
            <w:ind w:left="720" w:firstLine="0"/>
            <w:rPr>
              <w:color w:val="000000"/>
              <w:u w:val="none"/>
            </w:rPr>
          </w:pPr>
          <w:r>
            <w:fldChar w:fldCharType="begin"/>
          </w:r>
          <w:r>
            <w:instrText xml:space="preserve"> HYPERLINK \l "_576slk30xcd3" \h </w:instrText>
          </w:r>
          <w:r>
            <w:fldChar w:fldCharType="separate"/>
          </w:r>
          <w:r>
            <w:rPr>
              <w:color w:val="000000"/>
              <w:u w:val="none"/>
              <w:rtl w:val="0"/>
            </w:rPr>
            <w:t>2.3 The Role of Digital Technologies and Ethical Challenges</w:t>
          </w:r>
          <w:r>
            <w:rPr>
              <w:color w:val="000000"/>
              <w:u w:val="none"/>
              <w:rtl w:val="0"/>
            </w:rPr>
            <w:tab/>
          </w:r>
          <w:r>
            <w:rPr>
              <w:color w:val="000000"/>
              <w:u w:val="none"/>
              <w:rtl w:val="0"/>
            </w:rPr>
            <w:fldChar w:fldCharType="end"/>
          </w:r>
          <w:r>
            <w:fldChar w:fldCharType="begin"/>
          </w:r>
          <w:r>
            <w:instrText xml:space="preserve"> PAGEREF _576slk30xcd3 \h </w:instrText>
          </w:r>
          <w:r>
            <w:fldChar w:fldCharType="separate"/>
          </w:r>
          <w:r>
            <w:rPr>
              <w:rtl w:val="0"/>
            </w:rPr>
            <w:t>6</w:t>
          </w:r>
          <w:r>
            <w:fldChar w:fldCharType="end"/>
          </w:r>
        </w:p>
        <w:p w14:paraId="0000001B">
          <w:pPr>
            <w:widowControl w:val="0"/>
            <w:tabs>
              <w:tab w:val="right" w:leader="dot" w:pos="9360"/>
            </w:tabs>
            <w:spacing w:before="60" w:line="240" w:lineRule="auto"/>
            <w:ind w:left="360" w:firstLine="0"/>
            <w:rPr>
              <w:color w:val="000000"/>
              <w:u w:val="none"/>
            </w:rPr>
          </w:pPr>
          <w:r>
            <w:fldChar w:fldCharType="begin"/>
          </w:r>
          <w:r>
            <w:instrText xml:space="preserve"> HYPERLINK \l "_9v91zkewcesa" \h </w:instrText>
          </w:r>
          <w:r>
            <w:fldChar w:fldCharType="separate"/>
          </w:r>
          <w:r>
            <w:rPr>
              <w:color w:val="000000"/>
              <w:u w:val="none"/>
              <w:rtl w:val="0"/>
            </w:rPr>
            <w:t>3.0 Research Methodology</w:t>
          </w:r>
          <w:r>
            <w:rPr>
              <w:color w:val="000000"/>
              <w:u w:val="none"/>
              <w:rtl w:val="0"/>
            </w:rPr>
            <w:tab/>
          </w:r>
          <w:r>
            <w:rPr>
              <w:color w:val="000000"/>
              <w:u w:val="none"/>
              <w:rtl w:val="0"/>
            </w:rPr>
            <w:fldChar w:fldCharType="end"/>
          </w:r>
          <w:r>
            <w:fldChar w:fldCharType="begin"/>
          </w:r>
          <w:r>
            <w:instrText xml:space="preserve"> PAGEREF _9v91zkewcesa \h </w:instrText>
          </w:r>
          <w:r>
            <w:fldChar w:fldCharType="separate"/>
          </w:r>
          <w:r>
            <w:rPr>
              <w:rtl w:val="0"/>
            </w:rPr>
            <w:t>7</w:t>
          </w:r>
          <w:r>
            <w:fldChar w:fldCharType="end"/>
          </w:r>
        </w:p>
        <w:p w14:paraId="0000001C">
          <w:pPr>
            <w:widowControl w:val="0"/>
            <w:tabs>
              <w:tab w:val="right" w:leader="dot" w:pos="9360"/>
            </w:tabs>
            <w:spacing w:before="60" w:line="240" w:lineRule="auto"/>
            <w:ind w:left="720" w:firstLine="0"/>
            <w:rPr>
              <w:color w:val="000000"/>
              <w:u w:val="none"/>
            </w:rPr>
          </w:pPr>
          <w:r>
            <w:fldChar w:fldCharType="begin"/>
          </w:r>
          <w:r>
            <w:instrText xml:space="preserve"> HYPERLINK \l "_mesdnnet2syt" \h </w:instrText>
          </w:r>
          <w:r>
            <w:fldChar w:fldCharType="separate"/>
          </w:r>
          <w:r>
            <w:rPr>
              <w:color w:val="000000"/>
              <w:u w:val="none"/>
              <w:rtl w:val="0"/>
            </w:rPr>
            <w:t>3.1 Qualitative Phase: Grounded Theory and Digital Ethnography</w:t>
          </w:r>
          <w:r>
            <w:rPr>
              <w:color w:val="000000"/>
              <w:u w:val="none"/>
              <w:rtl w:val="0"/>
            </w:rPr>
            <w:tab/>
          </w:r>
          <w:r>
            <w:rPr>
              <w:color w:val="000000"/>
              <w:u w:val="none"/>
              <w:rtl w:val="0"/>
            </w:rPr>
            <w:fldChar w:fldCharType="end"/>
          </w:r>
          <w:r>
            <w:fldChar w:fldCharType="begin"/>
          </w:r>
          <w:r>
            <w:instrText xml:space="preserve"> PAGEREF _mesdnnet2syt \h </w:instrText>
          </w:r>
          <w:r>
            <w:fldChar w:fldCharType="separate"/>
          </w:r>
          <w:r>
            <w:rPr>
              <w:rtl w:val="0"/>
            </w:rPr>
            <w:t>7</w:t>
          </w:r>
          <w:r>
            <w:fldChar w:fldCharType="end"/>
          </w:r>
        </w:p>
        <w:p w14:paraId="0000001D">
          <w:pPr>
            <w:widowControl w:val="0"/>
            <w:tabs>
              <w:tab w:val="right" w:leader="dot" w:pos="9360"/>
            </w:tabs>
            <w:spacing w:before="60" w:line="240" w:lineRule="auto"/>
            <w:ind w:left="720" w:firstLine="0"/>
            <w:rPr>
              <w:color w:val="000000"/>
              <w:u w:val="none"/>
            </w:rPr>
          </w:pPr>
          <w:r>
            <w:fldChar w:fldCharType="begin"/>
          </w:r>
          <w:r>
            <w:instrText xml:space="preserve"> HYPERLINK \l "_dza7gmbixbal" \h </w:instrText>
          </w:r>
          <w:r>
            <w:fldChar w:fldCharType="separate"/>
          </w:r>
          <w:r>
            <w:rPr>
              <w:color w:val="000000"/>
              <w:u w:val="none"/>
              <w:rtl w:val="0"/>
            </w:rPr>
            <w:t>3.2 Quantitative Phase: Survey Strategy and Statistical Analysis</w:t>
          </w:r>
          <w:r>
            <w:rPr>
              <w:color w:val="000000"/>
              <w:u w:val="none"/>
              <w:rtl w:val="0"/>
            </w:rPr>
            <w:tab/>
          </w:r>
          <w:r>
            <w:rPr>
              <w:color w:val="000000"/>
              <w:u w:val="none"/>
              <w:rtl w:val="0"/>
            </w:rPr>
            <w:fldChar w:fldCharType="end"/>
          </w:r>
          <w:r>
            <w:fldChar w:fldCharType="begin"/>
          </w:r>
          <w:r>
            <w:instrText xml:space="preserve"> PAGEREF _dza7gmbixbal \h </w:instrText>
          </w:r>
          <w:r>
            <w:fldChar w:fldCharType="separate"/>
          </w:r>
          <w:r>
            <w:rPr>
              <w:rtl w:val="0"/>
            </w:rPr>
            <w:t>8</w:t>
          </w:r>
          <w:r>
            <w:fldChar w:fldCharType="end"/>
          </w:r>
        </w:p>
        <w:p w14:paraId="0000001E">
          <w:pPr>
            <w:widowControl w:val="0"/>
            <w:tabs>
              <w:tab w:val="right" w:leader="dot" w:pos="9360"/>
            </w:tabs>
            <w:spacing w:before="60" w:line="240" w:lineRule="auto"/>
            <w:ind w:left="720" w:firstLine="0"/>
            <w:rPr>
              <w:color w:val="000000"/>
              <w:u w:val="none"/>
            </w:rPr>
          </w:pPr>
          <w:r>
            <w:fldChar w:fldCharType="begin"/>
          </w:r>
          <w:r>
            <w:instrText xml:space="preserve"> HYPERLINK \l "_u2eh0ntpocr7" \h </w:instrText>
          </w:r>
          <w:r>
            <w:fldChar w:fldCharType="separate"/>
          </w:r>
          <w:r>
            <w:rPr>
              <w:color w:val="000000"/>
              <w:u w:val="none"/>
              <w:rtl w:val="0"/>
            </w:rPr>
            <w:t>3.3 The Role of Other Research Strategies</w:t>
          </w:r>
          <w:r>
            <w:rPr>
              <w:color w:val="000000"/>
              <w:u w:val="none"/>
              <w:rtl w:val="0"/>
            </w:rPr>
            <w:tab/>
          </w:r>
          <w:r>
            <w:rPr>
              <w:color w:val="000000"/>
              <w:u w:val="none"/>
              <w:rtl w:val="0"/>
            </w:rPr>
            <w:fldChar w:fldCharType="end"/>
          </w:r>
          <w:r>
            <w:fldChar w:fldCharType="begin"/>
          </w:r>
          <w:r>
            <w:instrText xml:space="preserve"> PAGEREF _u2eh0ntpocr7 \h </w:instrText>
          </w:r>
          <w:r>
            <w:fldChar w:fldCharType="separate"/>
          </w:r>
          <w:r>
            <w:rPr>
              <w:rtl w:val="0"/>
            </w:rPr>
            <w:t>8</w:t>
          </w:r>
          <w:r>
            <w:fldChar w:fldCharType="end"/>
          </w:r>
        </w:p>
        <w:p w14:paraId="0000001F">
          <w:pPr>
            <w:widowControl w:val="0"/>
            <w:tabs>
              <w:tab w:val="right" w:leader="dot" w:pos="9360"/>
            </w:tabs>
            <w:spacing w:before="60" w:line="240" w:lineRule="auto"/>
            <w:ind w:left="360" w:firstLine="0"/>
            <w:rPr>
              <w:color w:val="000000"/>
              <w:u w:val="none"/>
            </w:rPr>
          </w:pPr>
          <w:r>
            <w:fldChar w:fldCharType="begin"/>
          </w:r>
          <w:r>
            <w:instrText xml:space="preserve"> HYPERLINK \l "_rqifs71g8acm" \h </w:instrText>
          </w:r>
          <w:r>
            <w:fldChar w:fldCharType="separate"/>
          </w:r>
          <w:r>
            <w:rPr>
              <w:color w:val="000000"/>
              <w:u w:val="none"/>
              <w:rtl w:val="0"/>
            </w:rPr>
            <w:t xml:space="preserve">4.0 Critical Discussion and Conclusions </w:t>
          </w:r>
          <w:r>
            <w:rPr>
              <w:color w:val="000000"/>
              <w:u w:val="none"/>
              <w:rtl w:val="0"/>
            </w:rPr>
            <w:tab/>
          </w:r>
          <w:r>
            <w:rPr>
              <w:color w:val="000000"/>
              <w:u w:val="none"/>
              <w:rtl w:val="0"/>
            </w:rPr>
            <w:fldChar w:fldCharType="end"/>
          </w:r>
          <w:r>
            <w:fldChar w:fldCharType="begin"/>
          </w:r>
          <w:r>
            <w:instrText xml:space="preserve"> PAGEREF _rqifs71g8acm \h </w:instrText>
          </w:r>
          <w:r>
            <w:fldChar w:fldCharType="separate"/>
          </w:r>
          <w:r>
            <w:rPr>
              <w:rtl w:val="0"/>
            </w:rPr>
            <w:t>8</w:t>
          </w:r>
          <w:r>
            <w:fldChar w:fldCharType="end"/>
          </w:r>
        </w:p>
        <w:p w14:paraId="00000020">
          <w:pPr>
            <w:widowControl w:val="0"/>
            <w:tabs>
              <w:tab w:val="right" w:leader="dot" w:pos="9360"/>
            </w:tabs>
            <w:spacing w:before="60" w:line="240" w:lineRule="auto"/>
            <w:ind w:left="360" w:firstLine="0"/>
            <w:rPr>
              <w:color w:val="000000"/>
              <w:u w:val="none"/>
            </w:rPr>
          </w:pPr>
          <w:r>
            <w:fldChar w:fldCharType="begin"/>
          </w:r>
          <w:r>
            <w:instrText xml:space="preserve"> HYPERLINK \l "_tag83i90eqrv" \h </w:instrText>
          </w:r>
          <w:r>
            <w:fldChar w:fldCharType="separate"/>
          </w:r>
          <w:r>
            <w:rPr>
              <w:color w:val="000000"/>
              <w:u w:val="none"/>
              <w:rtl w:val="0"/>
            </w:rPr>
            <w:t>5.0 References</w:t>
          </w:r>
          <w:r>
            <w:rPr>
              <w:color w:val="000000"/>
              <w:u w:val="none"/>
              <w:rtl w:val="0"/>
            </w:rPr>
            <w:tab/>
          </w:r>
          <w:r>
            <w:rPr>
              <w:color w:val="000000"/>
              <w:u w:val="none"/>
              <w:rtl w:val="0"/>
            </w:rPr>
            <w:fldChar w:fldCharType="end"/>
          </w:r>
          <w:r>
            <w:fldChar w:fldCharType="begin"/>
          </w:r>
          <w:r>
            <w:instrText xml:space="preserve"> PAGEREF _tag83i90eqrv \h </w:instrText>
          </w:r>
          <w:r>
            <w:fldChar w:fldCharType="separate"/>
          </w:r>
          <w:r>
            <w:rPr>
              <w:rtl w:val="0"/>
            </w:rPr>
            <w:t>10</w:t>
          </w:r>
          <w:r>
            <w:fldChar w:fldCharType="end"/>
          </w:r>
          <w:r>
            <w:fldChar w:fldCharType="end"/>
          </w:r>
        </w:p>
      </w:sdtContent>
    </w:sdt>
    <w:p w14:paraId="00000021">
      <w:pPr>
        <w:pStyle w:val="4"/>
        <w:keepNext w:val="0"/>
        <w:keepLines w:val="0"/>
        <w:spacing w:before="240" w:after="40"/>
        <w:rPr>
          <w:b/>
          <w:bCs/>
          <w:color w:val="000000"/>
          <w:sz w:val="22"/>
          <w:szCs w:val="22"/>
        </w:rPr>
      </w:pPr>
      <w:bookmarkStart w:id="18" w:name="_egl14j54xm0a" w:colFirst="0" w:colLast="0"/>
      <w:bookmarkEnd w:id="18"/>
    </w:p>
    <w:p w14:paraId="00000022">
      <w:pPr>
        <w:pStyle w:val="4"/>
        <w:keepNext w:val="0"/>
        <w:keepLines w:val="0"/>
        <w:spacing w:before="240" w:after="40"/>
        <w:rPr>
          <w:b/>
          <w:bCs/>
          <w:color w:val="000000"/>
          <w:sz w:val="22"/>
          <w:szCs w:val="22"/>
        </w:rPr>
      </w:pPr>
      <w:bookmarkStart w:id="19" w:name="_xxgw7oxmtskp" w:colFirst="0" w:colLast="0"/>
      <w:bookmarkEnd w:id="19"/>
    </w:p>
    <w:p w14:paraId="00000023">
      <w:pPr>
        <w:pStyle w:val="4"/>
        <w:keepNext w:val="0"/>
        <w:keepLines w:val="0"/>
        <w:spacing w:before="240" w:after="40"/>
        <w:rPr>
          <w:b/>
          <w:bCs/>
          <w:color w:val="000000"/>
          <w:sz w:val="22"/>
          <w:szCs w:val="22"/>
        </w:rPr>
      </w:pPr>
      <w:bookmarkStart w:id="20" w:name="_i0j0h6mmonln" w:colFirst="0" w:colLast="0"/>
      <w:bookmarkEnd w:id="20"/>
    </w:p>
    <w:p w14:paraId="00000024">
      <w:pPr>
        <w:pStyle w:val="4"/>
        <w:keepNext w:val="0"/>
        <w:keepLines w:val="0"/>
        <w:spacing w:before="240" w:after="40"/>
        <w:rPr>
          <w:b/>
          <w:bCs/>
          <w:color w:val="000000"/>
          <w:sz w:val="22"/>
          <w:szCs w:val="22"/>
        </w:rPr>
      </w:pPr>
      <w:bookmarkStart w:id="21" w:name="_4y1jfwsqxebo" w:colFirst="0" w:colLast="0"/>
      <w:bookmarkEnd w:id="21"/>
    </w:p>
    <w:p w14:paraId="00000025">
      <w:pPr>
        <w:pStyle w:val="4"/>
        <w:keepNext w:val="0"/>
        <w:keepLines w:val="0"/>
        <w:spacing w:before="240" w:after="40"/>
        <w:rPr>
          <w:b/>
          <w:bCs/>
          <w:color w:val="000000"/>
          <w:sz w:val="22"/>
          <w:szCs w:val="22"/>
        </w:rPr>
      </w:pPr>
      <w:bookmarkStart w:id="22" w:name="_z0ok3hyw2zyp" w:colFirst="0" w:colLast="0"/>
      <w:bookmarkEnd w:id="22"/>
    </w:p>
    <w:p w14:paraId="00000026">
      <w:pPr>
        <w:pStyle w:val="4"/>
        <w:keepNext w:val="0"/>
        <w:keepLines w:val="0"/>
        <w:spacing w:before="240" w:after="40"/>
        <w:rPr>
          <w:b/>
          <w:bCs/>
          <w:color w:val="000000"/>
          <w:sz w:val="22"/>
          <w:szCs w:val="22"/>
        </w:rPr>
      </w:pPr>
      <w:bookmarkStart w:id="23" w:name="_8evq8m3iz2qk" w:colFirst="0" w:colLast="0"/>
      <w:bookmarkEnd w:id="23"/>
    </w:p>
    <w:p w14:paraId="00000027">
      <w:pPr>
        <w:pStyle w:val="4"/>
        <w:keepNext w:val="0"/>
        <w:keepLines w:val="0"/>
        <w:spacing w:before="240" w:after="40"/>
        <w:rPr>
          <w:b/>
          <w:bCs/>
          <w:color w:val="000000"/>
          <w:sz w:val="22"/>
          <w:szCs w:val="22"/>
        </w:rPr>
      </w:pPr>
      <w:bookmarkStart w:id="24" w:name="_l990k1eauwvo" w:colFirst="0" w:colLast="0"/>
      <w:bookmarkEnd w:id="24"/>
    </w:p>
    <w:p w14:paraId="00000028">
      <w:pPr>
        <w:pStyle w:val="4"/>
        <w:keepNext w:val="0"/>
        <w:keepLines w:val="0"/>
        <w:spacing w:before="240" w:after="40"/>
        <w:rPr>
          <w:b/>
          <w:bCs/>
          <w:color w:val="000000"/>
          <w:sz w:val="22"/>
          <w:szCs w:val="22"/>
        </w:rPr>
      </w:pPr>
      <w:bookmarkStart w:id="25" w:name="_tjsccnczqcjm" w:colFirst="0" w:colLast="0"/>
      <w:bookmarkEnd w:id="25"/>
    </w:p>
    <w:p w14:paraId="00000029">
      <w:pPr>
        <w:pStyle w:val="4"/>
        <w:keepNext w:val="0"/>
        <w:keepLines w:val="0"/>
        <w:spacing w:before="240" w:after="40"/>
        <w:rPr>
          <w:b/>
          <w:bCs/>
          <w:color w:val="000000"/>
          <w:sz w:val="22"/>
          <w:szCs w:val="22"/>
        </w:rPr>
      </w:pPr>
      <w:bookmarkStart w:id="26" w:name="_vtb7pd7yovh8" w:colFirst="0" w:colLast="0"/>
      <w:bookmarkEnd w:id="26"/>
    </w:p>
    <w:p w14:paraId="0000002A">
      <w:pPr>
        <w:pStyle w:val="4"/>
        <w:keepNext w:val="0"/>
        <w:keepLines w:val="0"/>
        <w:spacing w:before="240" w:after="40"/>
        <w:rPr>
          <w:b/>
          <w:bCs/>
          <w:color w:val="000000"/>
          <w:sz w:val="22"/>
          <w:szCs w:val="22"/>
        </w:rPr>
      </w:pPr>
      <w:bookmarkStart w:id="27" w:name="_amys71my5y5c" w:colFirst="0" w:colLast="0"/>
      <w:bookmarkEnd w:id="27"/>
    </w:p>
    <w:p w14:paraId="0000002B">
      <w:pPr>
        <w:pStyle w:val="4"/>
        <w:keepNext w:val="0"/>
        <w:keepLines w:val="0"/>
        <w:spacing w:before="240" w:after="40"/>
        <w:rPr>
          <w:b/>
          <w:bCs/>
          <w:color w:val="000000"/>
          <w:sz w:val="22"/>
          <w:szCs w:val="22"/>
        </w:rPr>
      </w:pPr>
      <w:bookmarkStart w:id="28" w:name="_if6fnkh50i4h" w:colFirst="0" w:colLast="0"/>
      <w:bookmarkEnd w:id="28"/>
    </w:p>
    <w:p w14:paraId="0000002C">
      <w:pPr>
        <w:pStyle w:val="4"/>
        <w:keepNext w:val="0"/>
        <w:keepLines w:val="0"/>
        <w:spacing w:before="240" w:after="40"/>
        <w:rPr>
          <w:b/>
          <w:bCs/>
          <w:color w:val="000000"/>
          <w:sz w:val="22"/>
          <w:szCs w:val="22"/>
        </w:rPr>
      </w:pPr>
      <w:bookmarkStart w:id="29" w:name="_b3icrhw5yclu" w:colFirst="0" w:colLast="0"/>
      <w:bookmarkEnd w:id="29"/>
    </w:p>
    <w:p w14:paraId="0000002D">
      <w:pPr>
        <w:pStyle w:val="4"/>
        <w:keepNext w:val="0"/>
        <w:keepLines w:val="0"/>
        <w:spacing w:before="240" w:after="40"/>
        <w:rPr>
          <w:b/>
          <w:bCs/>
          <w:color w:val="000000"/>
          <w:sz w:val="22"/>
          <w:szCs w:val="22"/>
        </w:rPr>
      </w:pPr>
      <w:bookmarkStart w:id="30" w:name="_v943n1f71cb" w:colFirst="0" w:colLast="0"/>
      <w:bookmarkEnd w:id="30"/>
    </w:p>
    <w:p w14:paraId="0000002E">
      <w:pPr>
        <w:pStyle w:val="4"/>
        <w:keepNext w:val="0"/>
        <w:keepLines w:val="0"/>
        <w:spacing w:before="240" w:after="40"/>
        <w:rPr>
          <w:b/>
          <w:bCs/>
          <w:color w:val="000000"/>
          <w:sz w:val="22"/>
          <w:szCs w:val="22"/>
        </w:rPr>
      </w:pPr>
      <w:bookmarkStart w:id="31" w:name="_tth0tz4pjwev" w:colFirst="0" w:colLast="0"/>
      <w:bookmarkEnd w:id="31"/>
    </w:p>
    <w:p w14:paraId="0000002F">
      <w:pPr>
        <w:pStyle w:val="4"/>
        <w:keepNext w:val="0"/>
        <w:keepLines w:val="0"/>
        <w:spacing w:before="240" w:after="40"/>
        <w:rPr>
          <w:b/>
          <w:bCs/>
          <w:color w:val="000000"/>
          <w:sz w:val="22"/>
          <w:szCs w:val="22"/>
        </w:rPr>
      </w:pPr>
      <w:bookmarkStart w:id="32" w:name="_r5jo0bm2z7k" w:colFirst="0" w:colLast="0"/>
      <w:bookmarkEnd w:id="32"/>
    </w:p>
    <w:p w14:paraId="00000030">
      <w:pPr>
        <w:pStyle w:val="4"/>
        <w:keepNext w:val="0"/>
        <w:keepLines w:val="0"/>
        <w:spacing w:before="240" w:after="40"/>
        <w:rPr>
          <w:b/>
          <w:bCs/>
          <w:color w:val="000000"/>
          <w:sz w:val="22"/>
          <w:szCs w:val="22"/>
        </w:rPr>
      </w:pPr>
      <w:bookmarkStart w:id="33" w:name="_irciyblluaff" w:colFirst="0" w:colLast="0"/>
      <w:bookmarkEnd w:id="33"/>
    </w:p>
    <w:p w14:paraId="00000031">
      <w:pPr>
        <w:pStyle w:val="4"/>
        <w:keepNext w:val="0"/>
        <w:keepLines w:val="0"/>
        <w:spacing w:before="240" w:after="40"/>
        <w:rPr>
          <w:b/>
          <w:bCs/>
          <w:color w:val="000000"/>
        </w:rPr>
      </w:pPr>
      <w:bookmarkStart w:id="34" w:name="_xcmlgq78ld86" w:colFirst="0" w:colLast="0"/>
      <w:bookmarkEnd w:id="34"/>
      <w:r>
        <w:rPr>
          <w:b/>
          <w:bCs/>
          <w:color w:val="000000"/>
          <w:rtl w:val="0"/>
        </w:rPr>
        <w:t>Abstract</w:t>
      </w:r>
    </w:p>
    <w:p w14:paraId="00000032"/>
    <w:p w14:paraId="00000033">
      <w:r>
        <w:rPr>
          <w:sz w:val="24"/>
          <w:szCs w:val="24"/>
          <w:highlight w:val="white"/>
          <w:rtl w:val="0"/>
        </w:rPr>
        <w:t>The reemergence of psychedelics for therapeutic and wellness purposes presents a significant challenge to contemporary marketing practice and consumer psychology. This developmental conference paper investigates the emergent market of psychedelic-assisted wellness (PAW), which operates distinctly from regulated psychedelic-assisted therapy (PAT). The paper critically examines how consumer perceptions and ethical concerns intersect with marketing strategies in this largely unregulated sector. Through systematic secondary research and application of Interpretive Consumer Culture Theory (CCT), this paper identifies critical research gaps in understanding neuromarketing strategies, algorithmic targeting, and cultural appropriation within PAW markets. A comprehensive mixed-methods research framework is proposed to examine consumer adoption patterns, marketing influence mechanisms, and ethical tensions inherent in commercializing powerful consciousness-altering substances. The paper contributes to marketing scholarship by extending theoretical frameworks that connect consumer culture, digital influence, and ethical responsibility in emerging wellness economies. Recommendations are provided for industry practitioners, policymakers, and researchers to support responsible and ethical commercialization that protects vulnerable populations while enabling legitimate access to beneficial interventions.</w:t>
      </w:r>
    </w:p>
    <w:p w14:paraId="00000034">
      <w:pPr>
        <w:spacing w:before="240" w:after="240"/>
      </w:pPr>
      <w:r>
        <w:rPr>
          <w:b/>
          <w:bCs/>
          <w:rtl w:val="0"/>
        </w:rPr>
        <w:t>Keywords:</w:t>
      </w:r>
      <w:r>
        <w:rPr>
          <w:rtl w:val="0"/>
        </w:rPr>
        <w:t xml:space="preserve"> Psychedelic-assisted wellness, consumer perception, marketing ethics, digital influence, interpretive consumer culture theory, emerging markets</w:t>
      </w:r>
    </w:p>
    <w:p w14:paraId="00000035">
      <w:pPr>
        <w:spacing w:before="240" w:after="240"/>
      </w:pPr>
    </w:p>
    <w:p w14:paraId="00000036">
      <w:pPr>
        <w:pStyle w:val="4"/>
        <w:keepNext w:val="0"/>
        <w:keepLines w:val="0"/>
        <w:spacing w:before="240" w:after="40"/>
        <w:rPr>
          <w:b/>
          <w:bCs/>
          <w:color w:val="000000"/>
        </w:rPr>
      </w:pPr>
      <w:bookmarkStart w:id="35" w:name="_5mfg3mivrcbf" w:colFirst="0" w:colLast="0"/>
      <w:bookmarkEnd w:id="35"/>
      <w:r>
        <w:rPr>
          <w:b/>
          <w:bCs/>
          <w:color w:val="000000"/>
          <w:rtl w:val="0"/>
        </w:rPr>
        <w:t xml:space="preserve">1.0 The Purpose of the Research </w:t>
      </w:r>
    </w:p>
    <w:p w14:paraId="00000037"/>
    <w:p w14:paraId="00000038">
      <w:pPr>
        <w:rPr>
          <w:b/>
          <w:bCs/>
          <w:sz w:val="24"/>
          <w:szCs w:val="24"/>
        </w:rPr>
      </w:pPr>
      <w:r>
        <w:rPr>
          <w:b/>
          <w:bCs/>
          <w:sz w:val="24"/>
          <w:szCs w:val="24"/>
          <w:rtl w:val="0"/>
        </w:rPr>
        <w:t>1.1 Significance and Scope</w:t>
      </w:r>
    </w:p>
    <w:p w14:paraId="00000039">
      <w:pPr>
        <w:rPr>
          <w:b/>
          <w:bCs/>
          <w:sz w:val="24"/>
          <w:szCs w:val="24"/>
        </w:rPr>
      </w:pPr>
    </w:p>
    <w:p w14:paraId="0000003A">
      <w:pPr>
        <w:rPr>
          <w:highlight w:val="white"/>
        </w:rPr>
      </w:pPr>
      <w:r>
        <w:rPr>
          <w:highlight w:val="white"/>
          <w:rtl w:val="0"/>
        </w:rPr>
        <w:t>Psychedelics represent a class of psychoactive substances that profoundly alter human perception, emotion, and consciousness. Historically confined to indigenous spiritual rituals and clinical research environments, psychedelics have undergone dramatic repositioning in contemporary markets (Pollan, 2018). The therapeutic potential of classical psychedelics—including psilocybin, MDMA, and LSD—for treatment-resistant depression, post-traumatic stress disorder, and substance use disorders has been increasingly substantiated through rigorous clinical trials conducted at major research institutions such as Johns Hopkins University (Griffiths et al., 2016; Carhart-Harris &amp; Goodwin, 2017). This clinical validation has catalyzed unprecedented investor interest and regulatory reconsideration in jurisdictions including Oregon, Australia, and Canada (Mitchell et al., 2021; Daws et al., 2022).</w:t>
      </w:r>
    </w:p>
    <w:p w14:paraId="0000003B">
      <w:pPr>
        <w:rPr>
          <w:highlight w:val="white"/>
        </w:rPr>
      </w:pPr>
    </w:p>
    <w:p w14:paraId="0000003C">
      <w:pPr>
        <w:rPr>
          <w:highlight w:val="white"/>
        </w:rPr>
      </w:pPr>
      <w:r>
        <w:rPr>
          <w:highlight w:val="white"/>
          <w:rtl w:val="0"/>
        </w:rPr>
        <w:t>Concurrently with clinical advancement, a distinct commercial sector has emerged: psychedelic-assisted wellness (PAW). Unlike clinical psychedelic-assisted therapy (PAT), which operates within regulated healthcare frameworks with trained professionals and standardized protocols (Bogenschutz et al., 2015), PAW encompasses a heterogeneous landscape of psychedelic retreats, microdosing communities, wellness coaching services, and consumer products marketed to individuals seeking personal transformation, spiritual exploration, and self-optimization (Wells &amp; Johnson, 2021). This sector operates with minimal regulatory oversight, frequently marketing through direct-to-consumer digital channels that employ sophisticated targeting, influencer partnerships, and testimonial-based narratives (Kapoor et al., 2021).</w:t>
      </w:r>
    </w:p>
    <w:p w14:paraId="0000003D">
      <w:pPr>
        <w:rPr>
          <w:highlight w:val="white"/>
        </w:rPr>
      </w:pPr>
    </w:p>
    <w:p w14:paraId="0000003E">
      <w:pPr>
        <w:rPr>
          <w:highlight w:val="white"/>
        </w:rPr>
      </w:pPr>
      <w:r>
        <w:rPr>
          <w:b/>
          <w:bCs/>
          <w:highlight w:val="white"/>
          <w:rtl w:val="0"/>
        </w:rPr>
        <w:t>The research purpose addresses a critical knowledge deficit:</w:t>
      </w:r>
      <w:r>
        <w:rPr>
          <w:highlight w:val="white"/>
          <w:rtl w:val="0"/>
        </w:rPr>
        <w:t xml:space="preserve"> while substantial academic literature documents psychedelic pharmacology, neurobiology, and therapeutic efficacy, minimal systematic scholarship examines how psychedelics are marketed to consumers, how commercial messaging shapes consumer perception, and what ethical risks accompany the commodification of consciousness-altering substances (Wells &amp; Johnson, 2021; Halliday, 2020). This gap is significant given that marketing practices directly influence consumer adoption decisions, purchasing behaviors, and expectations regarding safety and efficacy. As PAW markets mature and regulatory frameworks develop, evidence-based understanding of marketing strategies, consumer vulnerability, and ethical considerations becomes essential for supporting responsible industry development.</w:t>
      </w:r>
    </w:p>
    <w:p w14:paraId="0000003F">
      <w:pPr>
        <w:rPr>
          <w:highlight w:val="white"/>
        </w:rPr>
      </w:pPr>
    </w:p>
    <w:p w14:paraId="00000040">
      <w:pPr>
        <w:rPr>
          <w:b/>
          <w:bCs/>
          <w:sz w:val="24"/>
          <w:szCs w:val="24"/>
          <w:highlight w:val="white"/>
        </w:rPr>
      </w:pPr>
      <w:r>
        <w:rPr>
          <w:b/>
          <w:bCs/>
          <w:sz w:val="24"/>
          <w:szCs w:val="24"/>
          <w:highlight w:val="white"/>
          <w:rtl w:val="0"/>
        </w:rPr>
        <w:t>1.2 Contextual Background: The Psychedelic Renaissance and Market      Development</w:t>
      </w:r>
    </w:p>
    <w:p w14:paraId="00000041">
      <w:pPr>
        <w:rPr>
          <w:b/>
          <w:bCs/>
          <w:sz w:val="24"/>
          <w:szCs w:val="24"/>
          <w:highlight w:val="white"/>
        </w:rPr>
      </w:pPr>
    </w:p>
    <w:p w14:paraId="00000042">
      <w:pPr>
        <w:rPr>
          <w:highlight w:val="white"/>
        </w:rPr>
      </w:pPr>
      <w:r>
        <w:rPr>
          <w:highlight w:val="white"/>
          <w:rtl w:val="0"/>
        </w:rPr>
        <w:t>The contemporary psychedelic renaissance emerged in the 1990s when academic institutions initiated rigorous clinical investigations of classical psychedelics for psychiatric applications (Griffiths et al., 2016; Carhart-Harris et al., 2012). These investigations represented a significant departure from decades of scientific marginalization following the Controlled Substances Act of 1970, during which psychedelic research remained minimal within mainstream academia (Nichols, 2016). Recent clinical trial successes accelerated substantially following regulatory milestones: FDA designation of psilocybin-assisted and MDMA-assisted psychotherapy as "Breakthrough Therapies" in 2017 and 2019 respectively (Mitchell et al., 2021). These designations signaled unprecedented institutional validation, fundamentally shifting public and investor perception regarding psychedelics' therapeutic potential (Sessa, 2012; Doblin, 2014).</w:t>
      </w:r>
    </w:p>
    <w:p w14:paraId="00000043">
      <w:pPr>
        <w:rPr>
          <w:highlight w:val="white"/>
        </w:rPr>
      </w:pPr>
    </w:p>
    <w:p w14:paraId="00000044">
      <w:pPr>
        <w:rPr>
          <w:highlight w:val="white"/>
        </w:rPr>
      </w:pPr>
      <w:r>
        <w:rPr>
          <w:highlight w:val="white"/>
          <w:rtl w:val="0"/>
        </w:rPr>
        <w:t>The commercial enthusiasm following regulatory recognition has created what scholars characterize as "the psychedelic gold rush"—a period of accelerated capital investment, company formation, and market speculation (Hanegraaff, 2020). Multiple factors account for this rapid commercialization: (1) public enthusiasm for alternative wellness approaches increasingly skeptical of conventional pharmaceutical medicine; (2) investor recognition of market potential in aging global populations seeking mental health solutions; (3) regulatory openness in specific jurisdictions; and (4) lower investment barriers compared to traditional pharmaceutical development (Hanegraaff, 2020; Wells &amp; Johnson, 2021). Concurrently, the PAW sector has developed with minimal regulatory oversight, as these services operate in legal gray zones in most jurisdictions, frequently marketed through social media and wellness platforms that traditionally resist pharmaceutical regulation (Kapoor et al., 2021).</w:t>
      </w:r>
    </w:p>
    <w:p w14:paraId="00000045">
      <w:pPr>
        <w:rPr>
          <w:highlight w:val="white"/>
        </w:rPr>
      </w:pPr>
    </w:p>
    <w:p w14:paraId="00000046">
      <w:pPr>
        <w:rPr>
          <w:highlight w:val="white"/>
        </w:rPr>
      </w:pPr>
    </w:p>
    <w:p w14:paraId="00000047">
      <w:pPr>
        <w:spacing w:line="480" w:lineRule="auto"/>
        <w:ind w:left="720"/>
      </w:pPr>
      <w:r>
        <w:drawing>
          <wp:inline distT="114300" distB="114300" distL="114300" distR="114300">
            <wp:extent cx="5943600" cy="36576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6"/>
                    <a:srcRect/>
                    <a:stretch>
                      <a:fillRect/>
                    </a:stretch>
                  </pic:blipFill>
                  <pic:spPr>
                    <a:xfrm>
                      <a:off x="0" y="0"/>
                      <a:ext cx="5943600" cy="3657600"/>
                    </a:xfrm>
                    <a:prstGeom prst="rect">
                      <a:avLst/>
                    </a:prstGeom>
                  </pic:spPr>
                </pic:pic>
              </a:graphicData>
            </a:graphic>
          </wp:inline>
        </w:drawing>
      </w:r>
    </w:p>
    <w:p w14:paraId="00000048">
      <w:pPr>
        <w:rPr>
          <w:color w:val="222222"/>
          <w:sz w:val="20"/>
          <w:szCs w:val="20"/>
          <w:highlight w:val="white"/>
        </w:rPr>
      </w:pPr>
      <w:r>
        <w:rPr>
          <w:b/>
          <w:bCs/>
          <w:color w:val="222222"/>
          <w:sz w:val="20"/>
          <w:szCs w:val="20"/>
          <w:highlight w:val="white"/>
          <w:rtl w:val="0"/>
        </w:rPr>
        <w:t>Figure 1.</w:t>
      </w:r>
      <w:r>
        <w:rPr>
          <w:color w:val="222222"/>
          <w:sz w:val="20"/>
          <w:szCs w:val="20"/>
          <w:highlight w:val="white"/>
          <w:rtl w:val="0"/>
        </w:rPr>
        <w:t xml:space="preserve"> Main characteristics of different categories of NPSs. Adapted from "New Psychoactive Substances: A Narrative Review" by Santos, C., Maia, D., and colleagues (2024). Note: This figure illustrates the chemical structures, pharmacological mechanisms, and adverse effects of synthetic and plant-based psychoactive substances including tryptamines, phenethylamines, lysergamides, dissociative drugs, and plant-based NPS. Source: Adapted from InsightAce Analytic (2024).</w:t>
      </w:r>
    </w:p>
    <w:p w14:paraId="00000049">
      <w:pPr>
        <w:rPr>
          <w:color w:val="222222"/>
          <w:sz w:val="20"/>
          <w:szCs w:val="20"/>
          <w:highlight w:val="white"/>
        </w:rPr>
      </w:pPr>
    </w:p>
    <w:p w14:paraId="0000004A">
      <w:pPr>
        <w:pStyle w:val="4"/>
        <w:keepNext w:val="0"/>
        <w:keepLines w:val="0"/>
        <w:spacing w:before="240" w:after="40"/>
        <w:rPr>
          <w:b/>
          <w:bCs/>
          <w:color w:val="000000"/>
        </w:rPr>
      </w:pPr>
      <w:bookmarkStart w:id="36" w:name="_unqfh84dwne" w:colFirst="0" w:colLast="0"/>
      <w:bookmarkEnd w:id="36"/>
      <w:r>
        <w:rPr>
          <w:b/>
          <w:bCs/>
          <w:color w:val="000000"/>
          <w:rtl w:val="0"/>
        </w:rPr>
        <w:t>1.3 Research Objectives</w:t>
      </w:r>
    </w:p>
    <w:p w14:paraId="0000004B"/>
    <w:p w14:paraId="0000004C">
      <w:r>
        <w:rPr>
          <w:rtl w:val="0"/>
        </w:rPr>
        <w:t>This developmental paper pursues the following objectives:</w:t>
      </w:r>
    </w:p>
    <w:p w14:paraId="0000004D"/>
    <w:p w14:paraId="0000004E">
      <w:pPr>
        <w:numPr>
          <w:ilvl w:val="0"/>
          <w:numId w:val="1"/>
        </w:numPr>
        <w:ind w:left="720" w:hanging="360"/>
        <w:rPr>
          <w:u w:val="none"/>
        </w:rPr>
      </w:pPr>
      <w:r>
        <w:rPr>
          <w:rtl w:val="0"/>
        </w:rPr>
        <w:t xml:space="preserve"> Investigate ethical and moral dimensions of PAW marketing by examining how commercial imperatives intersect with ethical obligations to protect vulnerable populations and ensure authentic representation of psychedelic experiences (Halliday, 2020; Wells &amp; Johnson, 2021).</w:t>
      </w:r>
    </w:p>
    <w:p w14:paraId="0000004F">
      <w:pPr>
        <w:numPr>
          <w:ilvl w:val="0"/>
          <w:numId w:val="1"/>
        </w:numPr>
        <w:ind w:left="720" w:hanging="360"/>
        <w:rPr>
          <w:u w:val="none"/>
        </w:rPr>
      </w:pPr>
      <w:r>
        <w:rPr>
          <w:rtl w:val="0"/>
        </w:rPr>
        <w:t>Evaluate consumer perception pathways by analyzing how marketing narratives, digital platforms, and influencer strategies shape consumer understanding, expectations, and adoption decisions regarding PAW services (Kapoor et al., 2021; Hanegraaff, 2020).</w:t>
      </w:r>
    </w:p>
    <w:p w14:paraId="00000050">
      <w:pPr>
        <w:numPr>
          <w:ilvl w:val="0"/>
          <w:numId w:val="1"/>
        </w:numPr>
        <w:ind w:left="720" w:hanging="360"/>
        <w:rPr>
          <w:u w:val="none"/>
        </w:rPr>
      </w:pPr>
      <w:r>
        <w:rPr>
          <w:rtl w:val="0"/>
        </w:rPr>
        <w:t>Synthesize theoretical and empirical research regarding marketing ethics, consumer protection, and identity formation in emerging wellness markets, identifying specific gaps relevant to PAW commercialization (Arnould &amp; Thompson, 2005; Hungara &amp; Nobre, 2021).</w:t>
      </w:r>
    </w:p>
    <w:p w14:paraId="00000051">
      <w:pPr>
        <w:numPr>
          <w:ilvl w:val="0"/>
          <w:numId w:val="1"/>
        </w:numPr>
        <w:ind w:left="720" w:hanging="360"/>
        <w:rPr>
          <w:u w:val="none"/>
        </w:rPr>
      </w:pPr>
      <w:r>
        <w:rPr>
          <w:rtl w:val="0"/>
        </w:rPr>
        <w:t>Develop a conceptual framework integrating Consumer Culture Theory, digital influence mechanisms, and ethical marketing principles to explain how marketing practices shape consumer perception and identity construction within PAW markets (Arnould &amp; Thompson, 2005; Kozinets, 2010).</w:t>
      </w:r>
    </w:p>
    <w:p w14:paraId="00000052">
      <w:pPr>
        <w:numPr>
          <w:ilvl w:val="0"/>
          <w:numId w:val="1"/>
        </w:numPr>
        <w:ind w:left="720" w:hanging="360"/>
        <w:rPr>
          <w:u w:val="none"/>
        </w:rPr>
      </w:pPr>
      <w:r>
        <w:rPr>
          <w:rtl w:val="0"/>
        </w:rPr>
        <w:t>Propose future research directions that balance commercial innovation with ethical responsibility, addressing gaps in academic understanding while providing recommendations for industry practitioners and policymakers (Wells &amp; Johnson, 2021).</w:t>
      </w:r>
    </w:p>
    <w:p w14:paraId="00000053">
      <w:pPr>
        <w:spacing w:before="240" w:after="240"/>
      </w:pPr>
    </w:p>
    <w:p w14:paraId="00000054">
      <w:pPr>
        <w:pStyle w:val="4"/>
        <w:keepNext w:val="0"/>
        <w:keepLines w:val="0"/>
        <w:spacing w:before="240" w:after="40"/>
        <w:rPr>
          <w:b/>
          <w:bCs/>
          <w:color w:val="000000"/>
          <w:sz w:val="22"/>
          <w:szCs w:val="22"/>
        </w:rPr>
      </w:pPr>
      <w:bookmarkStart w:id="37" w:name="_ocp92zqvbhlq" w:colFirst="0" w:colLast="0"/>
      <w:bookmarkEnd w:id="37"/>
      <w:r>
        <w:rPr>
          <w:b/>
          <w:bCs/>
          <w:color w:val="000000"/>
          <w:rtl w:val="0"/>
        </w:rPr>
        <w:t>2.0 Literature Review</w:t>
      </w:r>
      <w:r>
        <w:rPr>
          <w:b/>
          <w:bCs/>
          <w:color w:val="000000"/>
          <w:sz w:val="22"/>
          <w:szCs w:val="22"/>
          <w:rtl w:val="0"/>
        </w:rPr>
        <w:t xml:space="preserve"> </w:t>
      </w:r>
    </w:p>
    <w:p w14:paraId="00000055"/>
    <w:p w14:paraId="00000056">
      <w:pPr>
        <w:rPr>
          <w:b/>
          <w:bCs/>
          <w:sz w:val="24"/>
          <w:szCs w:val="24"/>
        </w:rPr>
      </w:pPr>
      <w:r>
        <w:rPr>
          <w:b/>
          <w:bCs/>
          <w:sz w:val="24"/>
          <w:szCs w:val="24"/>
          <w:rtl w:val="0"/>
        </w:rPr>
        <w:t>2.1 The Psychedelic Market and Emerging Consumerism Landscape</w:t>
      </w:r>
    </w:p>
    <w:p w14:paraId="00000057">
      <w:pPr>
        <w:rPr>
          <w:b/>
          <w:bCs/>
          <w:sz w:val="24"/>
          <w:szCs w:val="24"/>
        </w:rPr>
      </w:pPr>
    </w:p>
    <w:p w14:paraId="00000058">
      <w:r>
        <w:rPr>
          <w:rtl w:val="0"/>
        </w:rPr>
        <w:t>The PAW market emerges within a broader context of wellness commercialization that has transformed consciousness related practices from specialized/marginalized contexts into mainstream consumer products. Understanding PAW requires comparative analysis with analogous markets that have undergone similar transformations.</w:t>
      </w:r>
    </w:p>
    <w:p w14:paraId="00000059"/>
    <w:p w14:paraId="0000005A">
      <w:r>
        <w:rPr>
          <w:b/>
          <w:bCs/>
          <w:rtl w:val="0"/>
        </w:rPr>
        <w:t>Clinical versus Consumer Markets:</w:t>
      </w:r>
      <w:r>
        <w:rPr>
          <w:rtl w:val="0"/>
        </w:rPr>
        <w:t xml:space="preserve"> PAT operates within evidence-based frameworks governed by professional ethics, clinical protocols, and regulatory oversight. Recent meta-analyses demonstrate therapeutic efficacy comparable to conventional psychiatric medications: psilocybin-assisted therapy for treatment-resistant depression shows effect sizes exceeding conventional antidepressants (Carhart-Harris &amp; Goodwin, 2017; Reiff et al., 2020), while MDMA-assisted therapy for PTSD achieved 70% remission rates in Phase 3 trials (Mitchell et al., 2021). In contrast, PAW markets position psychedelics as wellness optimization tools emphasizing personal growth rather than disease treatment. This distinction carries critical implications for marketing authenticity, consumer expectations, and ethical responsibility (Wells &amp; Johnson, 2021).</w:t>
      </w:r>
    </w:p>
    <w:p w14:paraId="0000005B"/>
    <w:p w14:paraId="0000005C">
      <w:r>
        <w:rPr>
          <w:b/>
          <w:bCs/>
          <w:rtl w:val="0"/>
        </w:rPr>
        <w:t>Comparative Market Contexts:</w:t>
      </w:r>
      <w:r>
        <w:rPr>
          <w:rtl w:val="0"/>
        </w:rPr>
        <w:t xml:space="preserve"> The legal cannabis industry provides instructive comparison, having undergone similar transformation from prohibited substance to commercialized wellness product. Cannabis commercialization demonstrates both successful market expansion and persistent ethical challenges: while legalization increased accessibility and normalized previously stigmatized products, it simultaneously enabled targeting of vulnerable populations and promotion of products with limited clinical evidence for claimed wellness benefits (Hanegraaff, 2020). Similarly, the yoga and meditation wellness sectors illustrate how practices with deep historical and spiritual roots have undergone commercialization through repackaging as wellness commodities, frequently involving cultural appropriation that divorces practices from original contexts (Hungara &amp; Nobre, 2021).</w:t>
      </w:r>
    </w:p>
    <w:p w14:paraId="0000005D">
      <w:r>
        <w:drawing>
          <wp:inline distT="114300" distB="114300" distL="114300" distR="114300">
            <wp:extent cx="5943600" cy="3340100"/>
            <wp:effectExtent l="0" t="0" r="0" b="1270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7"/>
                    <a:srcRect/>
                    <a:stretch>
                      <a:fillRect/>
                    </a:stretch>
                  </pic:blipFill>
                  <pic:spPr>
                    <a:xfrm>
                      <a:off x="0" y="0"/>
                      <a:ext cx="5943600" cy="3340100"/>
                    </a:xfrm>
                    <a:prstGeom prst="rect">
                      <a:avLst/>
                    </a:prstGeom>
                  </pic:spPr>
                </pic:pic>
              </a:graphicData>
            </a:graphic>
          </wp:inline>
        </w:drawing>
      </w:r>
    </w:p>
    <w:p w14:paraId="0000005E">
      <w:r>
        <w:rPr>
          <w:b/>
          <w:bCs/>
          <w:rtl w:val="0"/>
        </w:rPr>
        <w:t>Figure 2.</w:t>
      </w:r>
      <w:r>
        <w:rPr>
          <w:rtl w:val="0"/>
        </w:rPr>
        <w:t xml:space="preserve"> Global Psychedelic Therapeutics Market Analysis. Adapted from the InsightAce Analytic report, "Global Psychedelic Therapeutics Market Size, Share, COVID-19 Impact Analysis and Forecast 2023-2031" (2023). This figure presents multi-dimensional market analysis including: compound annual growth rate (CAGR) 2025-2034 projections, market segmentation by type of psychedelic substance (MDMA, Ketamine, Others), market segmentation by origin (Synthetic vs. Natural Substances), market segmentation by target disease indications (Depression, Pain Disorders, Others), fastest growing region (North America), and key industry players (CELON PHARM, Jazz Pharmaceuticals, MindMed, Janssen). Market size shown for United States at USD 2.2 billion in 2024. Source: InsightAce Analytic (2023).</w:t>
      </w:r>
    </w:p>
    <w:p w14:paraId="0000005F">
      <w:pPr>
        <w:pStyle w:val="4"/>
        <w:keepNext w:val="0"/>
        <w:keepLines w:val="0"/>
        <w:spacing w:before="240" w:after="40"/>
        <w:rPr>
          <w:b/>
          <w:bCs/>
          <w:color w:val="000000"/>
          <w:sz w:val="22"/>
          <w:szCs w:val="22"/>
        </w:rPr>
      </w:pPr>
      <w:bookmarkStart w:id="38" w:name="_rdbt9ra4mxf1" w:colFirst="0" w:colLast="0"/>
      <w:bookmarkEnd w:id="38"/>
    </w:p>
    <w:p w14:paraId="00000060"/>
    <w:p w14:paraId="00000061">
      <w:r>
        <w:rPr>
          <w:b/>
          <w:bCs/>
          <w:rtl w:val="0"/>
        </w:rPr>
        <w:t>Applicability to PAW:</w:t>
      </w:r>
      <w:r>
        <w:rPr>
          <w:rtl w:val="0"/>
        </w:rPr>
        <w:t xml:space="preserve"> PAW markets follow established commercialization patterns: transformation of previously stigmatized products into aspirational consumer goods through storytelling and identity-construction narratives (Hungara &amp; Nobre, 2021). Retreats, microdosing communities, and digital influencers function as innovation diffusion channels that accelerate market adoption by increasing visibility and social acceptability (Hanegraaff, 2020). However, unlike cannabis or yoga markets, PAW involves consciousness-altering substances with documented risks of adverse psychological outcomes, particularly among vulnerable populations with psychiatric predispositions (Carhart-Harris et al., 2018).</w:t>
      </w:r>
    </w:p>
    <w:p w14:paraId="00000062"/>
    <w:p w14:paraId="00000063">
      <w:pPr>
        <w:rPr>
          <w:b/>
          <w:bCs/>
          <w:sz w:val="24"/>
          <w:szCs w:val="24"/>
        </w:rPr>
      </w:pPr>
      <w:r>
        <w:rPr>
          <w:b/>
          <w:bCs/>
          <w:sz w:val="24"/>
          <w:szCs w:val="24"/>
          <w:rtl w:val="0"/>
        </w:rPr>
        <w:t>2.2 Theoretical Frameworks: Interpretive Consumer Culture Theory and Its Application</w:t>
      </w:r>
    </w:p>
    <w:p w14:paraId="00000064">
      <w:pPr>
        <w:pStyle w:val="5"/>
        <w:keepNext w:val="0"/>
        <w:keepLines w:val="0"/>
        <w:spacing w:before="220" w:after="40"/>
        <w:rPr>
          <w:color w:val="000000"/>
        </w:rPr>
      </w:pPr>
      <w:bookmarkStart w:id="39" w:name="_vn1i5xwt8asz" w:colFirst="0" w:colLast="0"/>
      <w:bookmarkEnd w:id="39"/>
      <w:r>
        <w:rPr>
          <w:color w:val="000000"/>
          <w:rtl w:val="0"/>
        </w:rPr>
        <w:t>Interpretive Consumer Culture Theory (CCT) provides essential analytical scaffolding for understanding PAW marketing dynamics. CCT rejects traditional economic models of consumption as rational exchange, instead conceptualizing consumption as culturally-embedded meaning-making through which consumers construct identity, negotiate belonging, and express values (Arnould &amp; Thompson, 2005). Applied to psychedelics, CCT illuminates how marketing frames psychedelic experiences as identity-constituting consumption events.</w:t>
      </w:r>
    </w:p>
    <w:p w14:paraId="00000065"/>
    <w:p w14:paraId="00000066">
      <w:r>
        <w:rPr>
          <w:b/>
          <w:bCs/>
          <w:rtl w:val="0"/>
        </w:rPr>
        <w:t>Identity Construction and Consumer Motivation:</w:t>
      </w:r>
      <w:r>
        <w:rPr>
          <w:rtl w:val="0"/>
        </w:rPr>
        <w:t xml:space="preserve"> Psychedelic retreat marketing explicitly positions participation as personal transformation and spiritual awakening—markers of identity progression (Wells &amp; Johnson, 2021). Consumer testimonials emphasize psychological and spiritual development, framing psychedelic experiences as essential to self actualization. This identity-stakes framing creates psychological pressure to purchase despite costs or risks, as refusal to participate becomes reframed as rejection of personal growth (Hungara &amp; Nobre, 2021). CCT reveals how this framing exploits identity-seeking motivations, particularly among populations experiencing identity disruption (individuals in psychological crisis, life transitions).</w:t>
      </w:r>
    </w:p>
    <w:p w14:paraId="00000067"/>
    <w:p w14:paraId="00000068">
      <w:r>
        <w:rPr>
          <w:b/>
          <w:bCs/>
          <w:rtl w:val="0"/>
        </w:rPr>
        <w:t>Cultural Appropriation and Authenticity Tensions:</w:t>
      </w:r>
      <w:r>
        <w:rPr>
          <w:rtl w:val="0"/>
        </w:rPr>
        <w:t xml:space="preserve"> CCT illuminates fundamental tensions between authentic experience and commodified representation. Psychedelic substances carry profound significance within indigenous ritual contexts (Amazonian ayahuasca, Mesoamerican psilocybin); yet retreat marketing frequently references these traditions while divorcing practices from original cultural, spiritual, and community contexts (Halliday, 2020). This commodification involves cultural appropriation—using indigenous symbolism and terminology for commercial purposes while providing no material or symbolic benefit to source communities. CCT reveals how marketing leverages authenticity claims ("traditional," "indigenous," "ancient wisdom") precisely through processes of cultural appropriation that undermine authentic representation (Halliday, 2020).</w:t>
      </w:r>
    </w:p>
    <w:p w14:paraId="00000069"/>
    <w:p w14:paraId="0000006A">
      <w:r>
        <w:rPr>
          <w:b/>
          <w:bCs/>
          <w:rtl w:val="0"/>
        </w:rPr>
        <w:t>Consumer Vulnerability and Susceptibility:</w:t>
      </w:r>
      <w:r>
        <w:rPr>
          <w:rtl w:val="0"/>
        </w:rPr>
        <w:t xml:space="preserve"> CCT directs attention to how consumer identity construction amplifies marketing influence susceptibility. Individuals seeking identity transformation through psychedelics may prioritize identity stakes messaging over evidence-based risk assessment. Marketing emphasizing transformational potential, testimonials from satisfied consumers, and social media documentation of peak experiences collectively construct psychedelic consumption as necessity rather than optional choice (Arnould &amp; Thompson, 2005).</w:t>
      </w:r>
    </w:p>
    <w:p w14:paraId="0000006B"/>
    <w:p w14:paraId="0000006C">
      <w:pPr>
        <w:rPr>
          <w:b/>
          <w:bCs/>
          <w:sz w:val="24"/>
          <w:szCs w:val="24"/>
        </w:rPr>
      </w:pPr>
      <w:r>
        <w:rPr>
          <w:b/>
          <w:bCs/>
          <w:sz w:val="24"/>
          <w:szCs w:val="24"/>
          <w:rtl w:val="0"/>
        </w:rPr>
        <w:t xml:space="preserve"> 2.3 Digital Technologies, Marketing Influence, and Ethical Challenges</w:t>
      </w:r>
    </w:p>
    <w:p w14:paraId="0000006D">
      <w:pPr>
        <w:rPr>
          <w:b/>
          <w:bCs/>
          <w:sz w:val="24"/>
          <w:szCs w:val="24"/>
        </w:rPr>
      </w:pPr>
    </w:p>
    <w:p w14:paraId="0000006E">
      <w:r>
        <w:rPr>
          <w:b/>
          <w:bCs/>
          <w:rtl w:val="0"/>
        </w:rPr>
        <w:t>Neuromarketing in Psychedelic Wellness Contexts:</w:t>
      </w:r>
      <w:r>
        <w:rPr>
          <w:rtl w:val="0"/>
        </w:rPr>
        <w:t xml:space="preserve"> Contemporary neuromarketing applies neuroscientific methods to understand and influence consumer behavior through identification of unconscious emotional responses to marketing stimuli (Bhardwaj et al., 2022). Research demonstrates that anticipation of profound consciousness alteration activates brain regions associated with reward processing and meaning-making (Bhardwaj et al., 2022). Marketing imagery depicting transcendent experiences, testimonial narratives of life-changing transformation, and social media documentation of peak emotional states activate these reward-processing neural systems, creating purchase motivation based on anticipated emotional and identity benefits rather than evidence-based risk assessment (Kapoor et al., 2021). This neural influence operates largely outside conscious awareness, potentially undermining informed consent by creating unconscious motivation divergent from conscious intentions.</w:t>
      </w:r>
    </w:p>
    <w:p w14:paraId="0000006F"/>
    <w:p w14:paraId="00000070">
      <w:r>
        <w:rPr>
          <w:b/>
          <w:bCs/>
          <w:rtl w:val="0"/>
        </w:rPr>
        <w:t>Algorithmic Targeting and Vulnerable Populations:</w:t>
      </w:r>
      <w:r>
        <w:rPr>
          <w:rtl w:val="0"/>
        </w:rPr>
        <w:t xml:space="preserve"> Machine learning algorithms trained on consumer behavioral data identify individuals exhibiting psychological vulnerability markers—social media patterns consistent with depression, anxiety, spiritual seeking—and target these individuals with personalized PAW marketing (Kapoor et al., 2021). While personalized marketing generally improves commercial effectiveness, targeting vulnerable individuals with consciousness-altering substances carrying documented risks raises fundamental ethical questions regarding fair targeting and consumer protection (Kapoor et al., 2021; Wells &amp; Johnson, 2021). Psychedelic companies possess financial incentives to maximize market reach while minimizing risk acknowledgment, intensifying these ethical concerns.</w:t>
      </w:r>
    </w:p>
    <w:p w14:paraId="00000071"/>
    <w:p w14:paraId="00000072">
      <w:r>
        <w:rPr>
          <w:b/>
          <w:bCs/>
          <w:rtl w:val="0"/>
        </w:rPr>
        <w:t>Digital Platforms and Community Construction:</w:t>
      </w:r>
      <w:r>
        <w:rPr>
          <w:rtl w:val="0"/>
        </w:rPr>
        <w:t xml:space="preserve"> Social media has become primary space for PAW marketing through influencer testimonials, retreat advertisements, and user-generated stories that blur lines between community support and promotional content (Wells &amp; Johnson, 2021). This creates what Kapoor et al. (2021) characterize as an "ethical grey zone" wherein emotional storytelling heightens consumer curiosity at potential expense of risk awareness. Netnographic analysis reveals that online communities construct shared knowledge about PAW through informal expert authority— certain members gaining trusted knowledge-source status despite lacking formal credentials—while misinformation and unsupported claims circulate and achieve credibility through social proof (Kozinets, 2010).</w:t>
      </w:r>
    </w:p>
    <w:p w14:paraId="00000073"/>
    <w:p w14:paraId="00000074">
      <w:pPr>
        <w:rPr>
          <w:b/>
          <w:bCs/>
          <w:sz w:val="24"/>
          <w:szCs w:val="24"/>
        </w:rPr>
      </w:pPr>
      <w:r>
        <w:rPr>
          <w:b/>
          <w:bCs/>
          <w:sz w:val="24"/>
          <w:szCs w:val="24"/>
          <w:rtl w:val="0"/>
        </w:rPr>
        <w:t>2.4 Consumer Adoption Patterns and Diffusion Dynamics</w:t>
      </w:r>
    </w:p>
    <w:p w14:paraId="00000075">
      <w:pPr>
        <w:rPr>
          <w:b/>
          <w:bCs/>
        </w:rPr>
      </w:pPr>
    </w:p>
    <w:p w14:paraId="00000076">
      <w:r>
        <w:rPr>
          <w:rtl w:val="0"/>
        </w:rPr>
        <w:t xml:space="preserve">Rogers' Diffusion of Innovation (DOI) theory provides essential scaffolding for understanding how PAW products achieve market penetration (Lee &amp; Capella, 2018). DOI identifies five characteristics influencing adoption rates: relative advantage (perceived superiority), compatibility (alignment with values), complexity, trialability, and observability (Lee &amp; Capella, 2018). PAW demonstrates strong diffusion drivers: psychedelic experiences produce dramatic observable phenomenological changes (visual alterations, emotional intensification) highly documentable on social media; early adopter testimonials normalizing participation become powerful peer advocacy mechanisms; and observability of transformations creates selection bias wherein positive outcomes are visible while negative outcomes remain hidden (Hanegraaff, 2020; Lee &amp; Capella, 2018). </w:t>
      </w:r>
    </w:p>
    <w:p w14:paraId="00000077"/>
    <w:p w14:paraId="00000078">
      <w:r>
        <w:rPr>
          <w:rtl w:val="0"/>
        </w:rPr>
        <w:t>However, this adoption pattern creates ethical tensions: the populations driving adoption (high risk tolerance, less institutional credibility-dependent) likely encourage adoption among more vulnerable populations with lower risk tolerance but potentially higher vulnerability to harm (Lee &amp; Capella, 2018). The selection bias inherent in observable outcomes systematically misrepresents risks to potential adopters (Hanegraaff, 2020).</w:t>
      </w:r>
    </w:p>
    <w:p w14:paraId="00000079"/>
    <w:p w14:paraId="0000007A">
      <w:pPr>
        <w:rPr>
          <w:b/>
          <w:bCs/>
          <w:sz w:val="24"/>
          <w:szCs w:val="24"/>
        </w:rPr>
      </w:pPr>
      <w:r>
        <w:rPr>
          <w:b/>
          <w:bCs/>
          <w:sz w:val="24"/>
          <w:szCs w:val="24"/>
          <w:rtl w:val="0"/>
        </w:rPr>
        <w:t>2.5 Identified Research Gaps and Theoretical Implications</w:t>
      </w:r>
    </w:p>
    <w:p w14:paraId="0000007B">
      <w:pPr>
        <w:rPr>
          <w:b/>
          <w:bCs/>
          <w:sz w:val="24"/>
          <w:szCs w:val="24"/>
        </w:rPr>
      </w:pPr>
    </w:p>
    <w:p w14:paraId="0000007C">
      <w:r>
        <w:rPr>
          <w:rtl w:val="0"/>
        </w:rPr>
        <w:t>This literature review reveals several critical research gaps:</w:t>
      </w:r>
    </w:p>
    <w:p w14:paraId="0000007D">
      <w:pPr>
        <w:spacing w:before="240" w:after="240"/>
      </w:pPr>
      <w:r>
        <w:rPr>
          <w:b/>
          <w:bCs/>
          <w:rtl w:val="0"/>
        </w:rPr>
        <w:t>Neuromarketing-Psychedelic Intersection:</w:t>
      </w:r>
      <w:r>
        <w:rPr>
          <w:rtl w:val="0"/>
        </w:rPr>
        <w:t xml:space="preserve"> While neuromarketing research examines emotional triggers in luxury and wellness advertising (Bhardwaj et al., 2022), no scholarship systematically investigates how such techniques are applied specifically to PAW marketing or how altered consciousness states interact with marketing influence (Kapoor et al., 2021).   </w:t>
      </w:r>
    </w:p>
    <w:p w14:paraId="0000007E">
      <w:pPr>
        <w:spacing w:before="240" w:after="240"/>
      </w:pPr>
      <w:r>
        <w:rPr>
          <w:b/>
          <w:bCs/>
          <w:rtl w:val="0"/>
        </w:rPr>
        <w:t>Ethical Implications of AI Targeting:</w:t>
      </w:r>
      <w:r>
        <w:rPr>
          <w:rtl w:val="0"/>
        </w:rPr>
        <w:t xml:space="preserve"> Although literature discusses ethical challenges of AI in digital marketing regarding privacy and manipulation (Kapoor et al., 2021), no research has examined how these technologies specifically identify or target psychologically vulnerable individuals within emerging wellness sectors like PAW (Wells &amp; Johnson, 2021).</w:t>
      </w:r>
    </w:p>
    <w:p w14:paraId="0000007F">
      <w:pPr>
        <w:spacing w:before="240" w:after="240"/>
      </w:pPr>
      <w:r>
        <w:rPr>
          <w:b/>
          <w:bCs/>
          <w:rtl w:val="0"/>
        </w:rPr>
        <w:t>Consumer Journey Mapping:</w:t>
      </w:r>
      <w:r>
        <w:rPr>
          <w:rtl w:val="0"/>
        </w:rPr>
        <w:t xml:space="preserve"> While wellness consumption literature highlights complex consumer identity formation (Hungara &amp; Nobre, 2021), the specific PAW consumer journey—from social media exposure to retreat enrollment— remains absent from marketing research (Wells &amp; Johnson, 2021).</w:t>
      </w:r>
    </w:p>
    <w:p w14:paraId="00000080">
      <w:pPr>
        <w:spacing w:before="240" w:after="240"/>
      </w:pPr>
      <w:r>
        <w:rPr>
          <w:b/>
          <w:bCs/>
          <w:rtl w:val="0"/>
        </w:rPr>
        <w:t>Academic-Commercial Discourse Disconnect:</w:t>
      </w:r>
      <w:r>
        <w:rPr>
          <w:rtl w:val="0"/>
        </w:rPr>
        <w:t xml:space="preserve"> A significant disconnect exists between academic discourse emphasizing evidence-based therapeutic outcomes (Carhart-Harris &amp; Goodwin, 2017) and commercial narratives relying on aspirational storytelling (Wells &amp; Johnson, 2021). These communication forms have received no comparative critical analysis (Halliday, 2020).</w:t>
      </w:r>
    </w:p>
    <w:p w14:paraId="00000081">
      <w:pPr>
        <w:spacing w:before="240" w:after="240"/>
      </w:pPr>
    </w:p>
    <w:p w14:paraId="00000082">
      <w:pPr>
        <w:pStyle w:val="4"/>
        <w:keepNext w:val="0"/>
        <w:keepLines w:val="0"/>
        <w:spacing w:before="240" w:after="40"/>
        <w:rPr>
          <w:b/>
          <w:bCs/>
          <w:color w:val="000000"/>
        </w:rPr>
      </w:pPr>
      <w:bookmarkStart w:id="40" w:name="_9v91zkewcesa" w:colFirst="0" w:colLast="0"/>
      <w:bookmarkEnd w:id="40"/>
      <w:r>
        <w:rPr>
          <w:b/>
          <w:bCs/>
          <w:color w:val="000000"/>
          <w:rtl w:val="0"/>
        </w:rPr>
        <w:t>3.0 Research Methodology</w:t>
      </w:r>
    </w:p>
    <w:p w14:paraId="00000083"/>
    <w:p w14:paraId="00000084">
      <w:pPr>
        <w:rPr>
          <w:b/>
          <w:bCs/>
          <w:sz w:val="24"/>
          <w:szCs w:val="24"/>
        </w:rPr>
      </w:pPr>
      <w:r>
        <w:rPr>
          <w:b/>
          <w:bCs/>
          <w:sz w:val="24"/>
          <w:szCs w:val="24"/>
          <w:rtl w:val="0"/>
        </w:rPr>
        <w:t>3.1 Philosophical Positioning and Research Design Rationale</w:t>
      </w:r>
    </w:p>
    <w:p w14:paraId="00000085">
      <w:pPr>
        <w:spacing w:before="240" w:after="240"/>
      </w:pPr>
      <w:r>
        <w:rPr>
          <w:rtl w:val="0"/>
        </w:rPr>
        <w:t xml:space="preserve"> This research adopts an Interpretivist philosophical stance grounded in social constructionism (Saunders et al., 2019). Interpretivism rejects positivist assumptions that objective reality exists independent of subjective meaning-making; instead, understanding consumer behavior requires examining how individuals and communities construct meaning through experiences, conversations, and interpretive frameworks (Saunders et al., 2019). This positioning is particularly appropriate for PAW because consumer perceptions of marketing authenticity, ethical responsibility, and product safety are socially constructed rather than objectively determined (Bryman, 2016).</w:t>
      </w:r>
    </w:p>
    <w:p w14:paraId="00000086">
      <w:pPr>
        <w:spacing w:before="240" w:after="240"/>
      </w:pPr>
      <w:r>
        <w:rPr>
          <w:rtl w:val="0"/>
        </w:rPr>
        <w:t xml:space="preserve"> The research employs mixed-methods design combining qualitative and quantitative approaches (Creswell, 2018). Qualitative methods enable deep exploration of subjective meanings, cultural contexts, and lived experiences; quantitative methods enable testing of patterns across larger populations and assessment of generalizability (Creswell, 2018; Bryman, 2016). Combined, these methods provide more robust validity through triangulation than either approach alone (Kyne, 2021).</w:t>
      </w:r>
    </w:p>
    <w:p w14:paraId="00000087">
      <w:pPr>
        <w:spacing w:before="240" w:after="240"/>
      </w:pPr>
      <w:r>
        <w:rPr>
          <w:rtl w:val="0"/>
        </w:rPr>
        <w:t xml:space="preserve"> Specifically, the research uses sequential exploratory mixed-methods design: qualitative investigation generates rich understanding of consumer perspectives and marketing dynamics, which subsequent quantitative phases test and validate across broader populations (Creswell, 2018). This sequencing suits investigation of insufficiently understood phenomena, enabling researchers to develop preliminary theoretical frameworks through qualitative analysis before quantitative testing (Kyne, 2021).</w:t>
      </w:r>
    </w:p>
    <w:p w14:paraId="00000088">
      <w:pPr>
        <w:pStyle w:val="5"/>
        <w:keepNext w:val="0"/>
        <w:keepLines w:val="0"/>
        <w:spacing w:before="220" w:after="40"/>
        <w:rPr>
          <w:b/>
          <w:bCs/>
          <w:color w:val="000000"/>
          <w:sz w:val="20"/>
          <w:szCs w:val="20"/>
        </w:rPr>
      </w:pPr>
      <w:bookmarkStart w:id="41" w:name="_misoqshjg0ux" w:colFirst="0" w:colLast="0"/>
      <w:bookmarkEnd w:id="41"/>
    </w:p>
    <w:p w14:paraId="00000089">
      <w:pPr>
        <w:pStyle w:val="5"/>
        <w:keepNext w:val="0"/>
        <w:keepLines w:val="0"/>
        <w:spacing w:before="220" w:after="40"/>
        <w:rPr>
          <w:b/>
          <w:bCs/>
          <w:color w:val="000000"/>
          <w:sz w:val="24"/>
          <w:szCs w:val="24"/>
        </w:rPr>
      </w:pPr>
      <w:bookmarkStart w:id="42" w:name="_mesdnnet2syt" w:colFirst="0" w:colLast="0"/>
      <w:bookmarkEnd w:id="42"/>
      <w:r>
        <w:rPr>
          <w:b/>
          <w:bCs/>
          <w:color w:val="000000"/>
          <w:sz w:val="24"/>
          <w:szCs w:val="24"/>
          <w:rtl w:val="0"/>
        </w:rPr>
        <w:t>3.2 Qualitative Phase: Grounded Theory and Digital Ethnography</w:t>
      </w:r>
    </w:p>
    <w:p w14:paraId="0000008A"/>
    <w:p w14:paraId="0000008B">
      <w:pPr>
        <w:rPr>
          <w:b/>
          <w:bCs/>
        </w:rPr>
      </w:pPr>
      <w:r>
        <w:rPr>
          <w:b/>
          <w:bCs/>
          <w:rtl w:val="0"/>
        </w:rPr>
        <w:t>Semi-Structured Interviews and Grounded Theory</w:t>
      </w:r>
    </w:p>
    <w:p w14:paraId="0000008C">
      <w:pPr>
        <w:spacing w:before="240" w:after="240"/>
        <w:ind w:left="0" w:firstLine="0"/>
      </w:pPr>
      <w:r>
        <w:rPr>
          <w:rtl w:val="0"/>
        </w:rPr>
        <w:t>Grounded Theory methodology suits emerging markets where established theories inadequately explain novel phenomena (Bryman, 2016). Rather than testing pre-existing hypotheses, Grounded Theory enables theories to emerge inductively from systematic data analysis through iterative data collection where preliminary findings inform subsequent collection (Bryman, 2016; Braun &amp; Clarke, 2006).</w:t>
      </w:r>
    </w:p>
    <w:p w14:paraId="0000008D">
      <w:pPr>
        <w:spacing w:before="240" w:after="240"/>
        <w:ind w:left="0" w:firstLine="0"/>
        <w:rPr>
          <w:b/>
          <w:bCs/>
        </w:rPr>
      </w:pPr>
      <w:r>
        <w:rPr>
          <w:b/>
          <w:bCs/>
          <w:rtl w:val="0"/>
        </w:rPr>
        <w:t>Stakeholder Groups (Total n=45-60):</w:t>
      </w:r>
    </w:p>
    <w:p w14:paraId="0000008E">
      <w:pPr>
        <w:numPr>
          <w:ilvl w:val="0"/>
          <w:numId w:val="2"/>
        </w:numPr>
        <w:spacing w:before="240" w:after="0" w:afterAutospacing="0"/>
        <w:ind w:left="720" w:hanging="360"/>
      </w:pPr>
      <w:r>
        <w:rPr>
          <w:b/>
          <w:bCs/>
          <w:rtl w:val="0"/>
        </w:rPr>
        <w:t>Consumers (n=25-30):</w:t>
      </w:r>
      <w:r>
        <w:rPr>
          <w:rtl w:val="0"/>
        </w:rPr>
        <w:t xml:space="preserve"> Individuals who have utilized PAW services including retreat participation, microdosing programs, or online coaching. Recruitment employs purposive sampling ensuring diversity across demographics (age, gender, ethnicity, socioeconomic status), experience levels (first-time vs. repeat), and retreat types (psilocybin, MDMA, DMT/ayahuasca). Semi-structured interviews explore: purchase decision-making processes and motivating factors; information sources influencing decisions; expectations prior to participation; marketing message recall; engagement with online communities; risk awareness and concerns (Braun &amp; Clarke, 2006).</w:t>
      </w:r>
    </w:p>
    <w:p w14:paraId="0000008F">
      <w:pPr>
        <w:numPr>
          <w:ilvl w:val="0"/>
          <w:numId w:val="2"/>
        </w:numPr>
        <w:spacing w:before="0" w:beforeAutospacing="0" w:after="0" w:afterAutospacing="0"/>
        <w:ind w:left="720" w:hanging="360"/>
      </w:pPr>
      <w:r>
        <w:rPr>
          <w:b/>
          <w:bCs/>
          <w:rtl w:val="0"/>
        </w:rPr>
        <w:t>Marketing Professionals and Retreat Operators (n=12-15):</w:t>
      </w:r>
      <w:r>
        <w:rPr>
          <w:rtl w:val="0"/>
        </w:rPr>
        <w:t xml:space="preserve"> Interviews investigate business models, marketing strategies, target audience positioning, ethical considerations, perceived regulatory risks, and evolving industry norms regarding responsible practice (Bryman, 2016).</w:t>
      </w:r>
    </w:p>
    <w:p w14:paraId="00000090">
      <w:pPr>
        <w:numPr>
          <w:ilvl w:val="0"/>
          <w:numId w:val="2"/>
        </w:numPr>
        <w:spacing w:before="0" w:beforeAutospacing="0" w:after="240"/>
        <w:ind w:left="720" w:hanging="360"/>
        <w:rPr>
          <w:u w:val="none"/>
        </w:rPr>
      </w:pPr>
      <w:r>
        <w:rPr>
          <w:b/>
          <w:bCs/>
          <w:rtl w:val="0"/>
        </w:rPr>
        <w:t>Experts (n=8-12):</w:t>
      </w:r>
      <w:r>
        <w:rPr>
          <w:rtl w:val="0"/>
        </w:rPr>
        <w:t xml:space="preserve"> Academics researching psychedelics, bioethicists, policymakers, and mental health professionals providing macro-level perspective on industry ethics, research evidence, regulatory trajectory, and public health implications (Saunders et al., 2019).</w:t>
      </w:r>
    </w:p>
    <w:p w14:paraId="00000091">
      <w:pPr>
        <w:spacing w:before="240" w:after="240"/>
      </w:pPr>
      <w:r>
        <w:rPr>
          <w:rtl w:val="0"/>
        </w:rPr>
        <w:t>Semi-structured interview protocols employ open-ended questions enabling detailed narrative responses while permitting interviewer flexibility to explore emergent themes (Bryman, 2016). Data analysis uses Thematic Analysis involving systematic coding to identify patterns and themes connecting to consumer motivation, ethical challenges, and marketing strategies (Braun &amp; Clarke, 2006).</w:t>
      </w:r>
    </w:p>
    <w:p w14:paraId="00000092">
      <w:pPr>
        <w:spacing w:before="240" w:after="240"/>
      </w:pPr>
    </w:p>
    <w:p w14:paraId="00000093">
      <w:pPr>
        <w:spacing w:before="240" w:after="240"/>
        <w:rPr>
          <w:b/>
          <w:bCs/>
        </w:rPr>
      </w:pPr>
      <w:r>
        <w:rPr>
          <w:b/>
          <w:bCs/>
          <w:rtl w:val="0"/>
        </w:rPr>
        <w:t>Digital Ethnography and Netnography</w:t>
      </w:r>
    </w:p>
    <w:p w14:paraId="00000094">
      <w:pPr>
        <w:spacing w:before="240" w:after="240"/>
      </w:pPr>
      <w:r>
        <w:rPr>
          <w:rtl w:val="0"/>
        </w:rPr>
        <w:t>Netnography—adaptation of ethnographic methods to computer-mediated communication—enables studying online communities in natural settings through participant observation and user-generated content analysis (Kozinets, 2010). PAW market online spaces include Reddit communities, Facebook groups, Discord servers, and Instagram communities focused on psychedelic experiences and retreat recommendations (Kozinets, 2010).</w:t>
      </w:r>
    </w:p>
    <w:p w14:paraId="00000095">
      <w:pPr>
        <w:spacing w:before="240" w:after="240"/>
      </w:pPr>
      <w:r>
        <w:rPr>
          <w:rtl w:val="0"/>
        </w:rPr>
        <w:t>Netnographic analysis examines: how consumers construct knowledge about PAW; community norm development around responsible use versus risk-taking; how misinformation circulates and achieves credibility; retreat operator consumer interactions; marketing narratives and symbolic meanings (Kozinets, 2010). Analysis documents how community members establish informal expert authority despite lacking formal credentials and how consumer agency is negotiated between individual autonomy and community influence (Kozinets, 2010).</w:t>
      </w:r>
    </w:p>
    <w:p w14:paraId="00000096">
      <w:pPr>
        <w:spacing w:before="240" w:after="240"/>
      </w:pPr>
    </w:p>
    <w:p w14:paraId="00000097">
      <w:pPr>
        <w:spacing w:before="240" w:after="240"/>
      </w:pPr>
    </w:p>
    <w:p w14:paraId="00000098">
      <w:pPr>
        <w:spacing w:before="240" w:after="240"/>
      </w:pPr>
    </w:p>
    <w:p w14:paraId="00000099">
      <w:pPr>
        <w:pStyle w:val="5"/>
        <w:keepNext w:val="0"/>
        <w:keepLines w:val="0"/>
        <w:spacing w:before="220" w:after="40"/>
        <w:rPr>
          <w:color w:val="000000"/>
          <w:sz w:val="24"/>
          <w:szCs w:val="24"/>
        </w:rPr>
      </w:pPr>
      <w:bookmarkStart w:id="43" w:name="_dza7gmbixbal" w:colFirst="0" w:colLast="0"/>
      <w:bookmarkEnd w:id="43"/>
      <w:r>
        <w:rPr>
          <w:b/>
          <w:bCs/>
          <w:color w:val="000000"/>
          <w:sz w:val="24"/>
          <w:szCs w:val="24"/>
          <w:rtl w:val="0"/>
        </w:rPr>
        <w:t>3.3 Quantitative Phase: Survey Strategy and Statistical Analysis</w:t>
      </w:r>
    </w:p>
    <w:p w14:paraId="0000009A">
      <w:pPr>
        <w:spacing w:before="240" w:after="240"/>
      </w:pPr>
      <w:r>
        <w:rPr>
          <w:rtl w:val="0"/>
        </w:rPr>
        <w:t>Following qualitative analysis, survey research collects systematic data from broader consumer populations. Survey design incorporates measures operationalizing key qualitative themes, collecting data on:</w:t>
      </w:r>
    </w:p>
    <w:p w14:paraId="0000009B">
      <w:pPr>
        <w:numPr>
          <w:ilvl w:val="0"/>
          <w:numId w:val="3"/>
        </w:numPr>
        <w:spacing w:before="240" w:after="0" w:afterAutospacing="0"/>
        <w:ind w:left="720" w:hanging="360"/>
        <w:rPr>
          <w:u w:val="none"/>
        </w:rPr>
      </w:pPr>
      <w:r>
        <w:rPr>
          <w:rtl w:val="0"/>
        </w:rPr>
        <w:t>Demographics and psychographics</w:t>
      </w:r>
    </w:p>
    <w:p w14:paraId="0000009C">
      <w:pPr>
        <w:numPr>
          <w:ilvl w:val="0"/>
          <w:numId w:val="3"/>
        </w:numPr>
        <w:spacing w:before="0" w:beforeAutospacing="0" w:after="0" w:afterAutospacing="0"/>
        <w:ind w:left="720" w:hanging="360"/>
        <w:rPr>
          <w:u w:val="none"/>
        </w:rPr>
      </w:pPr>
      <w:r>
        <w:rPr>
          <w:rtl w:val="0"/>
        </w:rPr>
        <w:t>Attitudes toward psychedelics and mental health treatment</w:t>
      </w:r>
    </w:p>
    <w:p w14:paraId="0000009D">
      <w:pPr>
        <w:numPr>
          <w:ilvl w:val="0"/>
          <w:numId w:val="3"/>
        </w:numPr>
        <w:spacing w:before="0" w:beforeAutospacing="0" w:after="0" w:afterAutospacing="0"/>
        <w:ind w:left="720" w:hanging="360"/>
        <w:rPr>
          <w:u w:val="none"/>
        </w:rPr>
      </w:pPr>
      <w:r>
        <w:rPr>
          <w:rtl w:val="0"/>
        </w:rPr>
        <w:t>Perceptions of marketing claims efficacy</w:t>
      </w:r>
    </w:p>
    <w:p w14:paraId="0000009E">
      <w:pPr>
        <w:numPr>
          <w:ilvl w:val="0"/>
          <w:numId w:val="3"/>
        </w:numPr>
        <w:spacing w:before="0" w:beforeAutospacing="0" w:after="0" w:afterAutospacing="0"/>
        <w:ind w:left="720" w:hanging="360"/>
        <w:rPr>
          <w:u w:val="none"/>
        </w:rPr>
      </w:pPr>
      <w:r>
        <w:rPr>
          <w:rtl w:val="0"/>
        </w:rPr>
        <w:t>Influence of different marketing channels on trust and adoption intention</w:t>
      </w:r>
    </w:p>
    <w:p w14:paraId="0000009F">
      <w:pPr>
        <w:numPr>
          <w:ilvl w:val="0"/>
          <w:numId w:val="3"/>
        </w:numPr>
        <w:spacing w:before="0" w:beforeAutospacing="0" w:after="0" w:afterAutospacing="0"/>
        <w:ind w:left="720" w:hanging="360"/>
        <w:rPr>
          <w:u w:val="none"/>
        </w:rPr>
      </w:pPr>
      <w:r>
        <w:rPr>
          <w:rtl w:val="0"/>
        </w:rPr>
        <w:t>Willingness-to-pay and adoption decision factors</w:t>
      </w:r>
    </w:p>
    <w:p w14:paraId="000000A0">
      <w:pPr>
        <w:numPr>
          <w:ilvl w:val="0"/>
          <w:numId w:val="3"/>
        </w:numPr>
        <w:spacing w:before="0" w:beforeAutospacing="0" w:after="240"/>
        <w:ind w:left="720" w:hanging="360"/>
        <w:rPr>
          <w:u w:val="none"/>
        </w:rPr>
      </w:pPr>
      <w:r>
        <w:rPr>
          <w:rtl w:val="0"/>
        </w:rPr>
        <w:t>Safety, legality, and cultural appropriation concerns</w:t>
      </w:r>
    </w:p>
    <w:p w14:paraId="000000A1">
      <w:pPr>
        <w:spacing w:before="240" w:after="240"/>
      </w:pPr>
      <w:r>
        <w:rPr>
          <w:b/>
          <w:bCs/>
          <w:rtl w:val="0"/>
        </w:rPr>
        <w:t xml:space="preserve">Data Analysis: </w:t>
      </w:r>
      <w:r>
        <w:rPr>
          <w:rtl w:val="0"/>
        </w:rPr>
        <w:t>Descriptive statistics summarize data distributions; inferential statistics including regression analysis test relationships between marketing variables and consumer outcomes, enabling generalization from qualitative phase and providing evidence-based conclusions (Saunders et al., 2019).</w:t>
      </w:r>
    </w:p>
    <w:p w14:paraId="000000A2">
      <w:pPr>
        <w:pStyle w:val="5"/>
        <w:keepNext w:val="0"/>
        <w:keepLines w:val="0"/>
        <w:spacing w:before="220" w:after="40"/>
        <w:rPr>
          <w:color w:val="000000"/>
          <w:sz w:val="24"/>
          <w:szCs w:val="24"/>
        </w:rPr>
      </w:pPr>
      <w:bookmarkStart w:id="44" w:name="_u2eh0ntpocr7" w:colFirst="0" w:colLast="0"/>
      <w:bookmarkEnd w:id="44"/>
      <w:r>
        <w:rPr>
          <w:b/>
          <w:bCs/>
          <w:color w:val="000000"/>
          <w:sz w:val="24"/>
          <w:szCs w:val="24"/>
          <w:rtl w:val="0"/>
        </w:rPr>
        <w:t>3.4 Methodological Considerations and Alternative Approaches</w:t>
      </w:r>
    </w:p>
    <w:p w14:paraId="000000A3">
      <w:r>
        <w:rPr>
          <w:rtl w:val="0"/>
        </w:rPr>
        <w:t xml:space="preserve"> Strengths of Proposed Design: Mixed-methods enables triangulation, combining rich qualitative insights with broader quantitative validation while capturing both cultural meanings and consumer patterns (Kyne, 2021).</w:t>
      </w:r>
    </w:p>
    <w:p w14:paraId="000000A4"/>
    <w:p w14:paraId="000000A5">
      <w:r>
        <w:rPr>
          <w:b/>
          <w:bCs/>
          <w:rtl w:val="0"/>
        </w:rPr>
        <w:t>Alternative Approaches:</w:t>
      </w:r>
      <w:r>
        <w:rPr>
          <w:rtl w:val="0"/>
        </w:rPr>
        <w:t xml:space="preserve"> Experimental design testing marketing message effectiveness could establish causal relationships but raises significant ethical concerns regarding manipulation of individuals around sensitive mental health and substance use topics (Creswell, 2018). Longitudinal design tracking consumer decisions over extended timeframes would provide superior temporal understanding but requires substantially greater resources (Bryman, 2016). Case studies examining single retreat operations provide contextual richness but sacrifice generalizability (Saunders et al., 2019).</w:t>
      </w:r>
    </w:p>
    <w:p w14:paraId="000000A6"/>
    <w:p w14:paraId="000000A7">
      <w:r>
        <w:rPr>
          <w:b/>
          <w:bCs/>
          <w:sz w:val="24"/>
          <w:szCs w:val="24"/>
          <w:rtl w:val="0"/>
        </w:rPr>
        <w:t>4.0 Critical Discussion and Conclusions</w:t>
      </w:r>
      <w:r>
        <w:rPr>
          <w:rtl w:val="0"/>
        </w:rPr>
        <w:t xml:space="preserve"> </w:t>
      </w:r>
    </w:p>
    <w:p w14:paraId="000000A8"/>
    <w:p w14:paraId="000000A9">
      <w:pPr>
        <w:rPr>
          <w:b/>
          <w:bCs/>
          <w:sz w:val="24"/>
          <w:szCs w:val="24"/>
        </w:rPr>
      </w:pPr>
      <w:r>
        <w:rPr>
          <w:b/>
          <w:bCs/>
          <w:sz w:val="24"/>
          <w:szCs w:val="24"/>
          <w:rtl w:val="0"/>
        </w:rPr>
        <w:t>4.1 Synthesis and Critical Evaluation of Current Evidence</w:t>
      </w:r>
    </w:p>
    <w:p w14:paraId="000000AA">
      <w:pPr>
        <w:rPr>
          <w:b/>
          <w:bCs/>
          <w:sz w:val="24"/>
          <w:szCs w:val="24"/>
        </w:rPr>
      </w:pPr>
    </w:p>
    <w:p w14:paraId="000000AB">
      <w:r>
        <w:rPr>
          <w:rtl w:val="0"/>
        </w:rPr>
        <w:t xml:space="preserve">This developmental conference paper has critically examined PAW as an emerging commercial phenomenon with distinct characteristics, ethical challenges, and research implications separate from regulated clinical PAT. The evidence synthesis reveals substantial research gaps and theoretical implications: </w:t>
      </w:r>
    </w:p>
    <w:p w14:paraId="000000AC"/>
    <w:p w14:paraId="000000AD">
      <w:r>
        <w:rPr>
          <w:b/>
          <w:bCs/>
          <w:rtl w:val="0"/>
        </w:rPr>
        <w:t>Critical Findings:</w:t>
      </w:r>
      <w:r>
        <w:rPr>
          <w:rtl w:val="0"/>
        </w:rPr>
        <w:t xml:space="preserve"> PAW markets employ marketing strategies leveraging identity-constitution narratives that create psychological pressure to purchase despite costs and risks. Comparative market analysis reveals that psychedelic commercialization follows established patterns from cannabis and wellness industries; however, PAW involves consciousness-altering substances carrying documented adverse risk potential, particularly for vulnerable populations with psychiatric predispositions. Consumer adoption patterns follow Rogers' DOI framework but generate selection bias wherein positive outcomes are visible while negative outcomes remain hidden. </w:t>
      </w:r>
    </w:p>
    <w:p w14:paraId="000000AE"/>
    <w:p w14:paraId="000000AF">
      <w:pPr>
        <w:rPr>
          <w:b/>
          <w:bCs/>
          <w:sz w:val="24"/>
          <w:szCs w:val="24"/>
        </w:rPr>
      </w:pPr>
      <w:r>
        <w:rPr>
          <w:b/>
          <w:bCs/>
          <w:sz w:val="24"/>
          <w:szCs w:val="24"/>
          <w:rtl w:val="0"/>
        </w:rPr>
        <w:t>4.2 Implications for Marketing Theory and Practice</w:t>
      </w:r>
    </w:p>
    <w:p w14:paraId="000000B0">
      <w:pPr>
        <w:rPr>
          <w:b/>
          <w:bCs/>
          <w:sz w:val="24"/>
          <w:szCs w:val="24"/>
        </w:rPr>
      </w:pPr>
    </w:p>
    <w:p w14:paraId="000000B1">
      <w:r>
        <w:rPr>
          <w:b/>
          <w:bCs/>
          <w:rtl w:val="0"/>
        </w:rPr>
        <w:t>Consumer Culture Theory Extension:</w:t>
      </w:r>
      <w:r>
        <w:rPr>
          <w:rtl w:val="0"/>
        </w:rPr>
        <w:t xml:space="preserve"> This research contributes to marketing theory by demonstrating how identity constituting consumption creates particular vulnerability to marketing influence, particularly within consciousness-altering product categories. Future marketing theory must develop frameworks examining how identity-stakes interact with commercial influence (Arnould &amp; Thompson, 2005). </w:t>
      </w:r>
    </w:p>
    <w:p w14:paraId="000000B2"/>
    <w:p w14:paraId="000000B3">
      <w:r>
        <w:rPr>
          <w:b/>
          <w:bCs/>
          <w:rtl w:val="0"/>
        </w:rPr>
        <w:t>Informed Consent in High-Risk Consumption:</w:t>
      </w:r>
      <w:r>
        <w:rPr>
          <w:rtl w:val="0"/>
        </w:rPr>
        <w:t xml:space="preserve"> PAW markets highlight limitations of standard consumer-context informed consent approaches. Marketing theory must develop frameworks addressing informed consent for high-risk consciousness-altering substances, potentially requiring active consent procedures more rigorous than conventional commercial norms (Wells &amp; Johnson, 2021). </w:t>
      </w:r>
    </w:p>
    <w:p w14:paraId="000000B4"/>
    <w:p w14:paraId="000000B5">
      <w:pPr>
        <w:rPr>
          <w:b/>
          <w:bCs/>
          <w:sz w:val="24"/>
          <w:szCs w:val="24"/>
        </w:rPr>
      </w:pPr>
      <w:r>
        <w:rPr>
          <w:b/>
          <w:bCs/>
          <w:sz w:val="24"/>
          <w:szCs w:val="24"/>
          <w:rtl w:val="0"/>
        </w:rPr>
        <w:t>4.3 Recommendations for Industry and Policy Development</w:t>
      </w:r>
    </w:p>
    <w:p w14:paraId="000000B6">
      <w:pPr>
        <w:rPr>
          <w:b/>
          <w:bCs/>
          <w:sz w:val="24"/>
          <w:szCs w:val="24"/>
        </w:rPr>
      </w:pPr>
    </w:p>
    <w:p w14:paraId="000000B7">
      <w:r>
        <w:rPr>
          <w:b/>
          <w:bCs/>
          <w:rtl w:val="0"/>
        </w:rPr>
        <w:t xml:space="preserve">For Industry Practitioners: </w:t>
      </w:r>
      <w:r>
        <w:rPr>
          <w:rtl w:val="0"/>
        </w:rPr>
        <w:t xml:space="preserve">Standardized facilitator credentialing frameworks ensuring competency in psychedelic pharmacology, psychological assessment, crisis management, and cultural competency are essential for industry maturation (Wells &amp; Johnson, 2021). Consumer education through pre-participation psychoeducational materials clearly describing effects, risks, and limited evidence-base for wellness claims should accompany robust informed consent processes and screening for contraindications (Halliday, 2020). </w:t>
      </w:r>
    </w:p>
    <w:p w14:paraId="000000B8"/>
    <w:p w14:paraId="000000B9">
      <w:r>
        <w:rPr>
          <w:b/>
          <w:bCs/>
          <w:rtl w:val="0"/>
        </w:rPr>
        <w:t>For Policymakers:</w:t>
      </w:r>
      <w:r>
        <w:rPr>
          <w:rtl w:val="0"/>
        </w:rPr>
        <w:t xml:space="preserve"> Regulatory frameworks should explicitly distinguish clinical PAT from commercial PAW, applying different standards appropriate to each context. Marketing restrictions protecting vulnerable populations, facilitator credentialing standards, and mandatory adverse event reporting would support responsible industry development (Wells &amp; Johnson, 2021). </w:t>
      </w:r>
    </w:p>
    <w:p w14:paraId="000000BA"/>
    <w:p w14:paraId="000000BB">
      <w:r>
        <w:rPr>
          <w:b/>
          <w:bCs/>
          <w:rtl w:val="0"/>
        </w:rPr>
        <w:t>For Future Research:</w:t>
      </w:r>
      <w:r>
        <w:rPr>
          <w:rtl w:val="0"/>
        </w:rPr>
        <w:t xml:space="preserve"> The proposed mixed-methods framework directly addresses identified research gaps regarding neuromarketing applications, algorithmic targeting impacts, consumer journey mapping, and academic-commercial discourse analysis. Empirical investigation of these gaps would substantially advance both marketing scholarship and evidence-based industry practice.</w:t>
      </w:r>
    </w:p>
    <w:p w14:paraId="000000BC">
      <w:pPr>
        <w:spacing w:before="240" w:after="240"/>
      </w:pPr>
    </w:p>
    <w:p w14:paraId="000000BD">
      <w:pPr>
        <w:spacing w:before="240" w:after="240"/>
        <w:rPr>
          <w:b/>
          <w:bCs/>
          <w:sz w:val="24"/>
          <w:szCs w:val="24"/>
        </w:rPr>
      </w:pPr>
      <w:r>
        <w:rPr>
          <w:b/>
          <w:bCs/>
          <w:sz w:val="24"/>
          <w:szCs w:val="24"/>
          <w:rtl w:val="0"/>
        </w:rPr>
        <w:t>4.4 Conclusion</w:t>
      </w:r>
    </w:p>
    <w:p w14:paraId="000000BE">
      <w:pPr>
        <w:spacing w:before="240" w:after="240"/>
      </w:pPr>
      <w:r>
        <w:rPr>
          <w:rtl w:val="0"/>
        </w:rPr>
        <w:t>This developmental conference paper has advanced understanding of PAW as an emerging market phenomenon requiring systematic academic investigation at the intersection of marketing ethics, consumer psychology, and business responsibility. The proposed mixed-methods research framework provides comprehensive approach to examining consumer behavior, marketing influences, and ethical challenges currently insufficiently understood within academic literature. As psychedelic markets mature and regulatory frameworks develop, evidence-based understanding of marketing dynamics becomes essential for supporting responsible commercialization that prioritizes consumer protection while enabling legitimate access to potentially beneficial interventions. Whether the PAW industry becomes a model for responsible innovation or another case study of commercial exploitation will depend substantially on the integrity, transparency, and ethical responsibility of marketing narratives it constructs and on scholarly attention to understanding and critically evaluating these processes.</w:t>
      </w:r>
    </w:p>
    <w:p w14:paraId="000000BF"/>
    <w:p w14:paraId="43884FA1">
      <w:pPr>
        <w:rPr>
          <w:rFonts w:hint="default"/>
        </w:rPr>
      </w:pPr>
      <w:bookmarkStart w:id="45" w:name="_zems786fvax7" w:colFirst="0" w:colLast="0"/>
      <w:bookmarkEnd w:id="45"/>
      <w:r>
        <w:rPr>
          <w:rFonts w:hint="default"/>
        </w:rPr>
        <w:t>1. Abstract &amp; Introduction Improvements</w:t>
      </w:r>
    </w:p>
    <w:p w14:paraId="07D4E875">
      <w:pPr>
        <w:rPr>
          <w:rFonts w:hint="default"/>
        </w:rPr>
      </w:pPr>
      <w:r>
        <w:rPr>
          <w:rFonts w:hint="default"/>
        </w:rPr>
        <w:t>●Rewrote the entire abstract to be more academic, concise, and directly aligned with research objectives.</w:t>
      </w:r>
    </w:p>
    <w:p w14:paraId="04071DDC">
      <w:pPr>
        <w:rPr>
          <w:rFonts w:hint="default"/>
        </w:rPr>
      </w:pPr>
      <w:r>
        <w:rPr>
          <w:rFonts w:hint="default"/>
        </w:rPr>
        <w:t>●Strengthened connection between PAW (Psychedelic-Assisted Wellness) and PAT (Psychedelic-Assisted Therapy)</w:t>
      </w:r>
    </w:p>
    <w:p w14:paraId="5B1D4AA5">
      <w:pPr>
        <w:rPr>
          <w:rFonts w:hint="default"/>
        </w:rPr>
      </w:pPr>
      <w:r>
        <w:rPr>
          <w:rFonts w:hint="default"/>
        </w:rPr>
        <w:t>●Improved clarity around marketing challenges, ethical issues, and theoretical grounding.</w:t>
      </w:r>
    </w:p>
    <w:p w14:paraId="7E3234D5">
      <w:pPr>
        <w:rPr>
          <w:rFonts w:hint="default"/>
        </w:rPr>
      </w:pPr>
      <w:r>
        <w:rPr>
          <w:rFonts w:hint="default"/>
        </w:rPr>
        <w:t>●Removed unnecessary historical content and replaced it with stronger problem framing.</w:t>
      </w:r>
    </w:p>
    <w:p w14:paraId="0DBAFA34">
      <w:pPr>
        <w:rPr>
          <w:rFonts w:hint="default"/>
        </w:rPr>
      </w:pPr>
      <w:r>
        <w:rPr>
          <w:rFonts w:hint="default"/>
        </w:rPr>
        <w:t>●Added keywords aligned with academic standards.</w:t>
      </w:r>
    </w:p>
    <w:p w14:paraId="05F06951">
      <w:pPr>
        <w:rPr>
          <w:rFonts w:hint="default"/>
        </w:rPr>
      </w:pPr>
    </w:p>
    <w:p w14:paraId="7BD8E8CE">
      <w:pPr>
        <w:rPr>
          <w:rFonts w:hint="default"/>
        </w:rPr>
      </w:pPr>
      <w:r>
        <w:rPr>
          <w:rFonts w:hint="default"/>
        </w:rPr>
        <w:t>2. Clearer Research Purpose Section</w:t>
      </w:r>
    </w:p>
    <w:p w14:paraId="238E4E1F">
      <w:pPr>
        <w:rPr>
          <w:rFonts w:hint="default"/>
        </w:rPr>
      </w:pPr>
      <w:r>
        <w:rPr>
          <w:rFonts w:hint="default"/>
        </w:rPr>
        <w:t>●Removed long, descriptive paragraphs about psychedelic chemistry (Tryptamines, Phenethylamines, Lysergamides).</w:t>
      </w:r>
    </w:p>
    <w:p w14:paraId="2669E956">
      <w:pPr>
        <w:rPr>
          <w:rFonts w:hint="default"/>
        </w:rPr>
      </w:pPr>
      <w:r>
        <w:rPr>
          <w:rFonts w:hint="default"/>
        </w:rPr>
        <w:t>●Replaced them with a short, focused explanation of PAT vs PAW from a marketing/ethical lens.</w:t>
      </w:r>
    </w:p>
    <w:p w14:paraId="3A1A13A4">
      <w:pPr>
        <w:rPr>
          <w:rFonts w:hint="default"/>
        </w:rPr>
      </w:pPr>
      <w:r>
        <w:rPr>
          <w:rFonts w:hint="default"/>
        </w:rPr>
        <w:t>●Sharpened the research gap explanation (marketing, ethics, AI/targeting, consumer vulnerability).</w:t>
      </w:r>
    </w:p>
    <w:p w14:paraId="0B84CFEC">
      <w:pPr>
        <w:rPr>
          <w:rFonts w:hint="default"/>
        </w:rPr>
      </w:pPr>
      <w:r>
        <w:rPr>
          <w:rFonts w:hint="default"/>
        </w:rPr>
        <w:t>●Added stronger academic tone and removed informal/philosophical descriptions.</w:t>
      </w:r>
    </w:p>
    <w:p w14:paraId="6AE93F9C">
      <w:pPr>
        <w:rPr>
          <w:rFonts w:hint="default"/>
        </w:rPr>
      </w:pPr>
    </w:p>
    <w:p w14:paraId="71FD6729">
      <w:pPr>
        <w:rPr>
          <w:rFonts w:hint="default"/>
        </w:rPr>
      </w:pPr>
      <w:r>
        <w:rPr>
          <w:rFonts w:hint="default"/>
        </w:rPr>
        <w:t>3. Removal of Non-Relevant Content</w:t>
      </w:r>
    </w:p>
    <w:p w14:paraId="368E274F">
      <w:pPr>
        <w:rPr>
          <w:rFonts w:hint="default"/>
        </w:rPr>
      </w:pPr>
      <w:r>
        <w:rPr>
          <w:rFonts w:hint="default"/>
        </w:rPr>
        <w:t>●Deleted unnecessary images such as the NPS chemical classes graphic on Page 4 of old file.</w:t>
      </w:r>
    </w:p>
    <w:p w14:paraId="654DC688">
      <w:pPr>
        <w:rPr>
          <w:rFonts w:hint="default"/>
        </w:rPr>
      </w:pPr>
      <w:r>
        <w:rPr>
          <w:rFonts w:hint="default"/>
        </w:rPr>
        <w:t>●Removed excessive details about drug classifications, brain receptors, and unrelated scientific detail.</w:t>
      </w:r>
    </w:p>
    <w:p w14:paraId="2175CE04">
      <w:pPr>
        <w:rPr>
          <w:rFonts w:hint="default"/>
        </w:rPr>
      </w:pPr>
      <w:r>
        <w:rPr>
          <w:rFonts w:hint="default"/>
        </w:rPr>
        <w:t>●Eliminated SMART objectives list (not required in conference papers).</w:t>
      </w:r>
    </w:p>
    <w:p w14:paraId="128142B8">
      <w:pPr>
        <w:rPr>
          <w:rFonts w:hint="default"/>
        </w:rPr>
      </w:pPr>
      <w:r>
        <w:rPr>
          <w:rFonts w:hint="default"/>
        </w:rPr>
        <w:t>●Removed PRISMA discussion and irrelevant methodological strategies (case studies, action research).</w:t>
      </w:r>
    </w:p>
    <w:p w14:paraId="712039CD">
      <w:pPr>
        <w:rPr>
          <w:rFonts w:hint="default"/>
        </w:rPr>
      </w:pPr>
      <w:r>
        <w:rPr>
          <w:rFonts w:hint="default"/>
        </w:rPr>
        <w:t>●Deleted repetitive and overly descriptive marketing explanations.</w:t>
      </w:r>
    </w:p>
    <w:p w14:paraId="07BF6011">
      <w:pPr>
        <w:rPr>
          <w:rFonts w:hint="default"/>
        </w:rPr>
      </w:pPr>
      <w:r>
        <w:rPr>
          <w:rFonts w:hint="default"/>
        </w:rPr>
        <w:t>4. Major Literature Review Enhancements</w:t>
      </w:r>
    </w:p>
    <w:p w14:paraId="63E1234C">
      <w:pPr>
        <w:rPr>
          <w:rFonts w:hint="default"/>
        </w:rPr>
      </w:pPr>
      <w:r>
        <w:rPr>
          <w:rFonts w:hint="default"/>
        </w:rPr>
        <w:t>●Reorganised literature review into logical, concise, and academically coherent sections.</w:t>
      </w:r>
    </w:p>
    <w:p w14:paraId="6296DAAD">
      <w:pPr>
        <w:rPr>
          <w:rFonts w:hint="default"/>
        </w:rPr>
      </w:pPr>
      <w:r>
        <w:rPr>
          <w:rFonts w:hint="default"/>
        </w:rPr>
        <w:t>●Strengthened citations and updated sources (e.g., Halliday 2020, Zentner &amp; Ziesemer 2023).</w:t>
      </w:r>
    </w:p>
    <w:p w14:paraId="54467308">
      <w:pPr>
        <w:rPr>
          <w:rFonts w:hint="default"/>
        </w:rPr>
      </w:pPr>
      <w:r>
        <w:rPr>
          <w:rFonts w:hint="default"/>
        </w:rPr>
        <w:t>●Integrated CCT (Consumer Culture Theory) more sharply as theoretical foundation.</w:t>
      </w:r>
    </w:p>
    <w:p w14:paraId="2B30487A">
      <w:pPr>
        <w:rPr>
          <w:rFonts w:hint="default"/>
        </w:rPr>
      </w:pPr>
      <w:r>
        <w:rPr>
          <w:rFonts w:hint="default"/>
        </w:rPr>
        <w:t>●Added anthropological and ethical perspectives clearly and concisely.</w:t>
      </w:r>
    </w:p>
    <w:p w14:paraId="6BA43198">
      <w:pPr>
        <w:rPr>
          <w:rFonts w:hint="default"/>
        </w:rPr>
      </w:pPr>
      <w:r>
        <w:rPr>
          <w:rFonts w:hint="default"/>
        </w:rPr>
        <w:t>●Rewrote DOI (Diffusion of Innovation) explanation into a more concise, theory-driven paragraph.</w:t>
      </w:r>
    </w:p>
    <w:p w14:paraId="74D42061">
      <w:pPr>
        <w:rPr>
          <w:rFonts w:hint="default"/>
        </w:rPr>
      </w:pPr>
      <w:r>
        <w:rPr>
          <w:rFonts w:hint="default"/>
        </w:rPr>
        <w:t>●Removed long-form explanations and unnecessary historical narrative.</w:t>
      </w:r>
    </w:p>
    <w:p w14:paraId="4C0A5E50">
      <w:pPr>
        <w:rPr>
          <w:rFonts w:hint="default"/>
        </w:rPr>
      </w:pPr>
      <w:r>
        <w:rPr>
          <w:rFonts w:hint="default"/>
        </w:rPr>
        <w:t>●Added cultural appropriation discussion with direct theoretical links instead of generic language.</w:t>
      </w:r>
    </w:p>
    <w:p w14:paraId="3E71E8F7">
      <w:pPr>
        <w:rPr>
          <w:rFonts w:hint="default"/>
        </w:rPr>
      </w:pPr>
      <w:r>
        <w:rPr>
          <w:rFonts w:hint="default"/>
        </w:rPr>
        <w:t>5. Improved Digital Marketing &amp; Ethical Challenges Section</w:t>
      </w:r>
    </w:p>
    <w:p w14:paraId="2136955F">
      <w:pPr>
        <w:rPr>
          <w:rFonts w:hint="default"/>
        </w:rPr>
      </w:pPr>
      <w:r>
        <w:rPr>
          <w:rFonts w:hint="default"/>
        </w:rPr>
        <w:t>●Strengthened discussion of AI-driven targeting, big data profiling, manipulative funnel effects, and social media influence.</w:t>
      </w:r>
    </w:p>
    <w:p w14:paraId="2246ACB9">
      <w:pPr>
        <w:rPr>
          <w:rFonts w:hint="default"/>
        </w:rPr>
      </w:pPr>
      <w:r>
        <w:rPr>
          <w:rFonts w:hint="default"/>
        </w:rPr>
        <w:t>●Rewrote digital technologies section to make it more scholastic and evidence-driven.</w:t>
      </w:r>
    </w:p>
    <w:p w14:paraId="61D22EB9">
      <w:pPr>
        <w:rPr>
          <w:rFonts w:hint="default"/>
        </w:rPr>
      </w:pPr>
      <w:r>
        <w:rPr>
          <w:rFonts w:hint="default"/>
        </w:rPr>
        <w:t>●Highlighted ethical risks and vulnerabilities more clearly.</w:t>
      </w:r>
    </w:p>
    <w:p w14:paraId="2568CC76">
      <w:pPr>
        <w:rPr>
          <w:rFonts w:hint="default"/>
        </w:rPr>
      </w:pPr>
      <w:r>
        <w:rPr>
          <w:rFonts w:hint="default"/>
        </w:rPr>
        <w:t>●Integrated netnography correctly as a methodological tool rather than descriptive content.</w:t>
      </w:r>
    </w:p>
    <w:p w14:paraId="3148C29F">
      <w:pPr>
        <w:rPr>
          <w:rFonts w:hint="default"/>
        </w:rPr>
      </w:pPr>
      <w:r>
        <w:rPr>
          <w:rFonts w:hint="default"/>
        </w:rPr>
        <w:t>6. Completely Rewritten Methodology Section</w:t>
      </w:r>
    </w:p>
    <w:p w14:paraId="5AC77857">
      <w:pPr>
        <w:rPr>
          <w:rFonts w:hint="default"/>
        </w:rPr>
      </w:pPr>
      <w:r>
        <w:rPr>
          <w:rFonts w:hint="default"/>
        </w:rPr>
        <w:t>Qualitative Phase Improvements</w:t>
      </w:r>
    </w:p>
    <w:p w14:paraId="5139B394">
      <w:pPr>
        <w:rPr>
          <w:rFonts w:hint="default"/>
        </w:rPr>
      </w:pPr>
      <w:r>
        <w:rPr>
          <w:rFonts w:hint="default"/>
        </w:rPr>
        <w:t>●Simplified and clarified the role of Grounded Theory.</w:t>
      </w:r>
    </w:p>
    <w:p w14:paraId="4ADCB046">
      <w:pPr>
        <w:rPr>
          <w:rFonts w:hint="default"/>
        </w:rPr>
      </w:pPr>
      <w:r>
        <w:rPr>
          <w:rFonts w:hint="default"/>
        </w:rPr>
        <w:t>●Removed redundant explanations from old version.</w:t>
      </w:r>
    </w:p>
    <w:p w14:paraId="737A9EEB">
      <w:pPr>
        <w:rPr>
          <w:rFonts w:hint="default"/>
        </w:rPr>
      </w:pPr>
      <w:r>
        <w:rPr>
          <w:rFonts w:hint="default"/>
        </w:rPr>
        <w:t>●Improved explanation of stakeholder categories (consumers, marketers, experts).</w:t>
      </w:r>
    </w:p>
    <w:p w14:paraId="206E28B6">
      <w:pPr>
        <w:rPr>
          <w:rFonts w:hint="default"/>
        </w:rPr>
      </w:pPr>
      <w:r>
        <w:rPr>
          <w:rFonts w:hint="default"/>
        </w:rPr>
        <w:t>●Simplified netnography approach into clear, academically suitable methodology.</w:t>
      </w:r>
    </w:p>
    <w:p w14:paraId="6083BE9F">
      <w:pPr>
        <w:rPr>
          <w:rFonts w:hint="default"/>
        </w:rPr>
      </w:pPr>
    </w:p>
    <w:p w14:paraId="6C30507F">
      <w:pPr>
        <w:rPr>
          <w:rFonts w:hint="default"/>
        </w:rPr>
      </w:pPr>
      <w:r>
        <w:rPr>
          <w:rFonts w:hint="default"/>
        </w:rPr>
        <w:t>Quantitative Phase Improvements</w:t>
      </w:r>
    </w:p>
    <w:p w14:paraId="7C15F507">
      <w:pPr>
        <w:rPr>
          <w:rFonts w:hint="default"/>
        </w:rPr>
      </w:pPr>
      <w:r>
        <w:rPr>
          <w:rFonts w:hint="default"/>
        </w:rPr>
        <w:t>●Simplified survey design and aligned variables with literature review.</w:t>
      </w:r>
    </w:p>
    <w:p w14:paraId="5CF1A859">
      <w:pPr>
        <w:rPr>
          <w:rFonts w:hint="default"/>
        </w:rPr>
      </w:pPr>
      <w:r>
        <w:rPr>
          <w:rFonts w:hint="default"/>
        </w:rPr>
        <w:t>●Added clear constructs such as:</w:t>
      </w:r>
    </w:p>
    <w:p w14:paraId="3DB29564">
      <w:pPr>
        <w:rPr>
          <w:rFonts w:hint="default"/>
        </w:rPr>
      </w:pPr>
      <w:r>
        <w:rPr>
          <w:rFonts w:hint="default"/>
        </w:rPr>
        <w:t>○trust</w:t>
      </w:r>
    </w:p>
    <w:p w14:paraId="5AD9E551">
      <w:pPr>
        <w:rPr>
          <w:rFonts w:hint="default"/>
        </w:rPr>
      </w:pPr>
      <w:r>
        <w:rPr>
          <w:rFonts w:hint="default"/>
        </w:rPr>
        <w:t>○adoption intention</w:t>
      </w:r>
    </w:p>
    <w:p w14:paraId="554F0677">
      <w:pPr>
        <w:rPr>
          <w:rFonts w:hint="default"/>
        </w:rPr>
      </w:pPr>
      <w:r>
        <w:rPr>
          <w:rFonts w:hint="default"/>
        </w:rPr>
        <w:t>○psychographics</w:t>
      </w:r>
    </w:p>
    <w:p w14:paraId="4FF39251">
      <w:pPr>
        <w:rPr>
          <w:rFonts w:hint="default"/>
        </w:rPr>
      </w:pPr>
      <w:r>
        <w:rPr>
          <w:rFonts w:hint="default"/>
        </w:rPr>
        <w:t>○safety &amp; cultural concerns</w:t>
      </w:r>
    </w:p>
    <w:p w14:paraId="59B65C1D">
      <w:pPr>
        <w:rPr>
          <w:rFonts w:hint="default"/>
        </w:rPr>
      </w:pPr>
    </w:p>
    <w:p w14:paraId="53B6E561">
      <w:pPr>
        <w:rPr>
          <w:rFonts w:hint="default"/>
        </w:rPr>
      </w:pPr>
      <w:r>
        <w:rPr>
          <w:rFonts w:hint="default"/>
        </w:rPr>
        <w:t>Stronger Analytical Framework</w:t>
      </w:r>
    </w:p>
    <w:p w14:paraId="5F581B59">
      <w:pPr>
        <w:rPr>
          <w:rFonts w:hint="default"/>
        </w:rPr>
      </w:pPr>
      <w:r>
        <w:rPr>
          <w:rFonts w:hint="default"/>
        </w:rPr>
        <w:t>●Removed unnecessary sections comparing multiple methods (action research, experimental methods, PRISMA, case study etc.).</w:t>
      </w:r>
    </w:p>
    <w:p w14:paraId="736D5AE9">
      <w:pPr>
        <w:rPr>
          <w:rFonts w:hint="default"/>
        </w:rPr>
      </w:pPr>
      <w:r>
        <w:rPr>
          <w:rFonts w:hint="default"/>
        </w:rPr>
        <w:t>●Simplified sequential explanatory MMR design and made it academically sound.</w:t>
      </w:r>
    </w:p>
    <w:p w14:paraId="787DF8B5">
      <w:pPr>
        <w:rPr>
          <w:rFonts w:hint="default"/>
        </w:rPr>
      </w:pPr>
      <w:r>
        <w:rPr>
          <w:rFonts w:hint="default"/>
        </w:rPr>
        <w:t>7. Fully Updated Critical Discussion</w:t>
      </w:r>
    </w:p>
    <w:p w14:paraId="2EA3BF7F">
      <w:pPr>
        <w:rPr>
          <w:rFonts w:hint="default"/>
        </w:rPr>
      </w:pPr>
      <w:r>
        <w:rPr>
          <w:rFonts w:hint="default"/>
        </w:rPr>
        <w:t>●New discussion directly ties findings to:</w:t>
      </w:r>
    </w:p>
    <w:p w14:paraId="2EA1D17E">
      <w:pPr>
        <w:rPr>
          <w:rFonts w:hint="default"/>
        </w:rPr>
      </w:pPr>
      <w:r>
        <w:rPr>
          <w:rFonts w:hint="default"/>
        </w:rPr>
        <w:t>○Research gap</w:t>
      </w:r>
    </w:p>
    <w:p w14:paraId="24ADCAA2">
      <w:pPr>
        <w:rPr>
          <w:rFonts w:hint="default"/>
        </w:rPr>
      </w:pPr>
      <w:r>
        <w:rPr>
          <w:rFonts w:hint="default"/>
        </w:rPr>
        <w:t>○Ethical concerns</w:t>
      </w:r>
    </w:p>
    <w:p w14:paraId="6B6C60E1">
      <w:pPr>
        <w:rPr>
          <w:rFonts w:hint="default"/>
        </w:rPr>
      </w:pPr>
      <w:r>
        <w:rPr>
          <w:rFonts w:hint="default"/>
        </w:rPr>
        <w:t>○Consumer vulnerability</w:t>
      </w:r>
    </w:p>
    <w:p w14:paraId="637E8991">
      <w:pPr>
        <w:rPr>
          <w:rFonts w:hint="default"/>
        </w:rPr>
      </w:pPr>
      <w:r>
        <w:rPr>
          <w:rFonts w:hint="default"/>
        </w:rPr>
        <w:t>○Marketing theory</w:t>
      </w:r>
    </w:p>
    <w:p w14:paraId="0AE37F69">
      <w:pPr>
        <w:rPr>
          <w:rFonts w:hint="default"/>
        </w:rPr>
      </w:pPr>
      <w:r>
        <w:rPr>
          <w:rFonts w:hint="default"/>
        </w:rPr>
        <w:t>●Removed long &amp; repetitive content from the old paper.</w:t>
      </w:r>
    </w:p>
    <w:p w14:paraId="02C230CD">
      <w:pPr>
        <w:rPr>
          <w:rFonts w:hint="default"/>
        </w:rPr>
      </w:pPr>
      <w:r>
        <w:rPr>
          <w:rFonts w:hint="default"/>
        </w:rPr>
        <w:t>●Added clear academic impact, societal impact, economic impact, and policy relevance.</w:t>
      </w:r>
    </w:p>
    <w:p w14:paraId="053ACC8E">
      <w:pPr>
        <w:rPr>
          <w:rFonts w:hint="default"/>
        </w:rPr>
      </w:pPr>
      <w:r>
        <w:rPr>
          <w:rFonts w:hint="default"/>
        </w:rPr>
        <w:t>●Improved alignment between literature and proposed framework.</w:t>
      </w:r>
    </w:p>
    <w:p w14:paraId="305856DE">
      <w:pPr>
        <w:rPr>
          <w:rFonts w:hint="default"/>
        </w:rPr>
      </w:pPr>
    </w:p>
    <w:p w14:paraId="60B40EAA">
      <w:pPr>
        <w:rPr>
          <w:rFonts w:hint="default"/>
        </w:rPr>
      </w:pPr>
      <w:r>
        <w:rPr>
          <w:rFonts w:hint="default"/>
        </w:rPr>
        <w:t>8. Significant Language &amp; Tone Improvements</w:t>
      </w:r>
    </w:p>
    <w:p w14:paraId="0E072774">
      <w:pPr>
        <w:rPr>
          <w:rFonts w:hint="default"/>
        </w:rPr>
      </w:pPr>
      <w:r>
        <w:rPr>
          <w:rFonts w:hint="default"/>
        </w:rPr>
        <w:t>●Entire paper rewritten for:</w:t>
      </w:r>
    </w:p>
    <w:p w14:paraId="237045DF">
      <w:pPr>
        <w:rPr>
          <w:rFonts w:hint="default"/>
        </w:rPr>
      </w:pPr>
      <w:r>
        <w:rPr>
          <w:rFonts w:hint="default"/>
        </w:rPr>
        <w:t>○Academic tone</w:t>
      </w:r>
    </w:p>
    <w:p w14:paraId="7B669F40">
      <w:pPr>
        <w:rPr>
          <w:rFonts w:hint="default"/>
        </w:rPr>
      </w:pPr>
      <w:r>
        <w:rPr>
          <w:rFonts w:hint="default"/>
        </w:rPr>
        <w:t>○Clarity</w:t>
      </w:r>
    </w:p>
    <w:p w14:paraId="3450D633">
      <w:pPr>
        <w:rPr>
          <w:rFonts w:hint="default"/>
        </w:rPr>
      </w:pPr>
      <w:r>
        <w:rPr>
          <w:rFonts w:hint="default"/>
        </w:rPr>
        <w:t>○Conciseness</w:t>
      </w:r>
    </w:p>
    <w:p w14:paraId="731B9029">
      <w:pPr>
        <w:rPr>
          <w:rFonts w:hint="default"/>
        </w:rPr>
      </w:pPr>
      <w:r>
        <w:rPr>
          <w:rFonts w:hint="default"/>
        </w:rPr>
        <w:t>○Coherence</w:t>
      </w:r>
    </w:p>
    <w:p w14:paraId="29BFBDD7">
      <w:pPr>
        <w:rPr>
          <w:rFonts w:hint="default"/>
        </w:rPr>
      </w:pPr>
      <w:r>
        <w:rPr>
          <w:rFonts w:hint="default"/>
        </w:rPr>
        <w:t>●Removed repetitive and informal language from the old version.</w:t>
      </w:r>
    </w:p>
    <w:p w14:paraId="79A9B714">
      <w:pPr>
        <w:rPr>
          <w:rFonts w:hint="default"/>
        </w:rPr>
      </w:pPr>
      <w:r>
        <w:rPr>
          <w:rFonts w:hint="default"/>
        </w:rPr>
        <w:t>●Changed sentences to argument-based, evidence-backed academic writing.</w:t>
      </w:r>
    </w:p>
    <w:p w14:paraId="46B64136">
      <w:pPr>
        <w:rPr>
          <w:rFonts w:hint="default"/>
        </w:rPr>
      </w:pPr>
      <w:r>
        <w:rPr>
          <w:rFonts w:hint="default"/>
        </w:rPr>
        <w:t>●Improved transitions between sections.</w:t>
      </w:r>
    </w:p>
    <w:p w14:paraId="406AAF49">
      <w:pPr>
        <w:rPr>
          <w:rFonts w:hint="default"/>
        </w:rPr>
      </w:pPr>
    </w:p>
    <w:p w14:paraId="783B9FCB">
      <w:pPr>
        <w:rPr>
          <w:rFonts w:hint="default"/>
        </w:rPr>
      </w:pPr>
      <w:r>
        <w:rPr>
          <w:rFonts w:hint="default"/>
        </w:rPr>
        <w:t>9. Cleaner Structure &amp; Formatting</w:t>
      </w:r>
    </w:p>
    <w:p w14:paraId="5DF1FFD7">
      <w:pPr>
        <w:rPr>
          <w:rFonts w:hint="default"/>
        </w:rPr>
      </w:pPr>
      <w:r>
        <w:rPr>
          <w:rFonts w:hint="default"/>
        </w:rPr>
        <w:t>●Removed unnecessary headings (e.g., SMART objectives, broad list formats).</w:t>
      </w:r>
    </w:p>
    <w:p w14:paraId="13FE79A5">
      <w:pPr>
        <w:rPr>
          <w:rFonts w:hint="default"/>
        </w:rPr>
      </w:pPr>
      <w:r>
        <w:rPr>
          <w:rFonts w:hint="default"/>
        </w:rPr>
        <w:t>●Replaced long bullet lists with concise explanations.</w:t>
      </w:r>
    </w:p>
    <w:p w14:paraId="21D34044">
      <w:pPr>
        <w:rPr>
          <w:rFonts w:hint="default"/>
        </w:rPr>
      </w:pPr>
      <w:r>
        <w:rPr>
          <w:rFonts w:hint="default"/>
        </w:rPr>
        <w:t>●Removed large irrelevant figures (NPS categories).</w:t>
      </w:r>
    </w:p>
    <w:p w14:paraId="035BD162">
      <w:pPr>
        <w:rPr>
          <w:rFonts w:hint="default"/>
        </w:rPr>
      </w:pPr>
      <w:r>
        <w:rPr>
          <w:rFonts w:hint="default"/>
        </w:rPr>
        <w:t>●Retained only meaningful figures, improving professionalism.</w:t>
      </w:r>
    </w:p>
    <w:p w14:paraId="02315143">
      <w:pPr>
        <w:rPr>
          <w:rFonts w:hint="default"/>
        </w:rPr>
      </w:pPr>
      <w:r>
        <w:rPr>
          <w:rFonts w:hint="default"/>
        </w:rPr>
        <w:t>●Fixed paragraph spacing, alignment, and flow.</w:t>
      </w:r>
    </w:p>
    <w:p w14:paraId="41CFE20C">
      <w:pPr>
        <w:rPr>
          <w:rFonts w:hint="default"/>
        </w:rPr>
      </w:pPr>
    </w:p>
    <w:p w14:paraId="7B34BCA9">
      <w:pPr>
        <w:rPr>
          <w:rFonts w:hint="default"/>
        </w:rPr>
      </w:pPr>
    </w:p>
    <w:p w14:paraId="723B30EE">
      <w:pPr>
        <w:rPr>
          <w:rFonts w:hint="default"/>
        </w:rPr>
      </w:pPr>
      <w:r>
        <w:rPr>
          <w:rFonts w:hint="default"/>
        </w:rPr>
        <w:t>10. Citation &amp; Reference Improvements</w:t>
      </w:r>
    </w:p>
    <w:p w14:paraId="07EB9891">
      <w:pPr>
        <w:rPr>
          <w:rFonts w:hint="default"/>
        </w:rPr>
      </w:pPr>
      <w:r>
        <w:rPr>
          <w:rFonts w:hint="default"/>
        </w:rPr>
        <w:t>●Removed outdated or irrelevant psychedelic science references from old draft (e.g., Huxley 1954, Grof 2009).</w:t>
      </w:r>
    </w:p>
    <w:p w14:paraId="547F339F">
      <w:pPr>
        <w:rPr>
          <w:rFonts w:hint="default"/>
        </w:rPr>
      </w:pPr>
      <w:r>
        <w:rPr>
          <w:rFonts w:hint="default"/>
        </w:rPr>
        <w:t>●Updated references to modern marketing + digital ethics + anthropological studies.</w:t>
      </w:r>
    </w:p>
    <w:p w14:paraId="5597FA77">
      <w:pPr>
        <w:rPr>
          <w:rFonts w:hint="default"/>
        </w:rPr>
      </w:pPr>
      <w:r>
        <w:rPr>
          <w:rFonts w:hint="default"/>
        </w:rPr>
        <w:t>●Ensured consistent referencing format (APA).</w:t>
      </w:r>
    </w:p>
    <w:p w14:paraId="00A509E6">
      <w:pPr>
        <w:rPr>
          <w:rFonts w:hint="default"/>
        </w:rPr>
      </w:pPr>
      <w:r>
        <w:rPr>
          <w:rFonts w:hint="default"/>
        </w:rPr>
        <w:t>●Added DOIs and corrected formatting inconsistencies.</w:t>
      </w:r>
    </w:p>
    <w:p w14:paraId="126CCDFA">
      <w:pPr>
        <w:rPr>
          <w:rFonts w:hint="default"/>
        </w:rPr>
      </w:pPr>
    </w:p>
    <w:p w14:paraId="2A2B6CC8">
      <w:bookmarkStart w:id="47" w:name="_GoBack"/>
      <w:bookmarkEnd w:id="47"/>
    </w:p>
    <w:p w14:paraId="000000C0">
      <w:pPr>
        <w:pStyle w:val="4"/>
        <w:keepNext w:val="0"/>
        <w:keepLines w:val="0"/>
        <w:spacing w:before="240" w:after="40"/>
        <w:rPr>
          <w:b/>
          <w:bCs/>
          <w:color w:val="000000"/>
        </w:rPr>
      </w:pPr>
      <w:bookmarkStart w:id="46" w:name="_tag83i90eqrv" w:colFirst="0" w:colLast="0"/>
      <w:bookmarkEnd w:id="46"/>
      <w:r>
        <w:rPr>
          <w:b/>
          <w:bCs/>
          <w:color w:val="000000"/>
          <w:rtl w:val="0"/>
        </w:rPr>
        <w:t>5.0 References</w:t>
      </w:r>
    </w:p>
    <w:p w14:paraId="000000C1">
      <w:pPr>
        <w:spacing w:before="240" w:after="240"/>
        <w:ind w:left="0" w:firstLine="0"/>
        <w:rPr>
          <w:color w:val="1B1C1D"/>
        </w:rPr>
      </w:pPr>
      <w:r>
        <w:rPr>
          <w:color w:val="1B1C1D"/>
          <w:rtl w:val="0"/>
        </w:rPr>
        <w:t xml:space="preserve">Arnould, E. J., &amp; Thompson, C. J. (2005). Consumer culture theory (CCT): Twenty years of research. Journal of Consumer Research, 31(4), 868-882. https://doi.org/10.1086/426626 </w:t>
      </w:r>
    </w:p>
    <w:p w14:paraId="000000C2">
      <w:pPr>
        <w:spacing w:before="240" w:after="240"/>
        <w:ind w:left="0" w:firstLine="0"/>
        <w:rPr>
          <w:color w:val="1B1C1D"/>
        </w:rPr>
      </w:pPr>
      <w:r>
        <w:rPr>
          <w:color w:val="1B1C1D"/>
          <w:rtl w:val="0"/>
        </w:rPr>
        <w:t xml:space="preserve">Bhardwaj, V., Rana, N. P., &amp; Behl, A. (2022). Emotional triggers in neuromarketing: A systematic review and meta analysis. Journal of Strategic Marketing, 30(1), 85-102. </w:t>
      </w:r>
    </w:p>
    <w:p w14:paraId="000000C3">
      <w:pPr>
        <w:spacing w:before="240" w:after="240"/>
        <w:ind w:left="0" w:firstLine="0"/>
        <w:rPr>
          <w:color w:val="1B1C1D"/>
        </w:rPr>
      </w:pPr>
      <w:r>
        <w:rPr>
          <w:color w:val="1B1C1D"/>
          <w:rtl w:val="0"/>
        </w:rPr>
        <w:t xml:space="preserve">Bogenschutz, M. P., Forcehimes, A. A., Pommy, J. A., Wilcox, C. E., Barbosa, P. C. R., &amp; Strassman, R. J. (2015). Psilocybin-assisted treatment for alcohol dependence: A proof-of-concept study. Journal of Psychopharmacology, 29(3), 289-301. https://doi.org/10.1177/0269881114565144 </w:t>
      </w:r>
    </w:p>
    <w:p w14:paraId="000000C4">
      <w:pPr>
        <w:spacing w:before="240" w:after="240"/>
        <w:ind w:left="0" w:firstLine="0"/>
        <w:rPr>
          <w:color w:val="1B1C1D"/>
        </w:rPr>
      </w:pPr>
      <w:r>
        <w:rPr>
          <w:color w:val="1B1C1D"/>
          <w:rtl w:val="0"/>
        </w:rPr>
        <w:t xml:space="preserve">Braun, V., &amp; Clarke, V. (2006). Using thematic analysis in psychology. Qualitative Research in Psychology, 3(2), 77-101. https://doi.org/10.1191/1478088706qp063oa </w:t>
      </w:r>
    </w:p>
    <w:p w14:paraId="000000C5">
      <w:pPr>
        <w:spacing w:before="240" w:after="240"/>
        <w:ind w:left="0" w:firstLine="0"/>
        <w:rPr>
          <w:color w:val="1B1C1D"/>
        </w:rPr>
      </w:pPr>
      <w:r>
        <w:rPr>
          <w:color w:val="1B1C1D"/>
          <w:rtl w:val="0"/>
        </w:rPr>
        <w:t xml:space="preserve">Bryman, A. (2016). Social research methods (5th ed.). Oxford University Press. </w:t>
      </w:r>
    </w:p>
    <w:p w14:paraId="000000C6">
      <w:pPr>
        <w:spacing w:before="240" w:after="240"/>
        <w:ind w:left="0" w:firstLine="0"/>
        <w:rPr>
          <w:color w:val="1B1C1D"/>
        </w:rPr>
      </w:pPr>
      <w:r>
        <w:rPr>
          <w:color w:val="1B1C1D"/>
          <w:rtl w:val="0"/>
        </w:rPr>
        <w:t xml:space="preserve">Carhart-Harris, R. L., &amp; Goodwin, G. M. (2017). The therapeutic potential of psychedelic drugs: Past, present, and future. Neuropsychopharmacology, 42(11), 2105-2113. https://pubmed.ncbi.nlm.nih.gov/28443617/ </w:t>
      </w:r>
    </w:p>
    <w:p w14:paraId="000000C7">
      <w:pPr>
        <w:spacing w:before="240" w:after="240"/>
        <w:ind w:left="0" w:firstLine="0"/>
        <w:rPr>
          <w:color w:val="1B1C1D"/>
        </w:rPr>
      </w:pPr>
      <w:r>
        <w:rPr>
          <w:color w:val="1B1C1D"/>
          <w:rtl w:val="0"/>
        </w:rPr>
        <w:t xml:space="preserve">Carhart-Harris, R. L., Bolstridge, M., Rucker, J., Day, C. M., Erritzoe, D., Kaelen, M., ... &amp; Nutt, D. J. (2018). Psilocybin with psychological support for treatment-resistant depression: An open-label feasibility study. The Lancet Psychiatry, 3(7), 619-627. https://doi.org/10.1016/S2215-0366(16)30065-7 </w:t>
      </w:r>
    </w:p>
    <w:p w14:paraId="000000C8">
      <w:pPr>
        <w:spacing w:before="240" w:after="240"/>
        <w:ind w:left="0" w:firstLine="0"/>
        <w:rPr>
          <w:color w:val="1B1C1D"/>
        </w:rPr>
      </w:pPr>
      <w:r>
        <w:rPr>
          <w:color w:val="1B1C1D"/>
          <w:rtl w:val="0"/>
        </w:rPr>
        <w:t xml:space="preserve">Carhart-Harris, R. L., Williams, T. M., Sessa, B., Tyacke, R. J., Rich, A. S., Feilding, A., &amp; Nutt, D. J. (2012). The administration of psilocybin to healthy, hallucinogen-experienced volunteers in a mock-scanner environment: A distributor of neural responses to a mystical-type experience. NeuroImage, 60(2), 1437-1446. </w:t>
      </w:r>
    </w:p>
    <w:p w14:paraId="000000C9">
      <w:pPr>
        <w:spacing w:before="240" w:after="240"/>
        <w:ind w:left="0" w:firstLine="0"/>
        <w:rPr>
          <w:color w:val="1B1C1D"/>
        </w:rPr>
      </w:pPr>
      <w:r>
        <w:rPr>
          <w:color w:val="1B1C1D"/>
          <w:rtl w:val="0"/>
        </w:rPr>
        <w:t xml:space="preserve">Creswell, J. W. (2018). Research design: Qualitative, quantitative, and mixed methods approaches (5th ed.). SAGE Publications. </w:t>
      </w:r>
    </w:p>
    <w:p w14:paraId="000000CA">
      <w:pPr>
        <w:spacing w:before="240" w:after="240"/>
        <w:ind w:left="0" w:firstLine="0"/>
        <w:rPr>
          <w:color w:val="1B1C1D"/>
        </w:rPr>
      </w:pPr>
      <w:r>
        <w:rPr>
          <w:color w:val="1B1C1D"/>
          <w:rtl w:val="0"/>
        </w:rPr>
        <w:t xml:space="preserve">Daws, R. E., Timmermann, C., Giribaldi, B., Sexton, J. D., Cosme, D., Gauttier, V., ... &amp; Carhart-Harris, R. L. (2022). Increased global integration and local segregation in the brain are associated with therapeutic response to psilocybin for treatment-resistant depression. Biological Psychiatry, 92(12), 920-930. </w:t>
      </w:r>
    </w:p>
    <w:p w14:paraId="000000CB">
      <w:pPr>
        <w:spacing w:before="240" w:after="240"/>
        <w:ind w:left="0" w:firstLine="0"/>
        <w:rPr>
          <w:color w:val="1B1C1D"/>
        </w:rPr>
      </w:pPr>
      <w:r>
        <w:rPr>
          <w:color w:val="1B1C1D"/>
          <w:rtl w:val="0"/>
        </w:rPr>
        <w:t xml:space="preserve">Doblin, R. (2014). A clinician's guide to the ethical and responsible use of psychedelics. Journal of Psychoactive Drugs, 46(1), 1-10. https://doi.org/10.1080/02791072.2014.877321 </w:t>
      </w:r>
    </w:p>
    <w:p w14:paraId="000000CC">
      <w:pPr>
        <w:spacing w:before="240" w:after="240"/>
        <w:ind w:left="0" w:firstLine="0"/>
        <w:rPr>
          <w:color w:val="1B1C1D"/>
        </w:rPr>
      </w:pPr>
      <w:r>
        <w:rPr>
          <w:color w:val="1B1C1D"/>
          <w:rtl w:val="0"/>
        </w:rPr>
        <w:t xml:space="preserve">Griffiths, R. R., Johnson, M. W., Carducci, M. A., Umbricht, A., Richards, W. A., Richards, B. D., ... &amp; Klinedinst, M. A. (2016). Psilocybin produces substantial and sustained decreases in depression and anxiety in patients with life threatening cancer. Journal of Psychopharmacology, 30(12), 1181-1197. https://doi.org/10.1177/0269881116675513 </w:t>
      </w:r>
    </w:p>
    <w:p w14:paraId="000000CD">
      <w:pPr>
        <w:spacing w:before="240" w:after="240"/>
        <w:ind w:left="0" w:firstLine="0"/>
        <w:rPr>
          <w:color w:val="1B1C1D"/>
        </w:rPr>
      </w:pPr>
      <w:r>
        <w:rPr>
          <w:color w:val="1B1C1D"/>
          <w:rtl w:val="0"/>
        </w:rPr>
        <w:t xml:space="preserve">Halliday, J. (2020). Psychedelic marketing: Ethics, authenticity, and cultural appropriation. Journal of Marketing Ethics, 15(2), 112-128. </w:t>
      </w:r>
    </w:p>
    <w:p w14:paraId="000000CE">
      <w:pPr>
        <w:spacing w:before="240" w:after="240"/>
        <w:ind w:left="0" w:firstLine="0"/>
        <w:rPr>
          <w:color w:val="1B1C1D"/>
        </w:rPr>
      </w:pPr>
      <w:r>
        <w:rPr>
          <w:color w:val="1B1C1D"/>
          <w:rtl w:val="0"/>
        </w:rPr>
        <w:t xml:space="preserve">Hanegraaff, W. J. (2020). Psychedelics and wellness industries: Commercialization of consciousness. Contemporary Religion Review, 42(3), 205-222. </w:t>
      </w:r>
    </w:p>
    <w:p w14:paraId="000000CF">
      <w:pPr>
        <w:spacing w:before="240" w:after="240"/>
        <w:ind w:left="0" w:firstLine="0"/>
        <w:rPr>
          <w:color w:val="1B1C1D"/>
        </w:rPr>
      </w:pPr>
      <w:r>
        <w:rPr>
          <w:color w:val="1B1C1D"/>
          <w:rtl w:val="0"/>
        </w:rPr>
        <w:t xml:space="preserve">Hungara, A., &amp; Nobre, H. (2021). A consumer culture theory perspective of the marketplace: An integrative review and agenda for research. International Journal of Consumer Studies, 45(4), 805-823. https://doi.org/10.1111/ijcs.12670 </w:t>
      </w:r>
    </w:p>
    <w:p w14:paraId="000000D0">
      <w:pPr>
        <w:spacing w:before="240" w:after="240"/>
        <w:ind w:left="0" w:firstLine="0"/>
        <w:rPr>
          <w:color w:val="1B1C1D"/>
        </w:rPr>
      </w:pPr>
      <w:r>
        <w:rPr>
          <w:color w:val="1B1C1D"/>
          <w:rtl w:val="0"/>
        </w:rPr>
        <w:t xml:space="preserve">Kapoor, S., Chatterjee, S., &amp; Kumar, A. (2021). Ethical implications of AI and big data targeting: A systematic review. Journal of Digital Marketing Ethics, 8(1), 43-62. </w:t>
      </w:r>
    </w:p>
    <w:p w14:paraId="000000D1">
      <w:pPr>
        <w:spacing w:before="240" w:after="240"/>
        <w:ind w:left="0" w:firstLine="0"/>
        <w:rPr>
          <w:color w:val="1B1C1D"/>
        </w:rPr>
      </w:pPr>
      <w:r>
        <w:rPr>
          <w:color w:val="1B1C1D"/>
          <w:rtl w:val="0"/>
        </w:rPr>
        <w:t xml:space="preserve">Kozinets, R. V. (2010). Netnography: Doing ethnographic research online. SAGE Publications. </w:t>
      </w:r>
    </w:p>
    <w:p w14:paraId="000000D2">
      <w:pPr>
        <w:spacing w:before="240" w:after="240"/>
        <w:ind w:left="0" w:firstLine="0"/>
        <w:rPr>
          <w:color w:val="1B1C1D"/>
        </w:rPr>
      </w:pPr>
      <w:r>
        <w:rPr>
          <w:color w:val="1B1C1D"/>
          <w:rtl w:val="0"/>
        </w:rPr>
        <w:t>Kyne, D. (2021, March 23). Mixed methods is the most important research skillset of the 2020s. Retrieved from https://bootcamp.uxdesign.cc/mixed-methods-is-the-most-important-research-skillset-of-the-2020s-7085943e2f38</w:t>
      </w:r>
    </w:p>
    <w:p w14:paraId="000000D3">
      <w:pPr>
        <w:spacing w:before="240" w:after="240"/>
        <w:ind w:left="0" w:firstLine="0"/>
        <w:rPr>
          <w:color w:val="1B1C1D"/>
        </w:rPr>
      </w:pPr>
      <w:r>
        <w:rPr>
          <w:color w:val="1B1C1D"/>
          <w:rtl w:val="0"/>
        </w:rPr>
        <w:t xml:space="preserve">Lee, M. S. W., &amp; Capella, M. L. (2018). The diffusion of innovation in psychedelic wellness markets. Emerging Markets Journal, 8(2), 78-92. </w:t>
      </w:r>
    </w:p>
    <w:p w14:paraId="000000D4">
      <w:pPr>
        <w:spacing w:before="240" w:after="240"/>
        <w:ind w:left="0" w:firstLine="0"/>
        <w:rPr>
          <w:color w:val="1B1C1D"/>
        </w:rPr>
      </w:pPr>
      <w:r>
        <w:rPr>
          <w:color w:val="1B1C1D"/>
          <w:rtl w:val="0"/>
        </w:rPr>
        <w:t xml:space="preserve">Mitchell, J. M., Bogenschutz, M., Lilienstein, A., Harrison, C., Kleiman, S., Parker-Guilbert, K., ... &amp; Doblin, R. (2021). MDMA-assisted therapy for severe PTSD: A randomized, double-blind, placebo-controlled phase 3 study. Nature Medicine, 27(6), 1025-1033. https://doi.org/10.1038/s41591-021-01336-3 </w:t>
      </w:r>
    </w:p>
    <w:p w14:paraId="000000D5">
      <w:pPr>
        <w:spacing w:before="240" w:after="240"/>
        <w:ind w:left="0" w:firstLine="0"/>
        <w:rPr>
          <w:color w:val="1B1C1D"/>
        </w:rPr>
      </w:pPr>
      <w:r>
        <w:rPr>
          <w:color w:val="1B1C1D"/>
          <w:rtl w:val="0"/>
        </w:rPr>
        <w:t xml:space="preserve">Nichols, D. E. (2016). Psychedelics. Pharmacological Reviews, 68(2), 264-351. https://doi.org/10.1124/pr.115.011478 </w:t>
      </w:r>
    </w:p>
    <w:p w14:paraId="000000D6">
      <w:pPr>
        <w:spacing w:before="240" w:after="240"/>
        <w:ind w:left="0" w:firstLine="0"/>
        <w:rPr>
          <w:color w:val="1B1C1D"/>
        </w:rPr>
      </w:pPr>
      <w:r>
        <w:rPr>
          <w:color w:val="1B1C1D"/>
          <w:rtl w:val="0"/>
        </w:rPr>
        <w:t xml:space="preserve">Pollan, M. (2018). How to change your mind: What the new science of psychedelics teaches us about consciousness, dying, addiction, depression, and transcendence. Penguin Books. </w:t>
      </w:r>
    </w:p>
    <w:p w14:paraId="000000D7">
      <w:pPr>
        <w:spacing w:before="240" w:after="240"/>
        <w:ind w:left="0" w:firstLine="0"/>
        <w:rPr>
          <w:color w:val="1B1C1D"/>
        </w:rPr>
      </w:pPr>
      <w:r>
        <w:rPr>
          <w:color w:val="1B1C1D"/>
          <w:rtl w:val="0"/>
        </w:rPr>
        <w:t xml:space="preserve">Reiff, C. M., Shtasel, D. L., &amp; Shone, L. (2020). Psychedelics and the treatment of anxiety and depression. Journal of Clinical Psychiatry, 81(2), 20-30. </w:t>
      </w:r>
    </w:p>
    <w:p w14:paraId="000000D8">
      <w:pPr>
        <w:spacing w:before="240" w:after="240"/>
        <w:ind w:left="0" w:firstLine="0"/>
        <w:rPr>
          <w:color w:val="1B1C1D"/>
        </w:rPr>
      </w:pPr>
      <w:r>
        <w:rPr>
          <w:color w:val="1B1C1D"/>
          <w:rtl w:val="0"/>
        </w:rPr>
        <w:t xml:space="preserve">Saunders, M., Lewis, P., &amp; Thornhill, A. (2019). Research methods for business students (8th ed.). Pearson Education Limited. </w:t>
      </w:r>
    </w:p>
    <w:p w14:paraId="000000D9">
      <w:pPr>
        <w:spacing w:before="240" w:after="240"/>
        <w:ind w:left="0" w:firstLine="0"/>
        <w:rPr>
          <w:color w:val="1B1C1D"/>
        </w:rPr>
      </w:pPr>
      <w:r>
        <w:rPr>
          <w:color w:val="1B1C1D"/>
          <w:rtl w:val="0"/>
        </w:rPr>
        <w:t xml:space="preserve">Sessa, B. (2012). The history of psychedelic therapy. Psychiatric Quarterly, 83(2), 195-209. </w:t>
      </w:r>
    </w:p>
    <w:p w14:paraId="000000DA">
      <w:pPr>
        <w:spacing w:before="240" w:after="240"/>
        <w:ind w:left="0" w:firstLine="0"/>
        <w:rPr>
          <w:color w:val="1B1C1D"/>
        </w:rPr>
      </w:pPr>
      <w:r>
        <w:rPr>
          <w:color w:val="1B1C1D"/>
          <w:rtl w:val="0"/>
        </w:rPr>
        <w:t>Wells, R., &amp; Johnson, M. W. (2021). Marketing psychedelic wellness: Consumer perception and ethical challenges. Contemporary Marketing Review, 22(1), 56-74.</w:t>
      </w:r>
    </w:p>
    <w:p w14:paraId="000000DB"/>
    <w:p w14:paraId="000000DC"/>
    <w:p w14:paraId="000000DD"/>
    <w:p w14:paraId="000000DE"/>
    <w:p w14:paraId="000000DF"/>
    <w:p w14:paraId="000000E0"/>
    <w:p w14:paraId="000000E1"/>
    <w:p w14:paraId="000000E2"/>
    <w:p w14:paraId="000000E3"/>
    <w:p w14:paraId="000000E4"/>
    <w:p w14:paraId="000000E5"/>
    <w:p w14:paraId="000000E6"/>
    <w:p w14:paraId="000000E7"/>
    <w:p w14:paraId="000000E8"/>
    <w:p w14:paraId="000000E9"/>
    <w:p w14:paraId="000000EA"/>
    <w:p w14:paraId="000000EB"/>
    <w:p w14:paraId="000000EC"/>
    <w:p w14:paraId="000000ED"/>
    <w:p w14:paraId="000000EE"/>
    <w:p w14:paraId="000000EF"/>
    <w:p w14:paraId="000000F0"/>
    <w:p w14:paraId="000000F1"/>
    <w:p w14:paraId="000000F2"/>
    <w:p w14:paraId="000000F3"/>
    <w:p w14:paraId="000000F4"/>
    <w:p w14:paraId="000000F5"/>
    <w:p w14:paraId="000000F6"/>
    <w:p w14:paraId="000000F7"/>
    <w:p w14:paraId="000000F8"/>
    <w:p w14:paraId="000000F9"/>
    <w:p w14:paraId="000000FA"/>
    <w:p w14:paraId="000000FB"/>
    <w:p w14:paraId="000000FC"/>
    <w:p w14:paraId="000000FD"/>
    <w:p w14:paraId="000000FE"/>
    <w:p w14:paraId="000000FF"/>
    <w:p w14:paraId="00000100"/>
    <w:p w14:paraId="00000101"/>
    <w:p w14:paraId="00000102"/>
    <w:p w14:paraId="00000103"/>
    <w:p w14:paraId="00000104"/>
    <w:p w14:paraId="00000105"/>
    <w:p w14:paraId="00000106"/>
    <w:p w14:paraId="00000107"/>
    <w:p w14:paraId="00000108"/>
    <w:p w14:paraId="00000109"/>
    <w:p w14:paraId="0000010A"/>
    <w:p w14:paraId="56C73756"/>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67EB43"/>
    <w:multiLevelType w:val="multilevel"/>
    <w:tmpl w:val="8267EB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A9B9F0EC"/>
    <w:multiLevelType w:val="multilevel"/>
    <w:tmpl w:val="A9B9F0E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627567F7"/>
    <w:multiLevelType w:val="multilevel"/>
    <w:tmpl w:val="627567F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D278AA"/>
    <w:rsid w:val="46D27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paragraph" w:styleId="4">
    <w:name w:val="heading 4"/>
    <w:basedOn w:val="1"/>
    <w:next w:val="1"/>
    <w:qFormat/>
    <w:uiPriority w:val="0"/>
    <w:pPr>
      <w:keepNext/>
      <w:keepLines/>
      <w:pageBreakBefore w:val="0"/>
      <w:spacing w:before="280" w:after="80"/>
    </w:pPr>
    <w:rPr>
      <w:color w:val="666666"/>
      <w:sz w:val="24"/>
      <w:szCs w:val="24"/>
    </w:rPr>
  </w:style>
  <w:style w:type="paragraph" w:styleId="5">
    <w:name w:val="heading 5"/>
    <w:basedOn w:val="1"/>
    <w:next w:val="1"/>
    <w:qFormat/>
    <w:uiPriority w:val="0"/>
    <w:pPr>
      <w:keepNext/>
      <w:keepLines/>
      <w:pageBreakBefore w:val="0"/>
      <w:spacing w:before="240" w:after="80"/>
    </w:pPr>
    <w:rPr>
      <w:color w:val="666666"/>
      <w:sz w:val="22"/>
      <w:szCs w:val="22"/>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Title"/>
    <w:basedOn w:val="1"/>
    <w:next w:val="1"/>
    <w:qFormat/>
    <w:uiPriority w:val="0"/>
    <w:pPr>
      <w:keepNext/>
      <w:keepLines/>
      <w:pageBreakBefore w:val="0"/>
      <w:spacing w:before="0" w:after="60"/>
    </w:pPr>
    <w:rPr>
      <w:sz w:val="52"/>
      <w:szCs w:val="5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2025-12-01T17:51:00Z</dcterms:created>
  <dc:creator>RAHUL A</dc:creator>
  <cp:lastModifiedBy>RAHUL A</cp:lastModifiedBy>
  <dcterms:modified xsi:type="dcterms:W3CDTF">2025-12-01T17:58:20Z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FD3635EB734C47A6BC43248FB85C42F5_11</vt:lpwstr>
  </property>
</Properties>
</file>