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color w:val="2f5496"/>
        </w:rPr>
      </w:pPr>
      <w:r w:rsidDel="00000000" w:rsidR="00000000" w:rsidRPr="00000000">
        <w:rPr>
          <w:rtl w:val="0"/>
        </w:rPr>
      </w:r>
    </w:p>
    <w:p w:rsidR="00000000" w:rsidDel="00000000" w:rsidP="00000000" w:rsidRDefault="00000000" w:rsidRPr="00000000" w14:paraId="00000006">
      <w:pPr>
        <w:ind w:left="846" w:firstLine="0"/>
        <w:jc w:val="center"/>
        <w:rPr>
          <w:b w:val="1"/>
          <w:bCs w:val="1"/>
          <w:color w:val="0070c0"/>
          <w:sz w:val="48"/>
          <w:szCs w:val="48"/>
        </w:rPr>
      </w:pPr>
      <w:r w:rsidDel="00000000" w:rsidR="00000000" w:rsidRPr="00000000">
        <w:rPr>
          <w:b w:val="1"/>
          <w:bCs w:val="1"/>
          <w:color w:val="0070c0"/>
          <w:sz w:val="48"/>
          <w:szCs w:val="48"/>
          <w:rtl w:val="0"/>
        </w:rPr>
        <w:t xml:space="preserve">Optimising Digital Presence: A Secondary Case Study on SEO and Answer Engine Optimisation (AEO) Strategy for FENIXSAN LIMITED</w:t>
      </w:r>
    </w:p>
    <w:p w:rsidR="00000000" w:rsidDel="00000000" w:rsidP="00000000" w:rsidRDefault="00000000" w:rsidRPr="00000000" w14:paraId="00000007">
      <w:pPr>
        <w:jc w:val="center"/>
        <w:rPr>
          <w:b w:val="1"/>
          <w:bCs w:val="1"/>
          <w:sz w:val="48"/>
          <w:szCs w:val="48"/>
        </w:rPr>
      </w:pPr>
      <w:r w:rsidDel="00000000" w:rsidR="00000000" w:rsidRPr="00000000">
        <w:rPr>
          <w:b w:val="1"/>
          <w:bCs w:val="1"/>
          <w:sz w:val="48"/>
          <w:szCs w:val="48"/>
          <w:rtl w:val="0"/>
        </w:rPr>
        <w:br w:type="textWrapping"/>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color w:val="0070c0"/>
        </w:rPr>
      </w:pPr>
      <w:r w:rsidDel="00000000" w:rsidR="00000000" w:rsidRPr="00000000">
        <w:rPr>
          <w:b w:val="1"/>
          <w:bCs w:val="1"/>
          <w:color w:val="0070c0"/>
        </w:rPr>
        <w:drawing>
          <wp:inline distB="0" distT="0" distL="0" distR="0">
            <wp:extent cx="2833869" cy="1950204"/>
            <wp:effectExtent b="0" l="0" r="0" t="0"/>
            <wp:docPr descr="Coventry University - Digital Technology for Business MSc - Institute of  CodingInstitute of Coding" id="133" name="image2.png"/>
            <a:graphic>
              <a:graphicData uri="http://schemas.openxmlformats.org/drawingml/2006/picture">
                <pic:pic>
                  <pic:nvPicPr>
                    <pic:cNvPr descr="Coventry University - Digital Technology for Business MSc - Institute of  CodingInstitute of Coding" id="0" name="image2.png"/>
                    <pic:cNvPicPr preferRelativeResize="0"/>
                  </pic:nvPicPr>
                  <pic:blipFill>
                    <a:blip r:embed="rId7"/>
                    <a:srcRect b="0" l="0" r="0" t="0"/>
                    <a:stretch>
                      <a:fillRect/>
                    </a:stretch>
                  </pic:blipFill>
                  <pic:spPr>
                    <a:xfrm>
                      <a:off x="0" y="0"/>
                      <a:ext cx="2833869" cy="195020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b w:val="1"/>
          <w:bCs w:val="1"/>
          <w:color w:val="0070c0"/>
        </w:rPr>
      </w:pPr>
      <w:r w:rsidDel="00000000" w:rsidR="00000000" w:rsidRPr="00000000">
        <w:rPr>
          <w:rtl w:val="0"/>
        </w:rPr>
      </w:r>
    </w:p>
    <w:p w:rsidR="00000000" w:rsidDel="00000000" w:rsidP="00000000" w:rsidRDefault="00000000" w:rsidRPr="00000000" w14:paraId="0000000E">
      <w:pPr>
        <w:jc w:val="center"/>
        <w:rPr>
          <w:b w:val="1"/>
          <w:bCs w:val="1"/>
          <w:color w:val="0070c0"/>
          <w:sz w:val="28"/>
          <w:szCs w:val="28"/>
        </w:rPr>
      </w:pPr>
      <w:r w:rsidDel="00000000" w:rsidR="00000000" w:rsidRPr="00000000">
        <w:rPr>
          <w:b w:val="1"/>
          <w:bCs w:val="1"/>
          <w:color w:val="0070c0"/>
          <w:sz w:val="28"/>
          <w:szCs w:val="28"/>
          <w:rtl w:val="0"/>
        </w:rPr>
        <w:t xml:space="preserve">By</w:t>
      </w:r>
    </w:p>
    <w:p w:rsidR="00000000" w:rsidDel="00000000" w:rsidP="00000000" w:rsidRDefault="00000000" w:rsidRPr="00000000" w14:paraId="0000000F">
      <w:pPr>
        <w:jc w:val="center"/>
        <w:rPr>
          <w:b w:val="1"/>
          <w:bCs w:val="1"/>
          <w:color w:val="0070c0"/>
          <w:sz w:val="32"/>
          <w:szCs w:val="32"/>
          <w:highlight w:val="white"/>
        </w:rPr>
      </w:pPr>
      <w:r w:rsidDel="00000000" w:rsidR="00000000" w:rsidRPr="00000000">
        <w:rPr>
          <w:b w:val="1"/>
          <w:bCs w:val="1"/>
          <w:color w:val="0070c0"/>
          <w:sz w:val="32"/>
          <w:szCs w:val="32"/>
          <w:highlight w:val="white"/>
          <w:rtl w:val="0"/>
        </w:rPr>
        <w:t xml:space="preserve">RAHUL ASHOK THERAYIL</w:t>
      </w:r>
    </w:p>
    <w:p w:rsidR="00000000" w:rsidDel="00000000" w:rsidP="00000000" w:rsidRDefault="00000000" w:rsidRPr="00000000" w14:paraId="00000010">
      <w:pPr>
        <w:jc w:val="center"/>
        <w:rPr>
          <w:b w:val="1"/>
          <w:bCs w:val="1"/>
          <w:color w:val="0070c0"/>
          <w:sz w:val="28"/>
          <w:szCs w:val="28"/>
        </w:rPr>
      </w:pPr>
      <w:r w:rsidDel="00000000" w:rsidR="00000000" w:rsidRPr="00000000">
        <w:rPr>
          <w:rtl w:val="0"/>
        </w:rPr>
      </w:r>
    </w:p>
    <w:p w:rsidR="00000000" w:rsidDel="00000000" w:rsidP="00000000" w:rsidRDefault="00000000" w:rsidRPr="00000000" w14:paraId="00000011">
      <w:pPr>
        <w:jc w:val="center"/>
        <w:rPr>
          <w:b w:val="1"/>
          <w:bCs w:val="1"/>
          <w:color w:val="0070c0"/>
        </w:rPr>
      </w:pPr>
      <w:r w:rsidDel="00000000" w:rsidR="00000000" w:rsidRPr="00000000">
        <w:rPr>
          <w:rtl w:val="0"/>
        </w:rPr>
      </w:r>
    </w:p>
    <w:p w:rsidR="00000000" w:rsidDel="00000000" w:rsidP="00000000" w:rsidRDefault="00000000" w:rsidRPr="00000000" w14:paraId="00000012">
      <w:pPr>
        <w:jc w:val="center"/>
        <w:rPr>
          <w:color w:val="0070c0"/>
          <w:sz w:val="28"/>
          <w:szCs w:val="28"/>
          <w:highlight w:val="white"/>
        </w:rPr>
      </w:pPr>
      <w:r w:rsidDel="00000000" w:rsidR="00000000" w:rsidRPr="00000000">
        <w:rPr>
          <w:b w:val="1"/>
          <w:bCs w:val="1"/>
          <w:color w:val="0070c0"/>
          <w:sz w:val="28"/>
          <w:szCs w:val="28"/>
          <w:highlight w:val="white"/>
          <w:rtl w:val="0"/>
        </w:rPr>
        <w:t xml:space="preserve">November</w:t>
      </w:r>
      <w:r w:rsidDel="00000000" w:rsidR="00000000" w:rsidRPr="00000000">
        <w:rPr>
          <w:b w:val="1"/>
          <w:bCs w:val="1"/>
          <w:color w:val="0070c0"/>
          <w:sz w:val="28"/>
          <w:szCs w:val="28"/>
          <w:rtl w:val="0"/>
        </w:rPr>
        <w:t xml:space="preserve"> 202</w:t>
      </w:r>
      <w:r w:rsidDel="00000000" w:rsidR="00000000" w:rsidRPr="00000000">
        <w:rPr>
          <w:b w:val="1"/>
          <w:bCs w:val="1"/>
          <w:color w:val="0070c0"/>
          <w:sz w:val="28"/>
          <w:szCs w:val="28"/>
          <w:highlight w:val="white"/>
          <w:rtl w:val="0"/>
        </w:rPr>
        <w:t xml:space="preserve">5</w:t>
      </w:r>
      <w:r w:rsidDel="00000000" w:rsidR="00000000" w:rsidRPr="00000000">
        <w:rPr>
          <w:rtl w:val="0"/>
        </w:rPr>
      </w:r>
    </w:p>
    <w:p w:rsidR="00000000" w:rsidDel="00000000" w:rsidP="00000000" w:rsidRDefault="00000000" w:rsidRPr="00000000" w14:paraId="00000013">
      <w:pPr>
        <w:rPr>
          <w:color w:val="c00000"/>
        </w:rPr>
      </w:pPr>
      <w:r w:rsidDel="00000000" w:rsidR="00000000" w:rsidRPr="00000000">
        <w:rPr>
          <w:rtl w:val="0"/>
        </w:rPr>
      </w:r>
    </w:p>
    <w:p w:rsidR="00000000" w:rsidDel="00000000" w:rsidP="00000000" w:rsidRDefault="00000000" w:rsidRPr="00000000" w14:paraId="00000014">
      <w:pPr>
        <w:rPr>
          <w:color w:val="c00000"/>
        </w:rPr>
      </w:pPr>
      <w:r w:rsidDel="00000000" w:rsidR="00000000" w:rsidRPr="00000000">
        <w:rPr>
          <w:rtl w:val="0"/>
        </w:rPr>
      </w:r>
    </w:p>
    <w:p w:rsidR="00000000" w:rsidDel="00000000" w:rsidP="00000000" w:rsidRDefault="00000000" w:rsidRPr="00000000" w14:paraId="00000015">
      <w:pPr>
        <w:rPr>
          <w:color w:val="c00000"/>
        </w:rPr>
      </w:pPr>
      <w:r w:rsidDel="00000000" w:rsidR="00000000" w:rsidRPr="00000000">
        <w:rPr>
          <w:rtl w:val="0"/>
        </w:rPr>
      </w:r>
    </w:p>
    <w:p w:rsidR="00000000" w:rsidDel="00000000" w:rsidP="00000000" w:rsidRDefault="00000000" w:rsidRPr="00000000" w14:paraId="00000016">
      <w:pPr>
        <w:rPr>
          <w:color w:val="c00000"/>
        </w:rPr>
      </w:pPr>
      <w:r w:rsidDel="00000000" w:rsidR="00000000" w:rsidRPr="00000000">
        <w:rPr>
          <w:rtl w:val="0"/>
        </w:rPr>
      </w:r>
    </w:p>
    <w:p w:rsidR="00000000" w:rsidDel="00000000" w:rsidP="00000000" w:rsidRDefault="00000000" w:rsidRPr="00000000" w14:paraId="00000017">
      <w:pPr>
        <w:rPr>
          <w:color w:val="c00000"/>
        </w:rPr>
      </w:pPr>
      <w:r w:rsidDel="00000000" w:rsidR="00000000" w:rsidRPr="00000000">
        <w:rPr>
          <w:rtl w:val="0"/>
        </w:rPr>
      </w:r>
    </w:p>
    <w:p w:rsidR="00000000" w:rsidDel="00000000" w:rsidP="00000000" w:rsidRDefault="00000000" w:rsidRPr="00000000" w14:paraId="00000018">
      <w:pPr>
        <w:rPr>
          <w:color w:val="c00000"/>
        </w:rPr>
      </w:pPr>
      <w:r w:rsidDel="00000000" w:rsidR="00000000" w:rsidRPr="00000000">
        <w:rPr>
          <w:rtl w:val="0"/>
        </w:rPr>
      </w:r>
    </w:p>
    <w:p w:rsidR="00000000" w:rsidDel="00000000" w:rsidP="00000000" w:rsidRDefault="00000000" w:rsidRPr="00000000" w14:paraId="00000019">
      <w:pPr>
        <w:rPr>
          <w:color w:val="c00000"/>
        </w:rPr>
      </w:pPr>
      <w:r w:rsidDel="00000000" w:rsidR="00000000" w:rsidRPr="00000000">
        <w:rPr>
          <w:rtl w:val="0"/>
        </w:rPr>
      </w:r>
    </w:p>
    <w:p w:rsidR="00000000" w:rsidDel="00000000" w:rsidP="00000000" w:rsidRDefault="00000000" w:rsidRPr="00000000" w14:paraId="0000001A">
      <w:pPr>
        <w:rPr>
          <w:color w:val="c00000"/>
        </w:rPr>
      </w:pPr>
      <w:r w:rsidDel="00000000" w:rsidR="00000000" w:rsidRPr="00000000">
        <w:rPr>
          <w:rtl w:val="0"/>
        </w:rPr>
      </w:r>
    </w:p>
    <w:p w:rsidR="00000000" w:rsidDel="00000000" w:rsidP="00000000" w:rsidRDefault="00000000" w:rsidRPr="00000000" w14:paraId="0000001B">
      <w:pPr>
        <w:rPr>
          <w:color w:val="c00000"/>
        </w:rPr>
      </w:pPr>
      <w:r w:rsidDel="00000000" w:rsidR="00000000" w:rsidRPr="00000000">
        <w:rPr>
          <w:rtl w:val="0"/>
        </w:rPr>
      </w:r>
    </w:p>
    <w:p w:rsidR="00000000" w:rsidDel="00000000" w:rsidP="00000000" w:rsidRDefault="00000000" w:rsidRPr="00000000" w14:paraId="0000001C">
      <w:pPr>
        <w:rPr>
          <w:color w:val="c00000"/>
        </w:rPr>
      </w:pPr>
      <w:r w:rsidDel="00000000" w:rsidR="00000000" w:rsidRPr="00000000">
        <w:rPr>
          <w:rtl w:val="0"/>
        </w:rPr>
      </w:r>
    </w:p>
    <w:p w:rsidR="00000000" w:rsidDel="00000000" w:rsidP="00000000" w:rsidRDefault="00000000" w:rsidRPr="00000000" w14:paraId="0000001D">
      <w:pPr>
        <w:rPr>
          <w:color w:val="c00000"/>
        </w:rPr>
      </w:pPr>
      <w:r w:rsidDel="00000000" w:rsidR="00000000" w:rsidRPr="00000000">
        <w:rPr>
          <w:rtl w:val="0"/>
        </w:rPr>
      </w:r>
    </w:p>
    <w:p w:rsidR="00000000" w:rsidDel="00000000" w:rsidP="00000000" w:rsidRDefault="00000000" w:rsidRPr="00000000" w14:paraId="0000001E">
      <w:pPr>
        <w:rPr>
          <w:color w:val="c00000"/>
        </w:rPr>
      </w:pPr>
      <w:r w:rsidDel="00000000" w:rsidR="00000000" w:rsidRPr="00000000">
        <w:rPr>
          <w:rtl w:val="0"/>
        </w:rPr>
      </w:r>
    </w:p>
    <w:p w:rsidR="00000000" w:rsidDel="00000000" w:rsidP="00000000" w:rsidRDefault="00000000" w:rsidRPr="00000000" w14:paraId="0000001F">
      <w:pPr>
        <w:rPr>
          <w:color w:val="c00000"/>
        </w:rPr>
      </w:pPr>
      <w:r w:rsidDel="00000000" w:rsidR="00000000" w:rsidRPr="00000000">
        <w:rPr>
          <w:rtl w:val="0"/>
        </w:rPr>
      </w:r>
    </w:p>
    <w:p w:rsidR="00000000" w:rsidDel="00000000" w:rsidP="00000000" w:rsidRDefault="00000000" w:rsidRPr="00000000" w14:paraId="00000020">
      <w:pPr>
        <w:rPr>
          <w:color w:val="c00000"/>
        </w:rPr>
      </w:pPr>
      <w:r w:rsidDel="00000000" w:rsidR="00000000" w:rsidRPr="00000000">
        <w:rPr>
          <w:rtl w:val="0"/>
        </w:rPr>
      </w:r>
    </w:p>
    <w:p w:rsidR="00000000" w:rsidDel="00000000" w:rsidP="00000000" w:rsidRDefault="00000000" w:rsidRPr="00000000" w14:paraId="00000021">
      <w:pPr>
        <w:rPr>
          <w:color w:val="c00000"/>
        </w:rPr>
      </w:pPr>
      <w:r w:rsidDel="00000000" w:rsidR="00000000" w:rsidRPr="00000000">
        <w:rPr>
          <w:rtl w:val="0"/>
        </w:rPr>
      </w:r>
    </w:p>
    <w:p w:rsidR="00000000" w:rsidDel="00000000" w:rsidP="00000000" w:rsidRDefault="00000000" w:rsidRPr="00000000" w14:paraId="00000022">
      <w:pPr>
        <w:rPr>
          <w:color w:val="c00000"/>
        </w:rPr>
      </w:pPr>
      <w:r w:rsidDel="00000000" w:rsidR="00000000" w:rsidRPr="00000000">
        <w:rPr>
          <w:rtl w:val="0"/>
        </w:rPr>
      </w:r>
    </w:p>
    <w:p w:rsidR="00000000" w:rsidDel="00000000" w:rsidP="00000000" w:rsidRDefault="00000000" w:rsidRPr="00000000" w14:paraId="00000023">
      <w:pPr>
        <w:rPr>
          <w:color w:val="c00000"/>
        </w:rPr>
      </w:pPr>
      <w:r w:rsidDel="00000000" w:rsidR="00000000" w:rsidRPr="00000000">
        <w:rPr>
          <w:rtl w:val="0"/>
        </w:rPr>
      </w:r>
    </w:p>
    <w:p w:rsidR="00000000" w:rsidDel="00000000" w:rsidP="00000000" w:rsidRDefault="00000000" w:rsidRPr="00000000" w14:paraId="00000024">
      <w:pPr>
        <w:rPr>
          <w:color w:val="c00000"/>
        </w:rPr>
      </w:pPr>
      <w:r w:rsidDel="00000000" w:rsidR="00000000" w:rsidRPr="00000000">
        <w:rPr>
          <w:rtl w:val="0"/>
        </w:rPr>
      </w:r>
    </w:p>
    <w:p w:rsidR="00000000" w:rsidDel="00000000" w:rsidP="00000000" w:rsidRDefault="00000000" w:rsidRPr="00000000" w14:paraId="00000025">
      <w:pPr>
        <w:rPr>
          <w:color w:val="c00000"/>
        </w:rPr>
      </w:pPr>
      <w:r w:rsidDel="00000000" w:rsidR="00000000" w:rsidRPr="00000000">
        <w:rPr>
          <w:rtl w:val="0"/>
        </w:rPr>
      </w:r>
    </w:p>
    <w:p w:rsidR="00000000" w:rsidDel="00000000" w:rsidP="00000000" w:rsidRDefault="00000000" w:rsidRPr="00000000" w14:paraId="00000026">
      <w:pPr>
        <w:rPr>
          <w:color w:val="c00000"/>
        </w:rPr>
      </w:pPr>
      <w:r w:rsidDel="00000000" w:rsidR="00000000" w:rsidRPr="00000000">
        <w:rPr>
          <w:rtl w:val="0"/>
        </w:rPr>
      </w:r>
    </w:p>
    <w:p w:rsidR="00000000" w:rsidDel="00000000" w:rsidP="00000000" w:rsidRDefault="00000000" w:rsidRPr="00000000" w14:paraId="00000027">
      <w:pPr>
        <w:rPr>
          <w:color w:val="c00000"/>
        </w:rPr>
      </w:pPr>
      <w:r w:rsidDel="00000000" w:rsidR="00000000" w:rsidRPr="00000000">
        <w:rPr>
          <w:rtl w:val="0"/>
        </w:rPr>
      </w:r>
    </w:p>
    <w:p w:rsidR="00000000" w:rsidDel="00000000" w:rsidP="00000000" w:rsidRDefault="00000000" w:rsidRPr="00000000" w14:paraId="00000028">
      <w:pPr>
        <w:rPr>
          <w:color w:val="c00000"/>
        </w:rPr>
      </w:pPr>
      <w:r w:rsidDel="00000000" w:rsidR="00000000" w:rsidRPr="00000000">
        <w:rPr>
          <w:rtl w:val="0"/>
        </w:rPr>
      </w:r>
    </w:p>
    <w:p w:rsidR="00000000" w:rsidDel="00000000" w:rsidP="00000000" w:rsidRDefault="00000000" w:rsidRPr="00000000" w14:paraId="00000029">
      <w:pPr>
        <w:rPr>
          <w:color w:val="c00000"/>
        </w:rPr>
      </w:pPr>
      <w:r w:rsidDel="00000000" w:rsidR="00000000" w:rsidRPr="00000000">
        <w:rPr>
          <w:rtl w:val="0"/>
        </w:rPr>
      </w:r>
    </w:p>
    <w:p w:rsidR="00000000" w:rsidDel="00000000" w:rsidP="00000000" w:rsidRDefault="00000000" w:rsidRPr="00000000" w14:paraId="0000002A">
      <w:pPr>
        <w:rPr>
          <w:color w:val="c00000"/>
        </w:rPr>
      </w:pPr>
      <w:r w:rsidDel="00000000" w:rsidR="00000000" w:rsidRPr="00000000">
        <w:rPr>
          <w:rtl w:val="0"/>
        </w:rPr>
      </w:r>
    </w:p>
    <w:p w:rsidR="00000000" w:rsidDel="00000000" w:rsidP="00000000" w:rsidRDefault="00000000" w:rsidRPr="00000000" w14:paraId="0000002B">
      <w:pPr>
        <w:rPr>
          <w:color w:val="c00000"/>
        </w:rPr>
      </w:pPr>
      <w:r w:rsidDel="00000000" w:rsidR="00000000" w:rsidRPr="00000000">
        <w:rPr>
          <w:rtl w:val="0"/>
        </w:rPr>
      </w:r>
    </w:p>
    <w:p w:rsidR="00000000" w:rsidDel="00000000" w:rsidP="00000000" w:rsidRDefault="00000000" w:rsidRPr="00000000" w14:paraId="0000002C">
      <w:pPr>
        <w:rPr>
          <w:color w:val="c00000"/>
        </w:rPr>
      </w:pPr>
      <w:r w:rsidDel="00000000" w:rsidR="00000000" w:rsidRPr="00000000">
        <w:rPr>
          <w:rtl w:val="0"/>
        </w:rPr>
      </w:r>
    </w:p>
    <w:p w:rsidR="00000000" w:rsidDel="00000000" w:rsidP="00000000" w:rsidRDefault="00000000" w:rsidRPr="00000000" w14:paraId="0000002D">
      <w:pPr>
        <w:rPr>
          <w:color w:val="c00000"/>
        </w:rPr>
      </w:pPr>
      <w:r w:rsidDel="00000000" w:rsidR="00000000" w:rsidRPr="00000000">
        <w:rPr>
          <w:rtl w:val="0"/>
        </w:rPr>
      </w:r>
    </w:p>
    <w:p w:rsidR="00000000" w:rsidDel="00000000" w:rsidP="00000000" w:rsidRDefault="00000000" w:rsidRPr="00000000" w14:paraId="0000002E">
      <w:pPr>
        <w:rPr>
          <w:color w:val="c00000"/>
        </w:rPr>
      </w:pPr>
      <w:r w:rsidDel="00000000" w:rsidR="00000000" w:rsidRPr="00000000">
        <w:rPr>
          <w:rtl w:val="0"/>
        </w:rPr>
      </w:r>
    </w:p>
    <w:p w:rsidR="00000000" w:rsidDel="00000000" w:rsidP="00000000" w:rsidRDefault="00000000" w:rsidRPr="00000000" w14:paraId="0000002F">
      <w:pPr>
        <w:rPr>
          <w:color w:val="c00000"/>
        </w:rPr>
      </w:pPr>
      <w:r w:rsidDel="00000000" w:rsidR="00000000" w:rsidRPr="00000000">
        <w:rPr>
          <w:rtl w:val="0"/>
        </w:rPr>
      </w:r>
    </w:p>
    <w:p w:rsidR="00000000" w:rsidDel="00000000" w:rsidP="00000000" w:rsidRDefault="00000000" w:rsidRPr="00000000" w14:paraId="00000030">
      <w:pPr>
        <w:rPr>
          <w:color w:val="c00000"/>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b w:val="1"/>
          <w:bCs w:val="1"/>
          <w:i w:val="0"/>
          <w:iCs w:val="0"/>
          <w:color w:val="000000"/>
          <w:sz w:val="26"/>
          <w:szCs w:val="26"/>
          <w:highlight w:val="white"/>
          <w:rtl w:val="0"/>
        </w:rPr>
        <w:t xml:space="preserve">Abstract</w:t>
      </w:r>
      <w:r w:rsidDel="00000000" w:rsidR="00000000" w:rsidRPr="00000000">
        <w:rPr>
          <w:rtl w:val="0"/>
        </w:rPr>
      </w:r>
    </w:p>
    <w:p w:rsidR="00000000" w:rsidDel="00000000" w:rsidP="00000000" w:rsidRDefault="00000000" w:rsidRPr="00000000" w14:paraId="00000032">
      <w:pPr>
        <w:spacing w:after="240" w:before="240" w:lineRule="auto"/>
        <w:jc w:val="left"/>
        <w:rPr>
          <w:i w:val="0"/>
          <w:iCs w:val="0"/>
          <w:color w:val="000000"/>
          <w:sz w:val="26"/>
          <w:szCs w:val="26"/>
        </w:rPr>
      </w:pPr>
      <w:r w:rsidDel="00000000" w:rsidR="00000000" w:rsidRPr="00000000">
        <w:rPr>
          <w:i w:val="0"/>
          <w:iCs w:val="0"/>
          <w:color w:val="000000"/>
          <w:sz w:val="26"/>
          <w:szCs w:val="26"/>
          <w:rtl w:val="0"/>
        </w:rPr>
        <w:t xml:space="preserve">The digital landscape has changed dramatically in recent years, shaped by rapid progress in artificial intelligence and evolving patterns in how people search for information. Search engines and now AI-driven answer systems serve as the main gateways through which users discover and interpret online content. As a result, organisations must adopt more advanced strategies to ensure they remain visible in an increasingly competitive and algorithm-mediated environment. For emerging, innovation-led fields such as AgriTech and vertical farming, providing clear, trustworthy, and easily understandable online information is especially important. In this context, the dissertation explores how digital visibility can be strengthened through Search Engine Optimisation (SEO) and Answer Engine Optimisation (AEO), using FENIXSAN LIMITED as a case example within a fast-moving industry.</w:t>
      </w:r>
    </w:p>
    <w:p w:rsidR="00000000" w:rsidDel="00000000" w:rsidP="00000000" w:rsidRDefault="00000000" w:rsidRPr="00000000" w14:paraId="00000033">
      <w:pPr>
        <w:spacing w:after="240" w:before="240" w:lineRule="auto"/>
        <w:jc w:val="left"/>
        <w:rPr>
          <w:i w:val="0"/>
          <w:iCs w:val="0"/>
          <w:color w:val="000000"/>
          <w:sz w:val="26"/>
          <w:szCs w:val="26"/>
        </w:rPr>
      </w:pPr>
      <w:r w:rsidDel="00000000" w:rsidR="00000000" w:rsidRPr="00000000">
        <w:rPr>
          <w:i w:val="0"/>
          <w:iCs w:val="0"/>
          <w:color w:val="000000"/>
          <w:sz w:val="26"/>
          <w:szCs w:val="26"/>
          <w:rtl w:val="0"/>
        </w:rPr>
        <w:t xml:space="preserve">The study uses a qualitative secondary research approach, relying entirely on academic literature, industry reports, algorithmic guidelines, and publicly accessible online materials. Through documentary analysis and thematic synthesis, it examines the theoretical foundations of SEO and AEO, the mechanisms that shape online visibility, and the strategic digital requirements for organisations working in knowledge-intensive sectors. The review of publicly available digital documents including website structures, published content, and observable optimisation practices highlights several common gaps found in early-stage firms. These include weak semantic structuring, limited adaptation to zero-click search environments, inconsistent content organisation, and a lack of answer-focused formats essential for AEO.</w:t>
      </w:r>
    </w:p>
    <w:p w:rsidR="00000000" w:rsidDel="00000000" w:rsidP="00000000" w:rsidRDefault="00000000" w:rsidRPr="00000000" w14:paraId="00000034">
      <w:pPr>
        <w:spacing w:after="240" w:before="240" w:lineRule="auto"/>
        <w:jc w:val="left"/>
        <w:rPr>
          <w:i w:val="0"/>
          <w:iCs w:val="0"/>
          <w:color w:val="000000"/>
          <w:sz w:val="26"/>
          <w:szCs w:val="26"/>
        </w:rPr>
      </w:pPr>
      <w:r w:rsidDel="00000000" w:rsidR="00000000" w:rsidRPr="00000000">
        <w:rPr>
          <w:i w:val="0"/>
          <w:iCs w:val="0"/>
          <w:color w:val="000000"/>
          <w:sz w:val="26"/>
          <w:szCs w:val="26"/>
          <w:rtl w:val="0"/>
        </w:rPr>
        <w:t xml:space="preserve">The findings suggest that while technological innovation in vertical farming is advancing rapidly, digital communication strategies often fail to keep pace, which reduces the visibility and clarity of organisational expertise. The dissertation argues that traditional SEO on its own is no longer enough in a landscape increasingly shaped by featured snippets, voice interfaces, and AI-generated answers. To remain competitive, organisations need to integrate structured data, answer-oriented content models, and semantic optimisation to align with the expectations of modern search ecosystems. The study concludes with recommendations based on secondary evidence, emphasising the development of educational, well-structured, and user-centred digital content, supported by systematic optimisation processes that incorporate both SEO and AEO principles.</w:t>
      </w:r>
    </w:p>
    <w:p w:rsidR="00000000" w:rsidDel="00000000" w:rsidP="00000000" w:rsidRDefault="00000000" w:rsidRPr="00000000" w14:paraId="00000035">
      <w:pPr>
        <w:spacing w:after="240" w:before="240" w:lineRule="auto"/>
        <w:jc w:val="left"/>
        <w:rPr>
          <w:i w:val="0"/>
          <w:iCs w:val="0"/>
          <w:color w:val="000000"/>
          <w:sz w:val="26"/>
          <w:szCs w:val="26"/>
        </w:rPr>
      </w:pPr>
      <w:r w:rsidDel="00000000" w:rsidR="00000000" w:rsidRPr="00000000">
        <w:rPr>
          <w:rtl w:val="0"/>
        </w:rPr>
      </w:r>
    </w:p>
    <w:p w:rsidR="00000000" w:rsidDel="00000000" w:rsidP="00000000" w:rsidRDefault="00000000" w:rsidRPr="00000000" w14:paraId="00000036">
      <w:pPr>
        <w:spacing w:after="240" w:before="240" w:lineRule="auto"/>
        <w:jc w:val="left"/>
        <w:rPr>
          <w:i w:val="0"/>
          <w:iCs w:val="0"/>
          <w:color w:val="000000"/>
          <w:sz w:val="26"/>
          <w:szCs w:val="26"/>
        </w:rPr>
      </w:pPr>
      <w:r w:rsidDel="00000000" w:rsidR="00000000" w:rsidRPr="00000000">
        <w:rPr>
          <w:rtl w:val="0"/>
        </w:rPr>
      </w:r>
    </w:p>
    <w:p w:rsidR="00000000" w:rsidDel="00000000" w:rsidP="00000000" w:rsidRDefault="00000000" w:rsidRPr="00000000" w14:paraId="00000037">
      <w:pPr>
        <w:spacing w:after="240" w:before="240" w:lineRule="auto"/>
        <w:jc w:val="left"/>
        <w:rPr>
          <w:i w:val="0"/>
          <w:iCs w:val="0"/>
          <w:color w:val="00000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21"/>
          <w:szCs w:val="21"/>
        </w:rPr>
      </w:pPr>
      <w:r w:rsidDel="00000000" w:rsidR="00000000" w:rsidRPr="00000000">
        <w:rPr>
          <w:rtl w:val="0"/>
        </w:rPr>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spacing w:after="280" w:before="280" w:line="240" w:lineRule="auto"/>
        <w:jc w:val="left"/>
        <w:rPr/>
      </w:pPr>
      <w:r w:rsidDel="00000000" w:rsidR="00000000" w:rsidRPr="00000000">
        <w:rPr>
          <w:rtl w:val="0"/>
        </w:rPr>
      </w:r>
    </w:p>
    <w:p w:rsidR="00000000" w:rsidDel="00000000" w:rsidP="00000000" w:rsidRDefault="00000000" w:rsidRPr="00000000" w14:paraId="0000003C">
      <w:pPr>
        <w:rPr>
          <w:smallCaps w:val="1"/>
          <w:color w:val="0070c0"/>
          <w:sz w:val="48"/>
          <w:szCs w:val="48"/>
        </w:rPr>
      </w:pPr>
      <w:r w:rsidDel="00000000" w:rsidR="00000000" w:rsidRPr="00000000">
        <w:rPr>
          <w:rtl w:val="0"/>
        </w:rPr>
      </w:r>
    </w:p>
    <w:p w:rsidR="00000000" w:rsidDel="00000000" w:rsidP="00000000" w:rsidRDefault="00000000" w:rsidRPr="00000000" w14:paraId="0000003D">
      <w:pPr>
        <w:rPr>
          <w:smallCaps w:val="1"/>
          <w:color w:val="0070c0"/>
          <w:sz w:val="48"/>
          <w:szCs w:val="48"/>
        </w:rPr>
      </w:pPr>
      <w:r w:rsidDel="00000000" w:rsidR="00000000" w:rsidRPr="00000000">
        <w:rPr>
          <w:rtl w:val="0"/>
        </w:rPr>
      </w:r>
    </w:p>
    <w:p w:rsidR="00000000" w:rsidDel="00000000" w:rsidP="00000000" w:rsidRDefault="00000000" w:rsidRPr="00000000" w14:paraId="0000003E">
      <w:pPr>
        <w:rPr>
          <w:smallCaps w:val="1"/>
          <w:color w:val="0070c0"/>
          <w:sz w:val="48"/>
          <w:szCs w:val="48"/>
        </w:rPr>
      </w:pPr>
      <w:r w:rsidDel="00000000" w:rsidR="00000000" w:rsidRPr="00000000">
        <w:rPr>
          <w:rtl w:val="0"/>
        </w:rPr>
      </w:r>
    </w:p>
    <w:p w:rsidR="00000000" w:rsidDel="00000000" w:rsidP="00000000" w:rsidRDefault="00000000" w:rsidRPr="00000000" w14:paraId="0000003F">
      <w:pPr>
        <w:rPr>
          <w:smallCaps w:val="1"/>
          <w:color w:val="0070c0"/>
          <w:sz w:val="48"/>
          <w:szCs w:val="48"/>
        </w:rPr>
      </w:pPr>
      <w:r w:rsidDel="00000000" w:rsidR="00000000" w:rsidRPr="00000000">
        <w:rPr>
          <w:rtl w:val="0"/>
        </w:rPr>
      </w:r>
    </w:p>
    <w:p w:rsidR="00000000" w:rsidDel="00000000" w:rsidP="00000000" w:rsidRDefault="00000000" w:rsidRPr="00000000" w14:paraId="00000040">
      <w:pPr>
        <w:rPr>
          <w:smallCaps w:val="1"/>
          <w:color w:val="0070c0"/>
          <w:sz w:val="48"/>
          <w:szCs w:val="48"/>
        </w:rPr>
      </w:pPr>
      <w:r w:rsidDel="00000000" w:rsidR="00000000" w:rsidRPr="00000000">
        <w:rPr>
          <w:rtl w:val="0"/>
        </w:rPr>
      </w:r>
    </w:p>
    <w:p w:rsidR="00000000" w:rsidDel="00000000" w:rsidP="00000000" w:rsidRDefault="00000000" w:rsidRPr="00000000" w14:paraId="00000041">
      <w:pPr>
        <w:rPr>
          <w:smallCaps w:val="1"/>
          <w:color w:val="0070c0"/>
          <w:sz w:val="48"/>
          <w:szCs w:val="48"/>
        </w:rPr>
      </w:pPr>
      <w:r w:rsidDel="00000000" w:rsidR="00000000" w:rsidRPr="00000000">
        <w:rPr>
          <w:rtl w:val="0"/>
        </w:rPr>
      </w:r>
    </w:p>
    <w:p w:rsidR="00000000" w:rsidDel="00000000" w:rsidP="00000000" w:rsidRDefault="00000000" w:rsidRPr="00000000" w14:paraId="00000042">
      <w:pPr>
        <w:rPr>
          <w:smallCaps w:val="1"/>
          <w:color w:val="0070c0"/>
          <w:sz w:val="48"/>
          <w:szCs w:val="48"/>
        </w:rPr>
      </w:pPr>
      <w:r w:rsidDel="00000000" w:rsidR="00000000" w:rsidRPr="00000000">
        <w:rPr>
          <w:rtl w:val="0"/>
        </w:rPr>
      </w:r>
    </w:p>
    <w:p w:rsidR="00000000" w:rsidDel="00000000" w:rsidP="00000000" w:rsidRDefault="00000000" w:rsidRPr="00000000" w14:paraId="00000043">
      <w:pPr>
        <w:rPr>
          <w:smallCaps w:val="1"/>
          <w:color w:val="0070c0"/>
          <w:sz w:val="48"/>
          <w:szCs w:val="48"/>
        </w:rPr>
      </w:pPr>
      <w:r w:rsidDel="00000000" w:rsidR="00000000" w:rsidRPr="00000000">
        <w:rPr>
          <w:rtl w:val="0"/>
        </w:rPr>
      </w:r>
    </w:p>
    <w:p w:rsidR="00000000" w:rsidDel="00000000" w:rsidP="00000000" w:rsidRDefault="00000000" w:rsidRPr="00000000" w14:paraId="00000044">
      <w:pPr>
        <w:rPr>
          <w:smallCaps w:val="1"/>
          <w:color w:val="0070c0"/>
          <w:sz w:val="48"/>
          <w:szCs w:val="48"/>
        </w:rPr>
      </w:pPr>
      <w:r w:rsidDel="00000000" w:rsidR="00000000" w:rsidRPr="00000000">
        <w:rPr>
          <w:rtl w:val="0"/>
        </w:rPr>
      </w:r>
    </w:p>
    <w:p w:rsidR="00000000" w:rsidDel="00000000" w:rsidP="00000000" w:rsidRDefault="00000000" w:rsidRPr="00000000" w14:paraId="00000045">
      <w:pPr>
        <w:rPr>
          <w:i w:val="0"/>
          <w:iCs w:val="0"/>
          <w:smallCaps w:val="1"/>
          <w:color w:val="000000"/>
        </w:rPr>
      </w:pPr>
      <w:r w:rsidDel="00000000" w:rsidR="00000000" w:rsidRPr="00000000">
        <w:rPr>
          <w:rtl w:val="0"/>
        </w:rPr>
      </w:r>
    </w:p>
    <w:p w:rsidR="00000000" w:rsidDel="00000000" w:rsidP="00000000" w:rsidRDefault="00000000" w:rsidRPr="00000000" w14:paraId="00000046">
      <w:pPr>
        <w:rPr>
          <w:b w:val="1"/>
          <w:bCs w:val="1"/>
          <w:i w:val="0"/>
          <w:iCs w:val="0"/>
          <w:smallCaps w:val="1"/>
          <w:color w:val="000000"/>
        </w:rPr>
      </w:pPr>
      <w:r w:rsidDel="00000000" w:rsidR="00000000" w:rsidRPr="00000000">
        <w:rPr>
          <w:rtl w:val="0"/>
        </w:rPr>
      </w:r>
    </w:p>
    <w:p w:rsidR="00000000" w:rsidDel="00000000" w:rsidP="00000000" w:rsidRDefault="00000000" w:rsidRPr="00000000" w14:paraId="00000047">
      <w:pPr>
        <w:rPr>
          <w:b w:val="1"/>
          <w:bCs w:val="1"/>
          <w:i w:val="0"/>
          <w:iCs w:val="0"/>
          <w:smallCaps w:val="1"/>
          <w:color w:val="000000"/>
        </w:rPr>
      </w:pPr>
      <w:r w:rsidDel="00000000" w:rsidR="00000000" w:rsidRPr="00000000">
        <w:rPr>
          <w:rtl w:val="0"/>
        </w:rPr>
      </w:r>
    </w:p>
    <w:p w:rsidR="00000000" w:rsidDel="00000000" w:rsidP="00000000" w:rsidRDefault="00000000" w:rsidRPr="00000000" w14:paraId="00000048">
      <w:pPr>
        <w:rPr>
          <w:b w:val="1"/>
          <w:bCs w:val="1"/>
          <w:i w:val="0"/>
          <w:iCs w:val="0"/>
          <w:smallCaps w:val="1"/>
          <w:color w:val="000000"/>
        </w:rPr>
      </w:pPr>
      <w:r w:rsidDel="00000000" w:rsidR="00000000" w:rsidRPr="00000000">
        <w:rPr>
          <w:rtl w:val="0"/>
        </w:rPr>
      </w:r>
    </w:p>
    <w:p w:rsidR="00000000" w:rsidDel="00000000" w:rsidP="00000000" w:rsidRDefault="00000000" w:rsidRPr="00000000" w14:paraId="00000049">
      <w:pPr>
        <w:rPr>
          <w:b w:val="1"/>
          <w:bCs w:val="1"/>
          <w:i w:val="0"/>
          <w:iCs w:val="0"/>
          <w:smallCaps w:val="1"/>
          <w:color w:val="000000"/>
        </w:rPr>
      </w:pPr>
      <w:r w:rsidDel="00000000" w:rsidR="00000000" w:rsidRPr="00000000">
        <w:rPr>
          <w:b w:val="1"/>
          <w:bCs w:val="1"/>
          <w:i w:val="0"/>
          <w:iCs w:val="0"/>
          <w:smallCaps w:val="1"/>
          <w:color w:val="000000"/>
          <w:rtl w:val="0"/>
        </w:rPr>
        <w:t xml:space="preserve">TABLE OF CONTENTS</w:t>
      </w:r>
    </w:p>
    <w:p w:rsidR="00000000" w:rsidDel="00000000" w:rsidP="00000000" w:rsidRDefault="00000000" w:rsidRPr="00000000" w14:paraId="0000004A">
      <w:pPr>
        <w:spacing w:after="160" w:line="259" w:lineRule="auto"/>
        <w:jc w:val="left"/>
        <w:rPr/>
      </w:pPr>
      <w:r w:rsidDel="00000000" w:rsidR="00000000" w:rsidRPr="00000000">
        <w:rPr>
          <w:rtl w:val="0"/>
        </w:rPr>
      </w:r>
    </w:p>
    <w:p w:rsidR="00000000" w:rsidDel="00000000" w:rsidP="00000000" w:rsidRDefault="00000000" w:rsidRPr="00000000" w14:paraId="0000004B">
      <w:pPr>
        <w:numPr>
          <w:ilvl w:val="0"/>
          <w:numId w:val="24"/>
        </w:numPr>
        <w:spacing w:after="160" w:line="259" w:lineRule="auto"/>
        <w:ind w:left="720" w:hanging="360"/>
        <w:jc w:val="left"/>
        <w:rPr>
          <w:b w:val="1"/>
          <w:bCs w:val="1"/>
          <w:i w:val="0"/>
          <w:iCs w:val="0"/>
          <w:color w:val="000000"/>
          <w:u w:val="none"/>
        </w:rPr>
      </w:pPr>
      <w:r w:rsidDel="00000000" w:rsidR="00000000" w:rsidRPr="00000000">
        <w:rPr>
          <w:b w:val="1"/>
          <w:bCs w:val="1"/>
          <w:i w:val="0"/>
          <w:iCs w:val="0"/>
          <w:color w:val="000000"/>
          <w:rtl w:val="0"/>
        </w:rPr>
        <w:t xml:space="preserve">INTRODUCTION</w:t>
      </w:r>
      <w:r w:rsidDel="00000000" w:rsidR="00000000" w:rsidRPr="00000000">
        <w:rPr>
          <w:rtl w:val="0"/>
        </w:rPr>
      </w:r>
    </w:p>
    <w:p w:rsidR="00000000" w:rsidDel="00000000" w:rsidP="00000000" w:rsidRDefault="00000000" w:rsidRPr="00000000" w14:paraId="0000004C">
      <w:pPr>
        <w:spacing w:after="160" w:line="259" w:lineRule="auto"/>
        <w:ind w:left="1440" w:firstLine="0"/>
        <w:jc w:val="left"/>
        <w:rPr>
          <w:rFonts w:ascii="Roboto" w:cs="Roboto" w:eastAsia="Roboto" w:hAnsi="Roboto"/>
          <w:b w:val="1"/>
          <w:bCs w:val="1"/>
          <w:i w:val="0"/>
          <w:iCs w:val="0"/>
          <w:color w:val="000000"/>
        </w:rPr>
      </w:pPr>
      <w:r w:rsidDel="00000000" w:rsidR="00000000" w:rsidRPr="00000000">
        <w:rPr>
          <w:b w:val="1"/>
          <w:bCs w:val="1"/>
          <w:i w:val="0"/>
          <w:iCs w:val="0"/>
          <w:color w:val="000000"/>
          <w:rtl w:val="0"/>
        </w:rPr>
        <w:t xml:space="preserve">1.1) </w:t>
      </w:r>
      <w:r w:rsidDel="00000000" w:rsidR="00000000" w:rsidRPr="00000000">
        <w:rPr>
          <w:rFonts w:ascii="Roboto" w:cs="Roboto" w:eastAsia="Roboto" w:hAnsi="Roboto"/>
          <w:b w:val="1"/>
          <w:bCs w:val="1"/>
          <w:i w:val="0"/>
          <w:iCs w:val="0"/>
          <w:color w:val="000000"/>
          <w:rtl w:val="0"/>
        </w:rPr>
        <w:t xml:space="preserve">Background and Rationale</w:t>
      </w:r>
    </w:p>
    <w:p w:rsidR="00000000" w:rsidDel="00000000" w:rsidP="00000000" w:rsidRDefault="00000000" w:rsidRPr="00000000" w14:paraId="0000004D">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1.2) Research Aims and Objectives</w:t>
      </w:r>
    </w:p>
    <w:p w:rsidR="00000000" w:rsidDel="00000000" w:rsidP="00000000" w:rsidRDefault="00000000" w:rsidRPr="00000000" w14:paraId="0000004E">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1.3) Research Questions</w:t>
      </w:r>
    </w:p>
    <w:p w:rsidR="00000000" w:rsidDel="00000000" w:rsidP="00000000" w:rsidRDefault="00000000" w:rsidRPr="00000000" w14:paraId="0000004F">
      <w:pPr>
        <w:numPr>
          <w:ilvl w:val="0"/>
          <w:numId w:val="24"/>
        </w:numPr>
        <w:spacing w:after="160" w:line="259" w:lineRule="auto"/>
        <w:ind w:left="720" w:hanging="360"/>
        <w:jc w:val="left"/>
        <w:rPr>
          <w:rFonts w:ascii="Roboto" w:cs="Roboto" w:eastAsia="Roboto" w:hAnsi="Roboto"/>
          <w:b w:val="1"/>
          <w:bCs w:val="1"/>
          <w:i w:val="0"/>
          <w:iCs w:val="0"/>
          <w:color w:val="000000"/>
          <w:u w:val="none"/>
        </w:rPr>
      </w:pPr>
      <w:r w:rsidDel="00000000" w:rsidR="00000000" w:rsidRPr="00000000">
        <w:rPr>
          <w:rFonts w:ascii="Roboto" w:cs="Roboto" w:eastAsia="Roboto" w:hAnsi="Roboto"/>
          <w:b w:val="1"/>
          <w:bCs w:val="1"/>
          <w:i w:val="0"/>
          <w:iCs w:val="0"/>
          <w:color w:val="000000"/>
          <w:rtl w:val="0"/>
        </w:rPr>
        <w:t xml:space="preserve">LITERATURE REVIEW</w:t>
      </w:r>
      <w:r w:rsidDel="00000000" w:rsidR="00000000" w:rsidRPr="00000000">
        <w:rPr>
          <w:rtl w:val="0"/>
        </w:rPr>
      </w:r>
    </w:p>
    <w:p w:rsidR="00000000" w:rsidDel="00000000" w:rsidP="00000000" w:rsidRDefault="00000000" w:rsidRPr="00000000" w14:paraId="00000050">
      <w:pPr>
        <w:spacing w:after="160" w:line="259" w:lineRule="auto"/>
        <w:ind w:left="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ab/>
        <w:tab/>
        <w:t xml:space="preserve">2.1) Introduction</w:t>
      </w:r>
    </w:p>
    <w:p w:rsidR="00000000" w:rsidDel="00000000" w:rsidP="00000000" w:rsidRDefault="00000000" w:rsidRPr="00000000" w14:paraId="00000051">
      <w:pPr>
        <w:spacing w:after="160" w:line="259" w:lineRule="auto"/>
        <w:ind w:left="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ab/>
        <w:tab/>
        <w:t xml:space="preserve">2.2) Digital Marketing and Online Visibility</w:t>
      </w:r>
    </w:p>
    <w:p w:rsidR="00000000" w:rsidDel="00000000" w:rsidP="00000000" w:rsidRDefault="00000000" w:rsidRPr="00000000" w14:paraId="00000052">
      <w:pPr>
        <w:spacing w:after="160" w:line="259" w:lineRule="auto"/>
        <w:ind w:left="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ab/>
        <w:tab/>
        <w:t xml:space="preserve">2.3) Search Engine Optimization (SEO)</w:t>
      </w:r>
    </w:p>
    <w:p w:rsidR="00000000" w:rsidDel="00000000" w:rsidP="00000000" w:rsidRDefault="00000000" w:rsidRPr="00000000" w14:paraId="00000053">
      <w:pPr>
        <w:spacing w:after="160" w:line="259" w:lineRule="auto"/>
        <w:ind w:left="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ab/>
        <w:tab/>
        <w:t xml:space="preserve">2.4) Answer Engine Optimization (AEO)</w:t>
      </w:r>
    </w:p>
    <w:p w:rsidR="00000000" w:rsidDel="00000000" w:rsidP="00000000" w:rsidRDefault="00000000" w:rsidRPr="00000000" w14:paraId="00000054">
      <w:pPr>
        <w:spacing w:after="160" w:line="259" w:lineRule="auto"/>
        <w:ind w:left="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ab/>
        <w:tab/>
        <w:t xml:space="preserve">2.5) Content Strategy in Knowledge-Intensive Sectors</w:t>
      </w:r>
    </w:p>
    <w:p w:rsidR="00000000" w:rsidDel="00000000" w:rsidP="00000000" w:rsidRDefault="00000000" w:rsidRPr="00000000" w14:paraId="00000055">
      <w:pPr>
        <w:spacing w:after="160" w:line="259" w:lineRule="auto"/>
        <w:ind w:left="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ab/>
        <w:tab/>
        <w:t xml:space="preserve">2.6) AgriTech Sector Digital Marketing Challenges</w:t>
      </w:r>
    </w:p>
    <w:p w:rsidR="00000000" w:rsidDel="00000000" w:rsidP="00000000" w:rsidRDefault="00000000" w:rsidRPr="00000000" w14:paraId="00000056">
      <w:pPr>
        <w:spacing w:after="160" w:line="259" w:lineRule="auto"/>
        <w:ind w:left="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ab/>
        <w:tab/>
        <w:t xml:space="preserve">2.7) Conclusion</w:t>
      </w:r>
    </w:p>
    <w:p w:rsidR="00000000" w:rsidDel="00000000" w:rsidP="00000000" w:rsidRDefault="00000000" w:rsidRPr="00000000" w14:paraId="00000057">
      <w:pPr>
        <w:numPr>
          <w:ilvl w:val="0"/>
          <w:numId w:val="24"/>
        </w:numPr>
        <w:spacing w:after="160" w:line="259" w:lineRule="auto"/>
        <w:ind w:left="720" w:hanging="360"/>
        <w:jc w:val="left"/>
        <w:rPr>
          <w:rFonts w:ascii="Roboto" w:cs="Roboto" w:eastAsia="Roboto" w:hAnsi="Roboto"/>
          <w:b w:val="1"/>
          <w:bCs w:val="1"/>
          <w:i w:val="0"/>
          <w:iCs w:val="0"/>
          <w:color w:val="000000"/>
          <w:u w:val="none"/>
        </w:rPr>
      </w:pPr>
      <w:r w:rsidDel="00000000" w:rsidR="00000000" w:rsidRPr="00000000">
        <w:rPr>
          <w:rFonts w:ascii="Roboto" w:cs="Roboto" w:eastAsia="Roboto" w:hAnsi="Roboto"/>
          <w:b w:val="1"/>
          <w:bCs w:val="1"/>
          <w:i w:val="0"/>
          <w:iCs w:val="0"/>
          <w:color w:val="000000"/>
          <w:rtl w:val="0"/>
        </w:rPr>
        <w:t xml:space="preserve">METHODOLOGY</w:t>
      </w:r>
    </w:p>
    <w:p w:rsidR="00000000" w:rsidDel="00000000" w:rsidP="00000000" w:rsidRDefault="00000000" w:rsidRPr="00000000" w14:paraId="00000058">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3.1) Research Philosophy and Paradigm</w:t>
      </w:r>
    </w:p>
    <w:p w:rsidR="00000000" w:rsidDel="00000000" w:rsidP="00000000" w:rsidRDefault="00000000" w:rsidRPr="00000000" w14:paraId="00000059">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3.2) Research Approach</w:t>
      </w:r>
    </w:p>
    <w:p w:rsidR="00000000" w:rsidDel="00000000" w:rsidP="00000000" w:rsidRDefault="00000000" w:rsidRPr="00000000" w14:paraId="0000005A">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3.3) Research Design</w:t>
      </w:r>
    </w:p>
    <w:p w:rsidR="00000000" w:rsidDel="00000000" w:rsidP="00000000" w:rsidRDefault="00000000" w:rsidRPr="00000000" w14:paraId="0000005B">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3.3.1) </w:t>
      </w:r>
      <w:r w:rsidDel="00000000" w:rsidR="00000000" w:rsidRPr="00000000">
        <w:rPr>
          <w:b w:val="1"/>
          <w:bCs w:val="1"/>
          <w:i w:val="0"/>
          <w:iCs w:val="0"/>
          <w:color w:val="000000"/>
          <w:sz w:val="26"/>
          <w:szCs w:val="26"/>
          <w:rtl w:val="0"/>
        </w:rPr>
        <w:t xml:space="preserve">Documentary Research</w:t>
      </w:r>
      <w:r w:rsidDel="00000000" w:rsidR="00000000" w:rsidRPr="00000000">
        <w:rPr>
          <w:rtl w:val="0"/>
        </w:rPr>
      </w:r>
    </w:p>
    <w:p w:rsidR="00000000" w:rsidDel="00000000" w:rsidP="00000000" w:rsidRDefault="00000000" w:rsidRPr="00000000" w14:paraId="0000005C">
      <w:pPr>
        <w:spacing w:after="160" w:line="259" w:lineRule="auto"/>
        <w:ind w:left="1440" w:firstLine="720"/>
        <w:jc w:val="left"/>
        <w:rPr>
          <w:b w:val="1"/>
          <w:bCs w:val="1"/>
          <w:i w:val="0"/>
          <w:iCs w:val="0"/>
          <w:color w:val="000000"/>
          <w:sz w:val="26"/>
          <w:szCs w:val="26"/>
        </w:rPr>
      </w:pPr>
      <w:r w:rsidDel="00000000" w:rsidR="00000000" w:rsidRPr="00000000">
        <w:rPr>
          <w:rFonts w:ascii="Roboto" w:cs="Roboto" w:eastAsia="Roboto" w:hAnsi="Roboto"/>
          <w:b w:val="1"/>
          <w:bCs w:val="1"/>
          <w:i w:val="0"/>
          <w:iCs w:val="0"/>
          <w:color w:val="000000"/>
          <w:rtl w:val="0"/>
        </w:rPr>
        <w:t xml:space="preserve">3.4.2) </w:t>
      </w:r>
      <w:r w:rsidDel="00000000" w:rsidR="00000000" w:rsidRPr="00000000">
        <w:rPr>
          <w:b w:val="1"/>
          <w:bCs w:val="1"/>
          <w:i w:val="0"/>
          <w:iCs w:val="0"/>
          <w:color w:val="000000"/>
          <w:sz w:val="26"/>
          <w:szCs w:val="26"/>
          <w:rtl w:val="0"/>
        </w:rPr>
        <w:t xml:space="preserve">Narrative Synthesis of Academic Literature</w:t>
      </w:r>
    </w:p>
    <w:p w:rsidR="00000000" w:rsidDel="00000000" w:rsidP="00000000" w:rsidRDefault="00000000" w:rsidRPr="00000000" w14:paraId="0000005D">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3.4.3) </w:t>
      </w:r>
      <w:r w:rsidDel="00000000" w:rsidR="00000000" w:rsidRPr="00000000">
        <w:rPr>
          <w:b w:val="1"/>
          <w:bCs w:val="1"/>
          <w:i w:val="0"/>
          <w:iCs w:val="0"/>
          <w:color w:val="000000"/>
          <w:sz w:val="26"/>
          <w:szCs w:val="26"/>
          <w:rtl w:val="0"/>
        </w:rPr>
        <w:t xml:space="preserve">Comparative Conceptual Analysis</w:t>
      </w:r>
      <w:r w:rsidDel="00000000" w:rsidR="00000000" w:rsidRPr="00000000">
        <w:rPr>
          <w:rtl w:val="0"/>
        </w:rPr>
      </w:r>
    </w:p>
    <w:p w:rsidR="00000000" w:rsidDel="00000000" w:rsidP="00000000" w:rsidRDefault="00000000" w:rsidRPr="00000000" w14:paraId="0000005E">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3.4) Data Collection</w:t>
      </w:r>
    </w:p>
    <w:p w:rsidR="00000000" w:rsidDel="00000000" w:rsidP="00000000" w:rsidRDefault="00000000" w:rsidRPr="00000000" w14:paraId="0000005F">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3.4.1) </w:t>
      </w:r>
      <w:r w:rsidDel="00000000" w:rsidR="00000000" w:rsidRPr="00000000">
        <w:rPr>
          <w:b w:val="1"/>
          <w:bCs w:val="1"/>
          <w:i w:val="0"/>
          <w:iCs w:val="0"/>
          <w:color w:val="000000"/>
          <w:sz w:val="26"/>
          <w:szCs w:val="26"/>
          <w:rtl w:val="0"/>
        </w:rPr>
        <w:t xml:space="preserve">Use of Secondary Data</w:t>
      </w:r>
      <w:r w:rsidDel="00000000" w:rsidR="00000000" w:rsidRPr="00000000">
        <w:rPr>
          <w:rtl w:val="0"/>
        </w:rPr>
      </w:r>
    </w:p>
    <w:p w:rsidR="00000000" w:rsidDel="00000000" w:rsidP="00000000" w:rsidRDefault="00000000" w:rsidRPr="00000000" w14:paraId="00000060">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3.4.2) </w:t>
      </w:r>
      <w:r w:rsidDel="00000000" w:rsidR="00000000" w:rsidRPr="00000000">
        <w:rPr>
          <w:b w:val="1"/>
          <w:bCs w:val="1"/>
          <w:i w:val="0"/>
          <w:iCs w:val="0"/>
          <w:color w:val="000000"/>
          <w:sz w:val="26"/>
          <w:szCs w:val="26"/>
          <w:rtl w:val="0"/>
        </w:rPr>
        <w:t xml:space="preserve">Search Strategy and Databases</w:t>
      </w:r>
      <w:r w:rsidDel="00000000" w:rsidR="00000000" w:rsidRPr="00000000">
        <w:rPr>
          <w:rtl w:val="0"/>
        </w:rPr>
      </w:r>
    </w:p>
    <w:p w:rsidR="00000000" w:rsidDel="00000000" w:rsidP="00000000" w:rsidRDefault="00000000" w:rsidRPr="00000000" w14:paraId="00000061">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3.5.3) </w:t>
      </w:r>
      <w:r w:rsidDel="00000000" w:rsidR="00000000" w:rsidRPr="00000000">
        <w:rPr>
          <w:b w:val="1"/>
          <w:bCs w:val="1"/>
          <w:i w:val="0"/>
          <w:iCs w:val="0"/>
          <w:color w:val="000000"/>
          <w:sz w:val="26"/>
          <w:szCs w:val="26"/>
          <w:rtl w:val="0"/>
        </w:rPr>
        <w:t xml:space="preserve">Inclusion and Exclusion Criteria</w:t>
      </w:r>
      <w:r w:rsidDel="00000000" w:rsidR="00000000" w:rsidRPr="00000000">
        <w:rPr>
          <w:rtl w:val="0"/>
        </w:rPr>
      </w:r>
    </w:p>
    <w:p w:rsidR="00000000" w:rsidDel="00000000" w:rsidP="00000000" w:rsidRDefault="00000000" w:rsidRPr="00000000" w14:paraId="00000062">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3.5) </w:t>
      </w:r>
      <w:r w:rsidDel="00000000" w:rsidR="00000000" w:rsidRPr="00000000">
        <w:rPr>
          <w:b w:val="1"/>
          <w:bCs w:val="1"/>
          <w:i w:val="0"/>
          <w:iCs w:val="0"/>
          <w:color w:val="000000"/>
          <w:sz w:val="26"/>
          <w:szCs w:val="26"/>
          <w:rtl w:val="0"/>
        </w:rPr>
        <w:t xml:space="preserve">Data Sampling</w:t>
      </w:r>
      <w:r w:rsidDel="00000000" w:rsidR="00000000" w:rsidRPr="00000000">
        <w:rPr>
          <w:rFonts w:ascii="Roboto" w:cs="Roboto" w:eastAsia="Roboto" w:hAnsi="Roboto"/>
          <w:b w:val="1"/>
          <w:bCs w:val="1"/>
          <w:i w:val="0"/>
          <w:iCs w:val="0"/>
          <w:color w:val="000000"/>
          <w:rtl w:val="0"/>
        </w:rPr>
        <w:t xml:space="preserve"> </w:t>
      </w:r>
    </w:p>
    <w:p w:rsidR="00000000" w:rsidDel="00000000" w:rsidP="00000000" w:rsidRDefault="00000000" w:rsidRPr="00000000" w14:paraId="00000063">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3.6) </w:t>
      </w:r>
      <w:r w:rsidDel="00000000" w:rsidR="00000000" w:rsidRPr="00000000">
        <w:rPr>
          <w:b w:val="1"/>
          <w:bCs w:val="1"/>
          <w:i w:val="0"/>
          <w:iCs w:val="0"/>
          <w:color w:val="000000"/>
          <w:sz w:val="26"/>
          <w:szCs w:val="26"/>
          <w:rtl w:val="0"/>
        </w:rPr>
        <w:t xml:space="preserve">Data Analysis</w:t>
      </w:r>
      <w:r w:rsidDel="00000000" w:rsidR="00000000" w:rsidRPr="00000000">
        <w:rPr>
          <w:rtl w:val="0"/>
        </w:rPr>
      </w:r>
    </w:p>
    <w:p w:rsidR="00000000" w:rsidDel="00000000" w:rsidP="00000000" w:rsidRDefault="00000000" w:rsidRPr="00000000" w14:paraId="00000064">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3.6.1) </w:t>
      </w:r>
      <w:r w:rsidDel="00000000" w:rsidR="00000000" w:rsidRPr="00000000">
        <w:rPr>
          <w:b w:val="1"/>
          <w:bCs w:val="1"/>
          <w:i w:val="0"/>
          <w:iCs w:val="0"/>
          <w:color w:val="000000"/>
          <w:sz w:val="26"/>
          <w:szCs w:val="26"/>
          <w:rtl w:val="0"/>
        </w:rPr>
        <w:t xml:space="preserve">Thematic Analysis</w:t>
      </w:r>
      <w:r w:rsidDel="00000000" w:rsidR="00000000" w:rsidRPr="00000000">
        <w:rPr>
          <w:rtl w:val="0"/>
        </w:rPr>
      </w:r>
    </w:p>
    <w:p w:rsidR="00000000" w:rsidDel="00000000" w:rsidP="00000000" w:rsidRDefault="00000000" w:rsidRPr="00000000" w14:paraId="00000065">
      <w:pPr>
        <w:spacing w:after="160" w:line="259" w:lineRule="auto"/>
        <w:ind w:left="1440" w:firstLine="720"/>
        <w:jc w:val="left"/>
        <w:rPr>
          <w:b w:val="1"/>
          <w:bCs w:val="1"/>
          <w:i w:val="0"/>
          <w:iCs w:val="0"/>
          <w:color w:val="000000"/>
          <w:sz w:val="26"/>
          <w:szCs w:val="26"/>
        </w:rPr>
      </w:pPr>
      <w:r w:rsidDel="00000000" w:rsidR="00000000" w:rsidRPr="00000000">
        <w:rPr>
          <w:rFonts w:ascii="Roboto" w:cs="Roboto" w:eastAsia="Roboto" w:hAnsi="Roboto"/>
          <w:b w:val="1"/>
          <w:bCs w:val="1"/>
          <w:i w:val="0"/>
          <w:iCs w:val="0"/>
          <w:color w:val="000000"/>
          <w:rtl w:val="0"/>
        </w:rPr>
        <w:t xml:space="preserve">3.6.2) </w:t>
      </w:r>
      <w:r w:rsidDel="00000000" w:rsidR="00000000" w:rsidRPr="00000000">
        <w:rPr>
          <w:b w:val="1"/>
          <w:bCs w:val="1"/>
          <w:i w:val="0"/>
          <w:iCs w:val="0"/>
          <w:color w:val="000000"/>
          <w:sz w:val="26"/>
          <w:szCs w:val="26"/>
          <w:rtl w:val="0"/>
        </w:rPr>
        <w:t xml:space="preserve">Documentary Analysis</w:t>
      </w:r>
    </w:p>
    <w:p w:rsidR="00000000" w:rsidDel="00000000" w:rsidP="00000000" w:rsidRDefault="00000000" w:rsidRPr="00000000" w14:paraId="00000066">
      <w:pPr>
        <w:spacing w:after="160" w:line="259" w:lineRule="auto"/>
        <w:ind w:left="1440" w:firstLine="720"/>
        <w:jc w:val="left"/>
        <w:rPr>
          <w:b w:val="1"/>
          <w:bCs w:val="1"/>
          <w:i w:val="0"/>
          <w:iCs w:val="0"/>
          <w:color w:val="000000"/>
          <w:sz w:val="26"/>
          <w:szCs w:val="26"/>
        </w:rPr>
      </w:pPr>
      <w:r w:rsidDel="00000000" w:rsidR="00000000" w:rsidRPr="00000000">
        <w:rPr>
          <w:b w:val="1"/>
          <w:bCs w:val="1"/>
          <w:i w:val="0"/>
          <w:iCs w:val="0"/>
          <w:color w:val="000000"/>
          <w:sz w:val="26"/>
          <w:szCs w:val="26"/>
          <w:rtl w:val="0"/>
        </w:rPr>
        <w:t xml:space="preserve">3.6.3) Comparative Framework Analysis</w:t>
      </w:r>
    </w:p>
    <w:p w:rsidR="00000000" w:rsidDel="00000000" w:rsidP="00000000" w:rsidRDefault="00000000" w:rsidRPr="00000000" w14:paraId="00000067">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3.7) </w:t>
      </w:r>
      <w:r w:rsidDel="00000000" w:rsidR="00000000" w:rsidRPr="00000000">
        <w:rPr>
          <w:b w:val="1"/>
          <w:bCs w:val="1"/>
          <w:i w:val="0"/>
          <w:iCs w:val="0"/>
          <w:color w:val="000000"/>
          <w:sz w:val="26"/>
          <w:szCs w:val="26"/>
          <w:rtl w:val="0"/>
        </w:rPr>
        <w:t xml:space="preserve">Reliability, Validity, and Trustworthiness</w:t>
      </w:r>
      <w:r w:rsidDel="00000000" w:rsidR="00000000" w:rsidRPr="00000000">
        <w:rPr>
          <w:rtl w:val="0"/>
        </w:rPr>
      </w:r>
    </w:p>
    <w:p w:rsidR="00000000" w:rsidDel="00000000" w:rsidP="00000000" w:rsidRDefault="00000000" w:rsidRPr="00000000" w14:paraId="00000068">
      <w:pPr>
        <w:spacing w:after="160" w:line="259" w:lineRule="auto"/>
        <w:ind w:left="1440" w:firstLine="0"/>
        <w:jc w:val="left"/>
        <w:rPr>
          <w:b w:val="1"/>
          <w:bCs w:val="1"/>
          <w:i w:val="0"/>
          <w:iCs w:val="0"/>
          <w:color w:val="000000"/>
          <w:sz w:val="26"/>
          <w:szCs w:val="26"/>
        </w:rPr>
      </w:pPr>
      <w:r w:rsidDel="00000000" w:rsidR="00000000" w:rsidRPr="00000000">
        <w:rPr>
          <w:rFonts w:ascii="Roboto" w:cs="Roboto" w:eastAsia="Roboto" w:hAnsi="Roboto"/>
          <w:b w:val="1"/>
          <w:bCs w:val="1"/>
          <w:i w:val="0"/>
          <w:iCs w:val="0"/>
          <w:color w:val="000000"/>
          <w:rtl w:val="0"/>
        </w:rPr>
        <w:t xml:space="preserve">3.8) </w:t>
      </w:r>
      <w:r w:rsidDel="00000000" w:rsidR="00000000" w:rsidRPr="00000000">
        <w:rPr>
          <w:b w:val="1"/>
          <w:bCs w:val="1"/>
          <w:i w:val="0"/>
          <w:iCs w:val="0"/>
          <w:color w:val="000000"/>
          <w:sz w:val="26"/>
          <w:szCs w:val="26"/>
          <w:rtl w:val="0"/>
        </w:rPr>
        <w:t xml:space="preserve">Ethical Considerations</w:t>
      </w:r>
    </w:p>
    <w:p w:rsidR="00000000" w:rsidDel="00000000" w:rsidP="00000000" w:rsidRDefault="00000000" w:rsidRPr="00000000" w14:paraId="00000069">
      <w:pPr>
        <w:spacing w:after="160" w:line="259" w:lineRule="auto"/>
        <w:ind w:left="1440" w:firstLine="0"/>
        <w:jc w:val="left"/>
        <w:rPr>
          <w:b w:val="1"/>
          <w:bCs w:val="1"/>
          <w:i w:val="0"/>
          <w:iCs w:val="0"/>
          <w:color w:val="000000"/>
          <w:sz w:val="26"/>
          <w:szCs w:val="26"/>
        </w:rPr>
      </w:pPr>
      <w:r w:rsidDel="00000000" w:rsidR="00000000" w:rsidRPr="00000000">
        <w:rPr>
          <w:b w:val="1"/>
          <w:bCs w:val="1"/>
          <w:i w:val="0"/>
          <w:iCs w:val="0"/>
          <w:color w:val="000000"/>
          <w:sz w:val="26"/>
          <w:szCs w:val="26"/>
          <w:rtl w:val="0"/>
        </w:rPr>
        <w:t xml:space="preserve">3.9) Methodological Limitations</w:t>
      </w:r>
    </w:p>
    <w:p w:rsidR="00000000" w:rsidDel="00000000" w:rsidP="00000000" w:rsidRDefault="00000000" w:rsidRPr="00000000" w14:paraId="0000006A">
      <w:pPr>
        <w:spacing w:after="160" w:line="259" w:lineRule="auto"/>
        <w:ind w:left="1440" w:firstLine="0"/>
        <w:jc w:val="left"/>
        <w:rPr>
          <w:b w:val="1"/>
          <w:bCs w:val="1"/>
          <w:i w:val="0"/>
          <w:iCs w:val="0"/>
          <w:color w:val="000000"/>
          <w:sz w:val="26"/>
          <w:szCs w:val="26"/>
        </w:rPr>
      </w:pPr>
      <w:r w:rsidDel="00000000" w:rsidR="00000000" w:rsidRPr="00000000">
        <w:rPr>
          <w:b w:val="1"/>
          <w:bCs w:val="1"/>
          <w:i w:val="0"/>
          <w:iCs w:val="0"/>
          <w:color w:val="000000"/>
          <w:sz w:val="26"/>
          <w:szCs w:val="26"/>
          <w:rtl w:val="0"/>
        </w:rPr>
        <w:t xml:space="preserve">3.10) Summary</w:t>
      </w:r>
    </w:p>
    <w:p w:rsidR="00000000" w:rsidDel="00000000" w:rsidP="00000000" w:rsidRDefault="00000000" w:rsidRPr="00000000" w14:paraId="0000006B">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tl w:val="0"/>
        </w:rPr>
      </w:r>
    </w:p>
    <w:p w:rsidR="00000000" w:rsidDel="00000000" w:rsidP="00000000" w:rsidRDefault="00000000" w:rsidRPr="00000000" w14:paraId="0000006C">
      <w:pPr>
        <w:numPr>
          <w:ilvl w:val="0"/>
          <w:numId w:val="24"/>
        </w:numPr>
        <w:spacing w:after="160" w:line="259" w:lineRule="auto"/>
        <w:ind w:left="720" w:hanging="360"/>
        <w:jc w:val="left"/>
        <w:rPr>
          <w:rFonts w:ascii="Roboto" w:cs="Roboto" w:eastAsia="Roboto" w:hAnsi="Roboto"/>
          <w:b w:val="1"/>
          <w:bCs w:val="1"/>
          <w:i w:val="0"/>
          <w:iCs w:val="0"/>
          <w:color w:val="000000"/>
          <w:u w:val="none"/>
        </w:rPr>
      </w:pPr>
      <w:r w:rsidDel="00000000" w:rsidR="00000000" w:rsidRPr="00000000">
        <w:rPr>
          <w:rFonts w:ascii="Roboto" w:cs="Roboto" w:eastAsia="Roboto" w:hAnsi="Roboto"/>
          <w:b w:val="1"/>
          <w:bCs w:val="1"/>
          <w:i w:val="0"/>
          <w:iCs w:val="0"/>
          <w:color w:val="000000"/>
          <w:rtl w:val="0"/>
        </w:rPr>
        <w:t xml:space="preserve">ANALYSIS AND FINDINGS</w:t>
      </w:r>
      <w:r w:rsidDel="00000000" w:rsidR="00000000" w:rsidRPr="00000000">
        <w:rPr>
          <w:rtl w:val="0"/>
        </w:rPr>
      </w:r>
    </w:p>
    <w:p w:rsidR="00000000" w:rsidDel="00000000" w:rsidP="00000000" w:rsidRDefault="00000000" w:rsidRPr="00000000" w14:paraId="0000006D">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4.1) Introduction</w:t>
      </w:r>
    </w:p>
    <w:p w:rsidR="00000000" w:rsidDel="00000000" w:rsidP="00000000" w:rsidRDefault="00000000" w:rsidRPr="00000000" w14:paraId="0000006E">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4.2) FENIXSAN LIMITED: Company Context and Digital Positioning</w:t>
      </w:r>
    </w:p>
    <w:p w:rsidR="00000000" w:rsidDel="00000000" w:rsidP="00000000" w:rsidRDefault="00000000" w:rsidRPr="00000000" w14:paraId="0000006F">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4.2.1) AgriTech Sector Characteristics</w:t>
      </w:r>
    </w:p>
    <w:p w:rsidR="00000000" w:rsidDel="00000000" w:rsidP="00000000" w:rsidRDefault="00000000" w:rsidRPr="00000000" w14:paraId="00000070">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4.3) Digital Visibility Analysis: Current State Assessment</w:t>
      </w:r>
    </w:p>
    <w:p w:rsidR="00000000" w:rsidDel="00000000" w:rsidP="00000000" w:rsidRDefault="00000000" w:rsidRPr="00000000" w14:paraId="00000071">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4.3.1) Search Engine Visibility and Online Presence</w:t>
      </w:r>
    </w:p>
    <w:p w:rsidR="00000000" w:rsidDel="00000000" w:rsidP="00000000" w:rsidRDefault="00000000" w:rsidRPr="00000000" w14:paraId="00000072">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4.3.2) Content Strategy and Information Architecture</w:t>
      </w:r>
    </w:p>
    <w:p w:rsidR="00000000" w:rsidDel="00000000" w:rsidP="00000000" w:rsidRDefault="00000000" w:rsidRPr="00000000" w14:paraId="00000073">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4.3.3) Technical SEO and Website Infrastructure</w:t>
      </w:r>
    </w:p>
    <w:p w:rsidR="00000000" w:rsidDel="00000000" w:rsidP="00000000" w:rsidRDefault="00000000" w:rsidRPr="00000000" w14:paraId="00000074">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4.3.4) Answer Engine Optimization Implementation</w:t>
      </w:r>
    </w:p>
    <w:p w:rsidR="00000000" w:rsidDel="00000000" w:rsidP="00000000" w:rsidRDefault="00000000" w:rsidRPr="00000000" w14:paraId="00000075">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4.4) Comparative Analysis: FENIXSAN Practices vs. Literature Best Practices</w:t>
      </w:r>
    </w:p>
    <w:p w:rsidR="00000000" w:rsidDel="00000000" w:rsidP="00000000" w:rsidRDefault="00000000" w:rsidRPr="00000000" w14:paraId="00000076">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4.4.1) Gap Analysis Framework</w:t>
      </w:r>
    </w:p>
    <w:p w:rsidR="00000000" w:rsidDel="00000000" w:rsidP="00000000" w:rsidRDefault="00000000" w:rsidRPr="00000000" w14:paraId="00000077">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4.4.2) Search Engine Optimization Implementation</w:t>
      </w:r>
    </w:p>
    <w:p w:rsidR="00000000" w:rsidDel="00000000" w:rsidP="00000000" w:rsidRDefault="00000000" w:rsidRPr="00000000" w14:paraId="00000078">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4.4.3) Content Strategy and Educational Positioning</w:t>
      </w:r>
    </w:p>
    <w:p w:rsidR="00000000" w:rsidDel="00000000" w:rsidP="00000000" w:rsidRDefault="00000000" w:rsidRPr="00000000" w14:paraId="00000079">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4.4.4) Answer Engine Optimization Positioning</w:t>
      </w:r>
    </w:p>
    <w:p w:rsidR="00000000" w:rsidDel="00000000" w:rsidP="00000000" w:rsidRDefault="00000000" w:rsidRPr="00000000" w14:paraId="0000007A">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4.4.5) Technical Infrastructure Alignment </w:t>
      </w:r>
    </w:p>
    <w:p w:rsidR="00000000" w:rsidDel="00000000" w:rsidP="00000000" w:rsidRDefault="00000000" w:rsidRPr="00000000" w14:paraId="0000007B">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4.5) Competitive Positioning Analysis</w:t>
      </w:r>
    </w:p>
    <w:p w:rsidR="00000000" w:rsidDel="00000000" w:rsidP="00000000" w:rsidRDefault="00000000" w:rsidRPr="00000000" w14:paraId="0000007C">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4.5.1) Competitor Digital Visibility Assessment</w:t>
      </w:r>
    </w:p>
    <w:p w:rsidR="00000000" w:rsidDel="00000000" w:rsidP="00000000" w:rsidRDefault="00000000" w:rsidRPr="00000000" w14:paraId="0000007D">
      <w:pPr>
        <w:spacing w:after="160" w:line="259" w:lineRule="auto"/>
        <w:ind w:left="1440" w:firstLine="72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4.5.2) Content and Educational Positioning Gaps</w:t>
      </w:r>
    </w:p>
    <w:p w:rsidR="00000000" w:rsidDel="00000000" w:rsidP="00000000" w:rsidRDefault="00000000" w:rsidRPr="00000000" w14:paraId="0000007E">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4.6) Key Findings Summary</w:t>
      </w:r>
    </w:p>
    <w:p w:rsidR="00000000" w:rsidDel="00000000" w:rsidP="00000000" w:rsidRDefault="00000000" w:rsidRPr="00000000" w14:paraId="0000007F">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4.7) Chapter Summary</w:t>
      </w:r>
    </w:p>
    <w:p w:rsidR="00000000" w:rsidDel="00000000" w:rsidP="00000000" w:rsidRDefault="00000000" w:rsidRPr="00000000" w14:paraId="00000080">
      <w:pPr>
        <w:numPr>
          <w:ilvl w:val="0"/>
          <w:numId w:val="24"/>
        </w:numPr>
        <w:spacing w:after="160" w:line="259" w:lineRule="auto"/>
        <w:ind w:left="720" w:hanging="360"/>
        <w:jc w:val="left"/>
        <w:rPr>
          <w:rFonts w:ascii="Roboto" w:cs="Roboto" w:eastAsia="Roboto" w:hAnsi="Roboto"/>
          <w:b w:val="1"/>
          <w:bCs w:val="1"/>
          <w:i w:val="0"/>
          <w:iCs w:val="0"/>
          <w:color w:val="000000"/>
          <w:u w:val="none"/>
        </w:rPr>
      </w:pPr>
      <w:r w:rsidDel="00000000" w:rsidR="00000000" w:rsidRPr="00000000">
        <w:rPr>
          <w:rFonts w:ascii="Roboto" w:cs="Roboto" w:eastAsia="Roboto" w:hAnsi="Roboto"/>
          <w:b w:val="1"/>
          <w:bCs w:val="1"/>
          <w:i w:val="0"/>
          <w:iCs w:val="0"/>
          <w:color w:val="000000"/>
          <w:rtl w:val="0"/>
        </w:rPr>
        <w:t xml:space="preserve">CONCLUSION AND RECOMMENDATION</w:t>
      </w:r>
      <w:r w:rsidDel="00000000" w:rsidR="00000000" w:rsidRPr="00000000">
        <w:rPr>
          <w:rtl w:val="0"/>
        </w:rPr>
      </w:r>
    </w:p>
    <w:p w:rsidR="00000000" w:rsidDel="00000000" w:rsidP="00000000" w:rsidRDefault="00000000" w:rsidRPr="00000000" w14:paraId="00000081">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5.1) Introduction</w:t>
      </w:r>
    </w:p>
    <w:p w:rsidR="00000000" w:rsidDel="00000000" w:rsidP="00000000" w:rsidRDefault="00000000" w:rsidRPr="00000000" w14:paraId="00000082">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5.2) Summary of Research Findings</w:t>
      </w:r>
    </w:p>
    <w:p w:rsidR="00000000" w:rsidDel="00000000" w:rsidP="00000000" w:rsidRDefault="00000000" w:rsidRPr="00000000" w14:paraId="00000083">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5.3) Recommendations for FENIXSAN LIMITED</w:t>
      </w:r>
    </w:p>
    <w:p w:rsidR="00000000" w:rsidDel="00000000" w:rsidP="00000000" w:rsidRDefault="00000000" w:rsidRPr="00000000" w14:paraId="00000084">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5.4) Implementation Considerations</w:t>
      </w:r>
    </w:p>
    <w:p w:rsidR="00000000" w:rsidDel="00000000" w:rsidP="00000000" w:rsidRDefault="00000000" w:rsidRPr="00000000" w14:paraId="00000085">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5.5) Research Limitations</w:t>
      </w:r>
    </w:p>
    <w:p w:rsidR="00000000" w:rsidDel="00000000" w:rsidP="00000000" w:rsidRDefault="00000000" w:rsidRPr="00000000" w14:paraId="00000086">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5.6) Future Research Directions</w:t>
      </w:r>
    </w:p>
    <w:p w:rsidR="00000000" w:rsidDel="00000000" w:rsidP="00000000" w:rsidRDefault="00000000" w:rsidRPr="00000000" w14:paraId="00000087">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5.7) Final Conclusion</w:t>
      </w:r>
    </w:p>
    <w:p w:rsidR="00000000" w:rsidDel="00000000" w:rsidP="00000000" w:rsidRDefault="00000000" w:rsidRPr="00000000" w14:paraId="00000088">
      <w:pPr>
        <w:spacing w:after="160" w:line="259" w:lineRule="auto"/>
        <w:ind w:left="0" w:firstLine="0"/>
        <w:jc w:val="left"/>
        <w:rPr>
          <w:rFonts w:ascii="Roboto" w:cs="Roboto" w:eastAsia="Roboto" w:hAnsi="Roboto"/>
          <w:b w:val="1"/>
          <w:bCs w:val="1"/>
          <w:i w:val="0"/>
          <w:iCs w:val="0"/>
          <w:color w:val="000000"/>
        </w:rPr>
      </w:pPr>
      <w:r w:rsidDel="00000000" w:rsidR="00000000" w:rsidRPr="00000000">
        <w:rPr>
          <w:rFonts w:ascii="Roboto" w:cs="Roboto" w:eastAsia="Roboto" w:hAnsi="Roboto"/>
          <w:b w:val="1"/>
          <w:bCs w:val="1"/>
          <w:i w:val="0"/>
          <w:iCs w:val="0"/>
          <w:color w:val="000000"/>
          <w:rtl w:val="0"/>
        </w:rPr>
        <w:t xml:space="preserve">      REFERENCES</w:t>
      </w:r>
    </w:p>
    <w:p w:rsidR="00000000" w:rsidDel="00000000" w:rsidP="00000000" w:rsidRDefault="00000000" w:rsidRPr="00000000" w14:paraId="00000089">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tl w:val="0"/>
        </w:rPr>
      </w:r>
    </w:p>
    <w:p w:rsidR="00000000" w:rsidDel="00000000" w:rsidP="00000000" w:rsidRDefault="00000000" w:rsidRPr="00000000" w14:paraId="0000008A">
      <w:pPr>
        <w:spacing w:after="160" w:line="259" w:lineRule="auto"/>
        <w:ind w:left="1440" w:firstLine="0"/>
        <w:jc w:val="left"/>
        <w:rPr>
          <w:rFonts w:ascii="Roboto" w:cs="Roboto" w:eastAsia="Roboto" w:hAnsi="Roboto"/>
          <w:b w:val="1"/>
          <w:bCs w:val="1"/>
          <w:i w:val="0"/>
          <w:iCs w:val="0"/>
          <w:color w:val="00000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0A0">
      <w:pPr>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0A1">
      <w:pPr>
        <w:rPr>
          <w:b w:val="1"/>
          <w:bCs w:val="1"/>
          <w:i w:val="0"/>
          <w:iCs w:val="0"/>
          <w:color w:val="000000"/>
          <w:sz w:val="26"/>
          <w:szCs w:val="26"/>
        </w:rPr>
      </w:pPr>
      <w:r w:rsidDel="00000000" w:rsidR="00000000" w:rsidRPr="00000000">
        <w:rPr>
          <w:b w:val="1"/>
          <w:bCs w:val="1"/>
          <w:i w:val="0"/>
          <w:iCs w:val="0"/>
          <w:color w:val="000000"/>
          <w:sz w:val="26"/>
          <w:szCs w:val="26"/>
        </w:rPr>
        <w:drawing>
          <wp:inline distB="114300" distT="114300" distL="114300" distR="114300">
            <wp:extent cx="5730681" cy="8101013"/>
            <wp:effectExtent b="0" l="0" r="0" t="0"/>
            <wp:docPr id="13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0681" cy="81010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t xml:space="preserve">Candidate’s Declaration Form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100" w:lineRule="auto"/>
        <w:ind w:left="482" w:firstLine="0"/>
        <w:jc w:val="left"/>
        <w:rPr>
          <w:smallCaps w:val="1"/>
          <w:sz w:val="28"/>
          <w:szCs w:val="28"/>
        </w:rPr>
      </w:pPr>
      <w:bookmarkStart w:colFirst="0" w:colLast="0" w:name="_heading=h.zbnb8cngro1p" w:id="0"/>
      <w:bookmarkEnd w:id="0"/>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pPr>
      <w:bookmarkStart w:colFirst="0" w:colLast="0" w:name="_heading=h.wjwc721ay0dl" w:id="1"/>
      <w:bookmarkEnd w:id="1"/>
      <w:r w:rsidDel="00000000" w:rsidR="00000000" w:rsidRPr="00000000">
        <w:rPr>
          <w:rtl w:val="0"/>
        </w:rPr>
        <w:t xml:space="preserve">Acknowledgements</w:t>
      </w:r>
    </w:p>
    <w:p w:rsidR="00000000" w:rsidDel="00000000" w:rsidP="00000000" w:rsidRDefault="00000000" w:rsidRPr="00000000" w14:paraId="000000A8">
      <w:pPr>
        <w:ind w:left="0" w:firstLine="0"/>
        <w:jc w:val="left"/>
        <w:rPr>
          <w:smallCaps w:val="1"/>
          <w:sz w:val="28"/>
          <w:szCs w:val="28"/>
        </w:rPr>
      </w:pPr>
      <w:r w:rsidDel="00000000" w:rsidR="00000000" w:rsidRPr="00000000">
        <w:rPr>
          <w:rtl w:val="0"/>
        </w:rPr>
      </w:r>
    </w:p>
    <w:p w:rsidR="00000000" w:rsidDel="00000000" w:rsidP="00000000" w:rsidRDefault="00000000" w:rsidRPr="00000000" w14:paraId="000000A9">
      <w:pPr>
        <w:ind w:left="482"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pBdr>
          <w:bottom w:color="auto" w:space="0" w:sz="0" w:val="none"/>
        </w:pBdr>
        <w:spacing w:after="120" w:before="480" w:line="276" w:lineRule="auto"/>
        <w:ind w:right="0"/>
        <w:rPr>
          <w:b w:val="1"/>
          <w:bCs w:val="1"/>
          <w:smallCaps w:val="0"/>
          <w:sz w:val="26"/>
          <w:szCs w:val="26"/>
        </w:rPr>
      </w:pPr>
      <w:bookmarkStart w:colFirst="0" w:colLast="0" w:name="_heading=h.7xizxlqokhto" w:id="2"/>
      <w:bookmarkEnd w:id="2"/>
      <w:r w:rsidDel="00000000" w:rsidR="00000000" w:rsidRPr="00000000">
        <w:rPr>
          <w:b w:val="1"/>
          <w:bCs w:val="1"/>
          <w:smallCaps w:val="0"/>
          <w:sz w:val="26"/>
          <w:szCs w:val="26"/>
          <w:rtl w:val="0"/>
        </w:rPr>
        <w:t xml:space="preserve">1. Introduction</w:t>
      </w:r>
    </w:p>
    <w:p w:rsidR="00000000" w:rsidDel="00000000" w:rsidP="00000000" w:rsidRDefault="00000000" w:rsidRPr="00000000" w14:paraId="000000C8">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The rapid evolution of digital technologies, coupled with shifting consumer behaviours and the rise of artificial intelligence, has significantly redefined how organisations communicate, compete, and establish credibility online. Search engines, algorithm-driven content delivery systems, and AI-powered answer tools now mediate how users access and interpret information. As a result, an organisation’s online visibility has become a central determinant of market awareness, trust, and engagement (Das, 2021; Chaffey &amp; Ellis-Chadwick, 2022). Within this changing landscape, Search Engine Optimisation (SEO) and Answer Engine Optimisation (AEO) have emerged as two critical frameworks for structuring digital content in ways that maximise discoverability and relevance.</w:t>
      </w:r>
    </w:p>
    <w:p w:rsidR="00000000" w:rsidDel="00000000" w:rsidP="00000000" w:rsidRDefault="00000000" w:rsidRPr="00000000" w14:paraId="000000C9">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SEO has long been recognised as a strategic digital tool for improving website rankings, shaping user journeys, and enhancing brand visibility by aligning content with search engine algorithms (Kritzinger &amp; Weideman, 2013; Enge et al., 2015). However, the shift towards semantic search, conversational queries, and AI-mediated answer extraction has altered the mechanics of online visibility. Users increasingly seek immediate answers, interact through voice search, and rely on zero-click search results—where information is presented directly on the search engine results page (Rogers, 2020; Tober, 2017). This shift has elevated the importance of AEO, which prioritises structured, factual, and answer-ready content that can be processed by AI systems, knowledge panels, and featured snippets (Suri &amp; Thakur, 2023).</w:t>
      </w:r>
    </w:p>
    <w:p w:rsidR="00000000" w:rsidDel="00000000" w:rsidP="00000000" w:rsidRDefault="00000000" w:rsidRPr="00000000" w14:paraId="000000CA">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For organisations operating in highly technical and innovation-driven sectors such as AgriTech and vertical farming, the implications of these shifts are profound. These industries rely heavily on digital platforms to explain complex technologies, educate stakeholders, and establish legitimacy in markets where consumer familiarity is often limited (Rotz et al., 2019; Benke &amp; Tomkins, 2017). As digital environments become increasingly competitive and algorithm-driven, the ability to communicate expertise clearly and be easily discoverable through search engines becomes essential for brand visibility and customer acquisition.</w:t>
      </w:r>
    </w:p>
    <w:p w:rsidR="00000000" w:rsidDel="00000000" w:rsidP="00000000" w:rsidRDefault="00000000" w:rsidRPr="00000000" w14:paraId="000000CB">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This dissertation explores the relevance of SEO and AEO within this context, using FENIXSAN LIMITED—a company specialising in intelligent vertical farming solutions—as a focal example of how emerging AgriTech organisations can improve their digital visibility. The chapter begins by outlining the rationale for studying SEO and AEO within technology-focused sectors, followed by a clear aim, set of objectives, and research questions that guide the investigation.</w:t>
      </w:r>
    </w:p>
    <w:p w:rsidR="00000000" w:rsidDel="00000000" w:rsidP="00000000" w:rsidRDefault="00000000" w:rsidRPr="00000000" w14:paraId="000000CC">
      <w:pPr>
        <w:spacing w:after="240" w:before="240"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0CD">
      <w:pPr>
        <w:pStyle w:val="Heading1"/>
        <w:keepNext w:val="0"/>
        <w:pBdr>
          <w:bottom w:color="auto" w:space="0" w:sz="0" w:val="none"/>
        </w:pBdr>
        <w:spacing w:after="120" w:before="480" w:line="276" w:lineRule="auto"/>
        <w:ind w:right="0"/>
        <w:jc w:val="both"/>
        <w:rPr>
          <w:b w:val="1"/>
          <w:bCs w:val="1"/>
          <w:smallCaps w:val="0"/>
          <w:sz w:val="26"/>
          <w:szCs w:val="26"/>
        </w:rPr>
      </w:pPr>
      <w:bookmarkStart w:colFirst="0" w:colLast="0" w:name="_heading=h.r3ug72ncjdi3" w:id="3"/>
      <w:bookmarkEnd w:id="3"/>
      <w:r w:rsidDel="00000000" w:rsidR="00000000" w:rsidRPr="00000000">
        <w:rPr>
          <w:b w:val="1"/>
          <w:bCs w:val="1"/>
          <w:smallCaps w:val="0"/>
          <w:sz w:val="26"/>
          <w:szCs w:val="26"/>
          <w:rtl w:val="0"/>
        </w:rPr>
        <w:t xml:space="preserve">1.1 Background and Rationale</w:t>
      </w:r>
    </w:p>
    <w:p w:rsidR="00000000" w:rsidDel="00000000" w:rsidP="00000000" w:rsidRDefault="00000000" w:rsidRPr="00000000" w14:paraId="000000CE">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SEO and AEO operate as complementary optimisation frameworks that shape how organisations present information in digital environments. SEO focuses on improving website performance, content relevance, and structural clarity to enhance ranking visibility (Berman &amp; Katona, 2013; Ledford, 2015). AEO builds upon these foundations by prioritising semantic structure, factual accuracy, and content designed for direct extraction by answer engines (Hummel &amp; Braun, 2019; Suri &amp; Thakur, 2023). Together, these approaches support online discoverability in an environment increasingly influenced by AI and user-intent-driven search dynamics.</w:t>
      </w:r>
    </w:p>
    <w:p w:rsidR="00000000" w:rsidDel="00000000" w:rsidP="00000000" w:rsidRDefault="00000000" w:rsidRPr="00000000" w14:paraId="000000CF">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One of the major developments driving the need for advanced optimisation practices is the rise of zero-click search, where users receive answers directly on the search engine results page without visiting external websites. Studies show that zero-click outcomes account for a significant proportion of global search activity, reflecting a growing preference for instant, conversational information retrieval (Rogers, 2020; Tober, 2017). This shift reduces traditional website traffic and creates new pressures for organisations to structure content in ways that align with search engines’ answer extraction models.</w:t>
      </w:r>
    </w:p>
    <w:p w:rsidR="00000000" w:rsidDel="00000000" w:rsidP="00000000" w:rsidRDefault="00000000" w:rsidRPr="00000000" w14:paraId="000000D0">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Another important development is the increasing emphasis on credibility and trustworthiness in digital content. Search engines now prioritise signals of Expertise, Authority, and Trustworthiness (E‑A‑T), influencing how organisations must communicate to gain online visibility (Hummel &amp; Braun, 2019). For innovation-driven industries where technical knowledge gaps are common, demonstrating authority through clear, structured, and reliable content becomes crucial.</w:t>
      </w:r>
    </w:p>
    <w:p w:rsidR="00000000" w:rsidDel="00000000" w:rsidP="00000000" w:rsidRDefault="00000000" w:rsidRPr="00000000" w14:paraId="000000D1">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The AgriTech sector illustrates these issues clearly. As vertical farming, hydroponics, and precision agriculture technologies expand, companies must help audiences understand unfamiliar systems and methods (Klerkx et al., 2019; Beacham et al., 2019). Digital platforms therefore act not only as marketing tools but as essential educational resources. Without strong SEO and AEO practices, organisations risk remaining invisible to users who rely on search engines to navigate emerging technologies.</w:t>
      </w:r>
    </w:p>
    <w:p w:rsidR="00000000" w:rsidDel="00000000" w:rsidP="00000000" w:rsidRDefault="00000000" w:rsidRPr="00000000" w14:paraId="000000D2">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FENIXSAN LIMITED, despite offering technologically advanced agricultural solutions, exhibits limited online visibility, weak semantic optimisation, and a lack of structured content. This discrepancy between technological capability and digital maturity highlights the need for a strategic investigation of how SEO and AEO can support visibility, communication, and engagement in modern digital ecosystems.</w:t>
      </w:r>
    </w:p>
    <w:p w:rsidR="00000000" w:rsidDel="00000000" w:rsidP="00000000" w:rsidRDefault="00000000" w:rsidRPr="00000000" w14:paraId="000000D3">
      <w:pPr>
        <w:spacing w:after="240" w:before="240"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0D4">
      <w:pPr>
        <w:pStyle w:val="Heading1"/>
        <w:keepNext w:val="0"/>
        <w:pBdr>
          <w:bottom w:color="auto" w:space="0" w:sz="0" w:val="none"/>
        </w:pBdr>
        <w:spacing w:after="120" w:before="480" w:line="276" w:lineRule="auto"/>
        <w:ind w:right="0"/>
        <w:jc w:val="both"/>
        <w:rPr>
          <w:i w:val="0"/>
          <w:iCs w:val="0"/>
          <w:color w:val="000000"/>
          <w:sz w:val="26"/>
          <w:szCs w:val="26"/>
        </w:rPr>
      </w:pPr>
      <w:bookmarkStart w:colFirst="0" w:colLast="0" w:name="_heading=h.415642oyer3d" w:id="4"/>
      <w:bookmarkEnd w:id="4"/>
      <w:r w:rsidDel="00000000" w:rsidR="00000000" w:rsidRPr="00000000">
        <w:rPr>
          <w:b w:val="1"/>
          <w:bCs w:val="1"/>
          <w:smallCaps w:val="0"/>
          <w:sz w:val="26"/>
          <w:szCs w:val="26"/>
          <w:rtl w:val="0"/>
        </w:rPr>
        <w:t xml:space="preserve">1.2 Research Aim and Objectives</w:t>
      </w:r>
      <w:r w:rsidDel="00000000" w:rsidR="00000000" w:rsidRPr="00000000">
        <w:rPr>
          <w:rtl w:val="0"/>
        </w:rPr>
      </w:r>
    </w:p>
    <w:p w:rsidR="00000000" w:rsidDel="00000000" w:rsidP="00000000" w:rsidRDefault="00000000" w:rsidRPr="00000000" w14:paraId="000000D5">
      <w:pPr>
        <w:pStyle w:val="Heading3"/>
        <w:keepNext w:val="0"/>
        <w:spacing w:after="80" w:before="280" w:line="276" w:lineRule="auto"/>
        <w:ind w:left="0" w:firstLine="0"/>
        <w:rPr>
          <w:rFonts w:ascii="Arial" w:cs="Arial" w:eastAsia="Arial" w:hAnsi="Arial"/>
          <w:b w:val="1"/>
          <w:bCs w:val="1"/>
          <w:color w:val="000000"/>
          <w:sz w:val="26"/>
          <w:szCs w:val="26"/>
        </w:rPr>
      </w:pPr>
      <w:bookmarkStart w:colFirst="0" w:colLast="0" w:name="_heading=h.bgcyig9vadqk" w:id="5"/>
      <w:bookmarkEnd w:id="5"/>
      <w:r w:rsidDel="00000000" w:rsidR="00000000" w:rsidRPr="00000000">
        <w:rPr>
          <w:rFonts w:ascii="Arial" w:cs="Arial" w:eastAsia="Arial" w:hAnsi="Arial"/>
          <w:b w:val="1"/>
          <w:bCs w:val="1"/>
          <w:color w:val="000000"/>
          <w:sz w:val="26"/>
          <w:szCs w:val="26"/>
          <w:rtl w:val="0"/>
        </w:rPr>
        <w:t xml:space="preserve">Aim</w:t>
      </w:r>
    </w:p>
    <w:p w:rsidR="00000000" w:rsidDel="00000000" w:rsidP="00000000" w:rsidRDefault="00000000" w:rsidRPr="00000000" w14:paraId="000000D6">
      <w:pPr>
        <w:spacing w:after="240" w:before="240" w:line="276" w:lineRule="auto"/>
        <w:rPr>
          <w:i w:val="0"/>
          <w:iCs w:val="0"/>
          <w:color w:val="000000"/>
          <w:sz w:val="26"/>
          <w:szCs w:val="26"/>
        </w:rPr>
      </w:pPr>
      <w:r w:rsidDel="00000000" w:rsidR="00000000" w:rsidRPr="00000000">
        <w:rPr>
          <w:i w:val="0"/>
          <w:iCs w:val="0"/>
          <w:color w:val="000000"/>
          <w:sz w:val="26"/>
          <w:szCs w:val="26"/>
          <w:rtl w:val="0"/>
        </w:rPr>
        <w:t xml:space="preserve">To examine how SEO and AEO strategies influence digital visibility and user engagement, and to evaluate how these optimisation approaches can be used to strengthen online presence within technology-driven industries.</w:t>
      </w:r>
      <w:r w:rsidDel="00000000" w:rsidR="00000000" w:rsidRPr="00000000">
        <w:rPr>
          <w:rtl w:val="0"/>
        </w:rPr>
      </w:r>
    </w:p>
    <w:p w:rsidR="00000000" w:rsidDel="00000000" w:rsidP="00000000" w:rsidRDefault="00000000" w:rsidRPr="00000000" w14:paraId="000000D7">
      <w:pPr>
        <w:pStyle w:val="Heading3"/>
        <w:keepNext w:val="0"/>
        <w:spacing w:after="80" w:before="280" w:line="276" w:lineRule="auto"/>
        <w:ind w:left="0" w:firstLine="0"/>
        <w:rPr>
          <w:rFonts w:ascii="Arial" w:cs="Arial" w:eastAsia="Arial" w:hAnsi="Arial"/>
          <w:b w:val="1"/>
          <w:bCs w:val="1"/>
          <w:color w:val="000000"/>
          <w:sz w:val="26"/>
          <w:szCs w:val="26"/>
        </w:rPr>
      </w:pPr>
      <w:bookmarkStart w:colFirst="0" w:colLast="0" w:name="_heading=h.qum0lsvyogct" w:id="6"/>
      <w:bookmarkEnd w:id="6"/>
      <w:r w:rsidDel="00000000" w:rsidR="00000000" w:rsidRPr="00000000">
        <w:rPr>
          <w:rFonts w:ascii="Arial" w:cs="Arial" w:eastAsia="Arial" w:hAnsi="Arial"/>
          <w:b w:val="1"/>
          <w:bCs w:val="1"/>
          <w:color w:val="000000"/>
          <w:sz w:val="26"/>
          <w:szCs w:val="26"/>
          <w:rtl w:val="0"/>
        </w:rPr>
        <w:t xml:space="preserve">Objectives</w:t>
      </w:r>
    </w:p>
    <w:p w:rsidR="00000000" w:rsidDel="00000000" w:rsidP="00000000" w:rsidRDefault="00000000" w:rsidRPr="00000000" w14:paraId="000000D8">
      <w:pPr>
        <w:numPr>
          <w:ilvl w:val="0"/>
          <w:numId w:val="33"/>
        </w:numPr>
        <w:spacing w:after="0" w:afterAutospacing="0" w:before="240" w:line="276" w:lineRule="auto"/>
        <w:ind w:left="720" w:hanging="360"/>
        <w:rPr>
          <w:i w:val="0"/>
          <w:iCs w:val="0"/>
          <w:color w:val="000000"/>
          <w:sz w:val="26"/>
          <w:szCs w:val="26"/>
        </w:rPr>
      </w:pPr>
      <w:r w:rsidDel="00000000" w:rsidR="00000000" w:rsidRPr="00000000">
        <w:rPr>
          <w:i w:val="0"/>
          <w:iCs w:val="0"/>
          <w:color w:val="000000"/>
          <w:sz w:val="26"/>
          <w:szCs w:val="26"/>
          <w:rtl w:val="0"/>
        </w:rPr>
        <w:t xml:space="preserve">To analyse the role of SEO and AEO in shaping online visibility and customer engagement across digital platforms.</w:t>
      </w:r>
    </w:p>
    <w:p w:rsidR="00000000" w:rsidDel="00000000" w:rsidP="00000000" w:rsidRDefault="00000000" w:rsidRPr="00000000" w14:paraId="000000D9">
      <w:pPr>
        <w:numPr>
          <w:ilvl w:val="0"/>
          <w:numId w:val="33"/>
        </w:numPr>
        <w:spacing w:after="0" w:afterAutospacing="0" w:before="0" w:beforeAutospacing="0" w:line="276" w:lineRule="auto"/>
        <w:ind w:left="720" w:hanging="360"/>
        <w:rPr>
          <w:i w:val="0"/>
          <w:iCs w:val="0"/>
          <w:color w:val="000000"/>
          <w:sz w:val="26"/>
          <w:szCs w:val="26"/>
        </w:rPr>
      </w:pPr>
      <w:r w:rsidDel="00000000" w:rsidR="00000000" w:rsidRPr="00000000">
        <w:rPr>
          <w:i w:val="0"/>
          <w:iCs w:val="0"/>
          <w:color w:val="000000"/>
          <w:sz w:val="26"/>
          <w:szCs w:val="26"/>
          <w:rtl w:val="0"/>
        </w:rPr>
        <w:t xml:space="preserve">To identify the key optimisation principles, content structures, and technical factors that contribute to enhanced visibility in search- and answer-based environments.</w:t>
      </w:r>
    </w:p>
    <w:p w:rsidR="00000000" w:rsidDel="00000000" w:rsidP="00000000" w:rsidRDefault="00000000" w:rsidRPr="00000000" w14:paraId="000000DA">
      <w:pPr>
        <w:numPr>
          <w:ilvl w:val="0"/>
          <w:numId w:val="33"/>
        </w:numPr>
        <w:spacing w:after="0" w:afterAutospacing="0" w:before="0" w:beforeAutospacing="0" w:line="276" w:lineRule="auto"/>
        <w:ind w:left="720" w:hanging="360"/>
        <w:rPr>
          <w:i w:val="0"/>
          <w:iCs w:val="0"/>
          <w:color w:val="000000"/>
          <w:sz w:val="26"/>
          <w:szCs w:val="26"/>
        </w:rPr>
      </w:pPr>
      <w:r w:rsidDel="00000000" w:rsidR="00000000" w:rsidRPr="00000000">
        <w:rPr>
          <w:i w:val="0"/>
          <w:iCs w:val="0"/>
          <w:color w:val="000000"/>
          <w:sz w:val="26"/>
          <w:szCs w:val="26"/>
          <w:rtl w:val="0"/>
        </w:rPr>
        <w:t xml:space="preserve">To evaluate the effectiveness of SEO and AEO strategies through structured documentary analysis of digital content, industry guidelines, and observable optimisation practices.</w:t>
      </w:r>
    </w:p>
    <w:p w:rsidR="00000000" w:rsidDel="00000000" w:rsidP="00000000" w:rsidRDefault="00000000" w:rsidRPr="00000000" w14:paraId="000000DB">
      <w:pPr>
        <w:numPr>
          <w:ilvl w:val="0"/>
          <w:numId w:val="33"/>
        </w:numPr>
        <w:spacing w:after="240" w:before="0" w:beforeAutospacing="0" w:line="276" w:lineRule="auto"/>
        <w:ind w:left="720" w:hanging="360"/>
        <w:rPr>
          <w:i w:val="0"/>
          <w:iCs w:val="0"/>
          <w:color w:val="000000"/>
          <w:sz w:val="26"/>
          <w:szCs w:val="26"/>
        </w:rPr>
      </w:pPr>
      <w:r w:rsidDel="00000000" w:rsidR="00000000" w:rsidRPr="00000000">
        <w:rPr>
          <w:i w:val="0"/>
          <w:iCs w:val="0"/>
          <w:color w:val="000000"/>
          <w:sz w:val="26"/>
          <w:szCs w:val="26"/>
          <w:rtl w:val="0"/>
        </w:rPr>
        <w:t xml:space="preserve">To develop evidence-based recommendations for improving digital visibility and search performance within a technologically innovative industry context.</w:t>
      </w:r>
      <w:r w:rsidDel="00000000" w:rsidR="00000000" w:rsidRPr="00000000">
        <w:rPr>
          <w:i w:val="0"/>
          <w:iCs w:val="0"/>
          <w:color w:val="000000"/>
          <w:sz w:val="26"/>
          <w:szCs w:val="26"/>
          <w:rtl w:val="0"/>
        </w:rPr>
        <w:br w:type="textWrapping"/>
      </w:r>
    </w:p>
    <w:p w:rsidR="00000000" w:rsidDel="00000000" w:rsidP="00000000" w:rsidRDefault="00000000" w:rsidRPr="00000000" w14:paraId="000000DC">
      <w:pPr>
        <w:pStyle w:val="Heading3"/>
        <w:keepNext w:val="0"/>
        <w:spacing w:after="80" w:before="280" w:line="276" w:lineRule="auto"/>
        <w:ind w:left="0" w:firstLine="0"/>
        <w:rPr>
          <w:rFonts w:ascii="Arial" w:cs="Arial" w:eastAsia="Arial" w:hAnsi="Arial"/>
          <w:b w:val="1"/>
          <w:bCs w:val="1"/>
          <w:color w:val="000000"/>
          <w:sz w:val="26"/>
          <w:szCs w:val="26"/>
        </w:rPr>
      </w:pPr>
      <w:bookmarkStart w:colFirst="0" w:colLast="0" w:name="_heading=h.wjym6w8rzcfy" w:id="7"/>
      <w:bookmarkEnd w:id="7"/>
      <w:r w:rsidDel="00000000" w:rsidR="00000000" w:rsidRPr="00000000">
        <w:rPr>
          <w:rFonts w:ascii="Arial" w:cs="Arial" w:eastAsia="Arial" w:hAnsi="Arial"/>
          <w:b w:val="1"/>
          <w:bCs w:val="1"/>
          <w:color w:val="000000"/>
          <w:sz w:val="26"/>
          <w:szCs w:val="26"/>
          <w:rtl w:val="0"/>
        </w:rPr>
        <w:t xml:space="preserve">Research Questions</w:t>
      </w:r>
    </w:p>
    <w:p w:rsidR="00000000" w:rsidDel="00000000" w:rsidP="00000000" w:rsidRDefault="00000000" w:rsidRPr="00000000" w14:paraId="000000DD">
      <w:pPr>
        <w:numPr>
          <w:ilvl w:val="0"/>
          <w:numId w:val="19"/>
        </w:numPr>
        <w:spacing w:after="0" w:afterAutospacing="0" w:before="240" w:line="276" w:lineRule="auto"/>
        <w:ind w:left="720" w:hanging="360"/>
        <w:rPr>
          <w:i w:val="0"/>
          <w:iCs w:val="0"/>
          <w:color w:val="000000"/>
          <w:sz w:val="26"/>
          <w:szCs w:val="26"/>
        </w:rPr>
      </w:pPr>
      <w:r w:rsidDel="00000000" w:rsidR="00000000" w:rsidRPr="00000000">
        <w:rPr>
          <w:i w:val="0"/>
          <w:iCs w:val="0"/>
          <w:color w:val="000000"/>
          <w:sz w:val="26"/>
          <w:szCs w:val="26"/>
          <w:rtl w:val="0"/>
        </w:rPr>
        <w:t xml:space="preserve">How can Answer Engine Optimisation be used to strengthen online visibility and support customer discovery within innovation-driven sectors?</w:t>
        <w:br w:type="textWrapping"/>
      </w:r>
    </w:p>
    <w:p w:rsidR="00000000" w:rsidDel="00000000" w:rsidP="00000000" w:rsidRDefault="00000000" w:rsidRPr="00000000" w14:paraId="000000DE">
      <w:pPr>
        <w:numPr>
          <w:ilvl w:val="0"/>
          <w:numId w:val="19"/>
        </w:numPr>
        <w:spacing w:after="240" w:before="0" w:beforeAutospacing="0" w:line="276" w:lineRule="auto"/>
        <w:ind w:left="720" w:hanging="360"/>
        <w:rPr>
          <w:i w:val="0"/>
          <w:iCs w:val="0"/>
          <w:color w:val="000000"/>
          <w:sz w:val="26"/>
          <w:szCs w:val="26"/>
        </w:rPr>
      </w:pPr>
      <w:r w:rsidDel="00000000" w:rsidR="00000000" w:rsidRPr="00000000">
        <w:rPr>
          <w:i w:val="0"/>
          <w:iCs w:val="0"/>
          <w:color w:val="000000"/>
          <w:sz w:val="26"/>
          <w:szCs w:val="26"/>
          <w:rtl w:val="0"/>
        </w:rPr>
        <w:t xml:space="preserve">How effective are SEO strategies in enhancing digital presence, and how should they be adapted in response to evolving search behaviours and zero-click environments?</w:t>
      </w:r>
      <w:r w:rsidDel="00000000" w:rsidR="00000000" w:rsidRPr="00000000">
        <w:rPr>
          <w:rtl w:val="0"/>
        </w:rPr>
      </w:r>
    </w:p>
    <w:p w:rsidR="00000000" w:rsidDel="00000000" w:rsidP="00000000" w:rsidRDefault="00000000" w:rsidRPr="00000000" w14:paraId="000000DF">
      <w:pPr>
        <w:spacing w:after="240" w:before="240" w:line="276" w:lineRule="auto"/>
        <w:ind w:left="0" w:firstLine="0"/>
        <w:rPr>
          <w:b w:val="1"/>
          <w:bCs w:val="1"/>
          <w:i w:val="0"/>
          <w:iCs w:val="0"/>
          <w:color w:val="000000"/>
          <w:sz w:val="26"/>
          <w:szCs w:val="26"/>
        </w:rPr>
      </w:pPr>
      <w:r w:rsidDel="00000000" w:rsidR="00000000" w:rsidRPr="00000000">
        <w:rPr>
          <w:b w:val="1"/>
          <w:bCs w:val="1"/>
          <w:i w:val="0"/>
          <w:iCs w:val="0"/>
          <w:color w:val="000000"/>
          <w:sz w:val="26"/>
          <w:szCs w:val="26"/>
          <w:highlight w:val="white"/>
          <w:rtl w:val="0"/>
        </w:rPr>
        <w:t xml:space="preserve">2 LITERATURE REVIEW</w:t>
      </w:r>
      <w:r w:rsidDel="00000000" w:rsidR="00000000" w:rsidRPr="00000000">
        <w:rPr>
          <w:rtl w:val="0"/>
        </w:rPr>
      </w:r>
    </w:p>
    <w:p w:rsidR="00000000" w:rsidDel="00000000" w:rsidP="00000000" w:rsidRDefault="00000000" w:rsidRPr="00000000" w14:paraId="000000E0">
      <w:pPr>
        <w:rPr>
          <w:i w:val="0"/>
          <w:iCs w:val="0"/>
          <w:color w:val="000000"/>
        </w:rPr>
      </w:pPr>
      <w:r w:rsidDel="00000000" w:rsidR="00000000" w:rsidRPr="00000000">
        <w:rPr>
          <w:rtl w:val="0"/>
        </w:rPr>
      </w:r>
    </w:p>
    <w:p w:rsidR="00000000" w:rsidDel="00000000" w:rsidP="00000000" w:rsidRDefault="00000000" w:rsidRPr="00000000" w14:paraId="000000E1">
      <w:pPr>
        <w:rPr>
          <w:b w:val="1"/>
          <w:bCs w:val="1"/>
          <w:i w:val="0"/>
          <w:iCs w:val="0"/>
          <w:color w:val="000000"/>
          <w:sz w:val="26"/>
          <w:szCs w:val="26"/>
        </w:rPr>
      </w:pPr>
      <w:r w:rsidDel="00000000" w:rsidR="00000000" w:rsidRPr="00000000">
        <w:rPr>
          <w:b w:val="1"/>
          <w:bCs w:val="1"/>
          <w:i w:val="0"/>
          <w:iCs w:val="0"/>
          <w:color w:val="000000"/>
          <w:sz w:val="26"/>
          <w:szCs w:val="26"/>
          <w:rtl w:val="0"/>
        </w:rPr>
        <w:t xml:space="preserve">2.1 Introduction</w:t>
      </w:r>
    </w:p>
    <w:p w:rsidR="00000000" w:rsidDel="00000000" w:rsidP="00000000" w:rsidRDefault="00000000" w:rsidRPr="00000000" w14:paraId="000000E2">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rapid evolution of digital technologies has significantly reshaped how organisations communicate, compete, and establish visibility across online environments. Over the last two decades, digital marketing has progressed from keyword-driven website promotion to a complex ecosystem governed by artificial intelligence, semantic search systems, and intent-based user interactions (Chaffey &amp; Ellis-Chadwick, 2022; Hassan, 2020). As consumers increasingly rely on search engines, voice assistants, and AI-powered answer systems, the nature of digital visibility has changed from merely “ranking on Google” to meeting the informational, structural, and semantic expectations of algorithm-driven platforms (Das, 2021). This shift reflects broader changes in user behaviour: searches are now conducted through conversational queries, fragmented micro-moments, and zero-click environments in which answers are provided directly on the search interface without requiring website visits (Hassan, 2020; Suri &amp; Thakur, 2023).</w:t>
      </w:r>
    </w:p>
    <w:p w:rsidR="00000000" w:rsidDel="00000000" w:rsidP="00000000" w:rsidRDefault="00000000" w:rsidRPr="00000000" w14:paraId="000000E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These developments have particularly significant implications for organisations operating in technologically complex and knowledge-intensive sectors such as AgriTech and vertical farming. Such firms rely heavily on digital platforms not only to promote products but also to educate audiences about unfamiliar technologies, reduce perceived risks, and establish legitimacy in emerging markets (Cioppi et al., 2019; Mancini et al., 2019). In these industries, digital communication acts as both an informational channel and a trust-building mechanism, making visibility a prerequisite for organisational credibility. However, SMEs in these sectors often face resource limitations, capability gaps, and strategic constraints that hinder their ability to compete effectively in digital environments (López-Nicolás &amp; Meroño-Cerdán, 2011; Bharadwaj, 2013).</w:t>
      </w:r>
    </w:p>
    <w:p w:rsidR="00000000" w:rsidDel="00000000" w:rsidP="00000000" w:rsidRDefault="00000000" w:rsidRPr="00000000" w14:paraId="000000E4">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0E5">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This literature review synthesises theoretical perspectives and empirical research on digital visibility, SEO, AEO, digital marketing strategy, and technology adoption. It critically examines how optimisation strategies influence discoverability, audience engagement, and organisational trust, while also integrating frameworks such as the Technology Acceptance Model (TAM), the Technology-Organization-Environment (TOE) framework, the Resource-Based View (RBV), and Dynamic Capabilities theory. The review assesses how these concepts apply specifically to AgriTech firms, with a focus on understanding the strategic role of SEO and AEO in enhancing the online presence of technology-driven SMEs such as FENIXSAN LIMITED.</w:t>
      </w:r>
    </w:p>
    <w:p w:rsidR="00000000" w:rsidDel="00000000" w:rsidP="00000000" w:rsidRDefault="00000000" w:rsidRPr="00000000" w14:paraId="000000E6">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0E7">
      <w:pPr>
        <w:rPr>
          <w:b w:val="1"/>
          <w:bCs w:val="1"/>
          <w:i w:val="0"/>
          <w:iCs w:val="0"/>
          <w:color w:val="000000"/>
          <w:sz w:val="26"/>
          <w:szCs w:val="26"/>
          <w:highlight w:val="white"/>
        </w:rPr>
      </w:pPr>
      <w:r w:rsidDel="00000000" w:rsidR="00000000" w:rsidRPr="00000000">
        <w:rPr>
          <w:b w:val="1"/>
          <w:bCs w:val="1"/>
          <w:i w:val="0"/>
          <w:iCs w:val="0"/>
          <w:color w:val="000000"/>
          <w:sz w:val="26"/>
          <w:szCs w:val="26"/>
          <w:highlight w:val="white"/>
          <w:rtl w:val="0"/>
        </w:rPr>
        <w:t xml:space="preserve">2.2</w:t>
      </w:r>
      <w:r w:rsidDel="00000000" w:rsidR="00000000" w:rsidRPr="00000000">
        <w:rPr>
          <w:b w:val="1"/>
          <w:bCs w:val="1"/>
          <w:color w:val="000000"/>
          <w:sz w:val="26"/>
          <w:szCs w:val="26"/>
          <w:highlight w:val="white"/>
          <w:rtl w:val="0"/>
        </w:rPr>
        <w:t xml:space="preserve"> </w:t>
      </w:r>
      <w:r w:rsidDel="00000000" w:rsidR="00000000" w:rsidRPr="00000000">
        <w:rPr>
          <w:b w:val="1"/>
          <w:bCs w:val="1"/>
          <w:i w:val="0"/>
          <w:iCs w:val="0"/>
          <w:color w:val="000000"/>
          <w:sz w:val="26"/>
          <w:szCs w:val="26"/>
          <w:highlight w:val="white"/>
          <w:rtl w:val="0"/>
        </w:rPr>
        <w:t xml:space="preserve">Digital Visibility and Contemporary Search Behavior</w:t>
      </w:r>
    </w:p>
    <w:p w:rsidR="00000000" w:rsidDel="00000000" w:rsidP="00000000" w:rsidRDefault="00000000" w:rsidRPr="00000000" w14:paraId="000000E8">
      <w:pPr>
        <w:spacing w:after="240" w:before="240" w:lineRule="auto"/>
        <w:rPr>
          <w:i w:val="0"/>
          <w:iCs w:val="0"/>
          <w:color w:val="000000"/>
          <w:sz w:val="26"/>
          <w:szCs w:val="26"/>
          <w:highlight w:val="white"/>
        </w:rPr>
      </w:pPr>
      <w:r w:rsidDel="00000000" w:rsidR="00000000" w:rsidRPr="00000000">
        <w:rPr>
          <w:i w:val="0"/>
          <w:iCs w:val="0"/>
          <w:color w:val="000000"/>
          <w:sz w:val="26"/>
          <w:szCs w:val="26"/>
          <w:highlight w:val="white"/>
          <w:rtl w:val="0"/>
        </w:rPr>
        <w:t xml:space="preserve">Digital visibility refers to the degree to which an organisation can be discovered, understood, and trusted within digital environments. It encompasses search ranking, semantic relevance, appearance in answer-focused features such as featured snippets, and the clarity of machine-readable information used by AI systems (Hassan, 2020). As search behaviour evolves, visibility becomes a dynamic construct shaped by user intent, algorithmic interpretations, and platform-specific information retrieval mechanisms.</w:t>
      </w:r>
    </w:p>
    <w:p w:rsidR="00000000" w:rsidDel="00000000" w:rsidP="00000000" w:rsidRDefault="00000000" w:rsidRPr="00000000" w14:paraId="000000E9">
      <w:pPr>
        <w:spacing w:after="240" w:before="240" w:lineRule="auto"/>
        <w:rPr>
          <w:i w:val="0"/>
          <w:iCs w:val="0"/>
          <w:color w:val="000000"/>
          <w:sz w:val="26"/>
          <w:szCs w:val="26"/>
          <w:highlight w:val="white"/>
        </w:rPr>
      </w:pPr>
      <w:r w:rsidDel="00000000" w:rsidR="00000000" w:rsidRPr="00000000">
        <w:rPr>
          <w:i w:val="0"/>
          <w:iCs w:val="0"/>
          <w:color w:val="000000"/>
          <w:sz w:val="26"/>
          <w:szCs w:val="26"/>
          <w:highlight w:val="white"/>
          <w:rtl w:val="0"/>
        </w:rPr>
        <w:t xml:space="preserve">Research shows that modern search interactions are increasingly fragmented across “micro-moments” in which users expect highly contextual answers with minimal cognitive effort (Hassan, 2020). This behaviour reflects the growing influence of mobile search, voice interfaces, and conversational systems, where users rely on natural language queries rather than traditional keyword strings (Das, 2021). With nearly half of search queries producing zero-click results—the user receives the answer without clicking on a website—organisations risk losing visibility even when their pages rank well (Suri &amp; Thakur, 2023; Rogers, 2020).</w:t>
      </w:r>
    </w:p>
    <w:p w:rsidR="00000000" w:rsidDel="00000000" w:rsidP="00000000" w:rsidRDefault="00000000" w:rsidRPr="00000000" w14:paraId="000000EA">
      <w:pPr>
        <w:spacing w:after="240" w:before="240" w:lineRule="auto"/>
        <w:rPr>
          <w:i w:val="0"/>
          <w:iCs w:val="0"/>
          <w:color w:val="000000"/>
          <w:sz w:val="26"/>
          <w:szCs w:val="26"/>
          <w:highlight w:val="white"/>
        </w:rPr>
      </w:pPr>
      <w:r w:rsidDel="00000000" w:rsidR="00000000" w:rsidRPr="00000000">
        <w:rPr>
          <w:i w:val="0"/>
          <w:iCs w:val="0"/>
          <w:color w:val="000000"/>
          <w:sz w:val="26"/>
          <w:szCs w:val="26"/>
          <w:highlight w:val="white"/>
          <w:rtl w:val="0"/>
        </w:rPr>
        <w:t xml:space="preserve">This zero-click phenomenon introduces a visibility paradox: high rankings do not guarantee user attention. Search engines increasingly generate direct answers using featured snippets, knowledge panels, and AI summarisation, bypassing websites entirely. Consequently, visibility is now determined not only by ranking position but by the organisation’s ability to structure content for machine extraction and semantic interpretation (Hummel &amp; Braun, 2019). Traditional SEO approaches that rely on keyword optimisation and backlink acquisition are no longer sufficient; instead, visibility depends on the presence of structured data, clear information architecture, and content engineered to answer questions with precision.</w:t>
      </w:r>
    </w:p>
    <w:p w:rsidR="00000000" w:rsidDel="00000000" w:rsidP="00000000" w:rsidRDefault="00000000" w:rsidRPr="00000000" w14:paraId="000000EB">
      <w:pPr>
        <w:spacing w:after="240" w:before="240" w:lineRule="auto"/>
        <w:rPr>
          <w:i w:val="0"/>
          <w:iCs w:val="0"/>
          <w:color w:val="000000"/>
          <w:sz w:val="26"/>
          <w:szCs w:val="26"/>
          <w:highlight w:val="white"/>
        </w:rPr>
      </w:pPr>
      <w:r w:rsidDel="00000000" w:rsidR="00000000" w:rsidRPr="00000000">
        <w:rPr>
          <w:i w:val="0"/>
          <w:iCs w:val="0"/>
          <w:color w:val="000000"/>
          <w:sz w:val="26"/>
          <w:szCs w:val="26"/>
          <w:highlight w:val="white"/>
          <w:rtl w:val="0"/>
        </w:rPr>
        <w:t xml:space="preserve">For AgriTech organisations, this challenge is magnified by the complexity of their technologies. Consumers often lack foundational knowledge of vertical farming, hydroponics, aeroponics, or controlled-environment agriculture (Rotz et al., 2019). The burden to educate and inform therefore shifts to digital platforms, where semantic clarity and structured explanations become essential. If content is not machine-readable or answer-oriented, algorithms fail to interpret industry-specific concepts, further diminishing visibility. This creates a strong rationale for integrating both SEO and AEO to improve discoverability and ensure accurate algorithmic representation of complex technologies.</w:t>
      </w:r>
    </w:p>
    <w:p w:rsidR="00000000" w:rsidDel="00000000" w:rsidP="00000000" w:rsidRDefault="00000000" w:rsidRPr="00000000" w14:paraId="000000EC">
      <w:pPr>
        <w:rPr>
          <w:b w:val="1"/>
          <w:bCs w:val="1"/>
          <w:i w:val="0"/>
          <w:iCs w:val="0"/>
          <w:color w:val="000000"/>
          <w:sz w:val="26"/>
          <w:szCs w:val="26"/>
          <w:highlight w:val="white"/>
        </w:rPr>
      </w:pPr>
      <w:r w:rsidDel="00000000" w:rsidR="00000000" w:rsidRPr="00000000">
        <w:rPr>
          <w:b w:val="1"/>
          <w:bCs w:val="1"/>
          <w:i w:val="0"/>
          <w:iCs w:val="0"/>
          <w:color w:val="000000"/>
          <w:sz w:val="26"/>
          <w:szCs w:val="26"/>
          <w:highlight w:val="white"/>
          <w:rtl w:val="0"/>
        </w:rPr>
        <w:t xml:space="preserve">2.3 Search Engine Optimization: Theoretical Foundations and Evolution</w:t>
      </w:r>
    </w:p>
    <w:p w:rsidR="00000000" w:rsidDel="00000000" w:rsidP="00000000" w:rsidRDefault="00000000" w:rsidRPr="00000000" w14:paraId="000000ED">
      <w:pPr>
        <w:rPr>
          <w:b w:val="1"/>
          <w:bCs w:val="1"/>
          <w:color w:val="000000"/>
          <w:sz w:val="26"/>
          <w:szCs w:val="26"/>
          <w:highlight w:val="white"/>
        </w:rPr>
      </w:pPr>
      <w:r w:rsidDel="00000000" w:rsidR="00000000" w:rsidRPr="00000000">
        <w:rPr>
          <w:rtl w:val="0"/>
        </w:rPr>
      </w:r>
    </w:p>
    <w:p w:rsidR="00000000" w:rsidDel="00000000" w:rsidP="00000000" w:rsidRDefault="00000000" w:rsidRPr="00000000" w14:paraId="000000EE">
      <w:pPr>
        <w:rPr>
          <w:sz w:val="26"/>
          <w:szCs w:val="26"/>
        </w:rPr>
      </w:pPr>
      <w:r w:rsidDel="00000000" w:rsidR="00000000" w:rsidRPr="00000000">
        <w:rPr>
          <w:i w:val="0"/>
          <w:iCs w:val="0"/>
          <w:color w:val="000000"/>
          <w:sz w:val="26"/>
          <w:szCs w:val="26"/>
          <w:highlight w:val="white"/>
          <w:rtl w:val="0"/>
        </w:rPr>
        <w:t xml:space="preserve">SEO originated with early hyperlink-based ranking systems, most notably PageRank, which conceptualised authority through the number and quality of inbound links (Brin &amp; Page, 1998). Over time, SEO has undergone a transformation driven by natural language processing, entity recognition, machine learning, and increasingly sophisticated ranking algorithms (Das, 2021; Ledford, 2015). Modern SEO prioritises semantic relevance, topical authority, and user intent rather than simple keyword matching.</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i w:val="0"/>
          <w:iCs w:val="0"/>
          <w:color w:val="000000"/>
          <w:sz w:val="26"/>
          <w:szCs w:val="26"/>
        </w:rPr>
      </w:pPr>
      <w:r w:rsidDel="00000000" w:rsidR="00000000" w:rsidRPr="00000000">
        <w:rPr>
          <w:b w:val="1"/>
          <w:bCs w:val="1"/>
          <w:i w:val="0"/>
          <w:iCs w:val="0"/>
          <w:color w:val="000000"/>
          <w:sz w:val="26"/>
          <w:szCs w:val="26"/>
          <w:rtl w:val="0"/>
        </w:rPr>
        <w:t xml:space="preserve">2.3.1 Semantic and Entity-Based Optimization</w:t>
      </w:r>
    </w:p>
    <w:p w:rsidR="00000000" w:rsidDel="00000000" w:rsidP="00000000" w:rsidRDefault="00000000" w:rsidRPr="00000000" w14:paraId="000000F1">
      <w:pPr>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0F2">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Contemporary SEO research emphasises semantic search, where algorithms interpret meaning through concepts, relationships, and contextual signals. Algorithmic updates such as Google Hummingbird, RankBrain, and BERT have shifted ranking determinants from exact-match keywords to semantic coherence and entity structures (Shahzad et al., 2020; Das, 2021). Semantic SEO therefore requires content to address user intent comprehensively, maintain contextual depth, and demonstrate topical expertise.</w:t>
      </w:r>
    </w:p>
    <w:p w:rsidR="00000000" w:rsidDel="00000000" w:rsidP="00000000" w:rsidRDefault="00000000" w:rsidRPr="00000000" w14:paraId="000000F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Entity-based optimisation ensures search engines can recognise organisations, products, and concepts as discrete, structured items within knowledge graphs. This is particularly important for industries like AgriTech, where terminology may be unfamiliar or ambiguous. Without entity clarity, vertical farming companies may struggle to appear in relevant searches, as algorithms cannot associate their content with established conceptual categories.</w:t>
      </w:r>
    </w:p>
    <w:p w:rsidR="00000000" w:rsidDel="00000000" w:rsidP="00000000" w:rsidRDefault="00000000" w:rsidRPr="00000000" w14:paraId="000000F4">
      <w:pPr>
        <w:rPr>
          <w:b w:val="1"/>
          <w:bCs w:val="1"/>
          <w:i w:val="0"/>
          <w:iCs w:val="0"/>
          <w:color w:val="000000"/>
          <w:sz w:val="26"/>
          <w:szCs w:val="26"/>
        </w:rPr>
      </w:pPr>
      <w:r w:rsidDel="00000000" w:rsidR="00000000" w:rsidRPr="00000000">
        <w:rPr>
          <w:b w:val="1"/>
          <w:bCs w:val="1"/>
          <w:i w:val="0"/>
          <w:iCs w:val="0"/>
          <w:color w:val="000000"/>
          <w:sz w:val="26"/>
          <w:szCs w:val="26"/>
          <w:rtl w:val="0"/>
        </w:rPr>
        <w:t xml:space="preserve">2.3.2 Technical SEO and Infrastructure Requirements</w:t>
      </w:r>
    </w:p>
    <w:p w:rsidR="00000000" w:rsidDel="00000000" w:rsidP="00000000" w:rsidRDefault="00000000" w:rsidRPr="00000000" w14:paraId="000000F5">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Technical SEO is foundational for ensuring that search engines can crawl, interpret, and index website content. Performance metrics such as mobile responsiveness, site architecture, loading speed, and rendering behaviour influence both ranking potential and user experience (Pohjanen, 2019). For resource-constrained SMEs, technical limitations—such as outdated website platforms or insufficient hosting—pose significant challenges (López-Nicolás &amp; Meroño‑Cerdán, 2011). Poor technical foundations restrict the effectiveness of all other optimisation strategies, particularly in sectors where audiences require fast, reliable access to dense informational content.</w:t>
      </w:r>
    </w:p>
    <w:p w:rsidR="00000000" w:rsidDel="00000000" w:rsidP="00000000" w:rsidRDefault="00000000" w:rsidRPr="00000000" w14:paraId="000000F6">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2.3.3 SEO Limitations in Zero-Click Environments</w:t>
      </w:r>
    </w:p>
    <w:p w:rsidR="00000000" w:rsidDel="00000000" w:rsidP="00000000" w:rsidRDefault="00000000" w:rsidRPr="00000000" w14:paraId="000000F7">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rise of AI-based answer systems has exposed limitations in traditional SEO models. Ranking no longer guarantees traffic, nor does traffic guarantee visibility (Das, 2021). Search engines increasingly bypass websites by extracting answers directly from indexed content. This phenomenon severely weakens the historical assumption that SEO primarily drives website clicks. As a result, organisations must adapt by prioritising answerability, structured information, and machine-ready formats—areas where traditional SEO alone is insufficient.</w:t>
      </w:r>
    </w:p>
    <w:p w:rsidR="00000000" w:rsidDel="00000000" w:rsidP="00000000" w:rsidRDefault="00000000" w:rsidRPr="00000000" w14:paraId="000000F8">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2.4 Answer Engine Optimization and Semantic Search Advancement</w:t>
      </w:r>
    </w:p>
    <w:p w:rsidR="00000000" w:rsidDel="00000000" w:rsidP="00000000" w:rsidRDefault="00000000" w:rsidRPr="00000000" w14:paraId="000000F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Answer Engine Optimization (AEO) has emerged in response to the shift from traditional link-based search behaviour toward answer-based, intent-driven information retrieval. As search engines increasingly incorporate AI-driven understanding and large language models, they prioritise delivering direct, contextualised answers rather than a list of hyperlinks (Suri &amp; Thakur, 2023). This evolution mirrors broader changes in consumer expectations: users now expect search engines to interpret meaning, resolve ambiguity, and synthesise information instantly. AEO therefore becomes essential for organisations that want their content to remain visible within an environment dominated by zero-click outcomes, featured snippets, and AI summaries. Moreover, research highlights that answer engines increasingly evaluate not only the accuracy of content but also its semantic coherence, structure, and entity relationships (Hummel &amp; Braun, 2019). For firms in emerging industries such as AgriTech, where search queries often involve technical or unfamiliar terminology, AEO provides a structured pathway for making complex knowledge accessible and machine-readable. This positions AEO as a crucial extension of digital visibility strategies in modern search ecosystems.</w:t>
      </w:r>
    </w:p>
    <w:p w:rsidR="00000000" w:rsidDel="00000000" w:rsidP="00000000" w:rsidRDefault="00000000" w:rsidRPr="00000000" w14:paraId="000000FA">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2.4.1 Structured Data and Schema Markup</w:t>
      </w:r>
    </w:p>
    <w:p w:rsidR="00000000" w:rsidDel="00000000" w:rsidP="00000000" w:rsidRDefault="00000000" w:rsidRPr="00000000" w14:paraId="000000FB">
      <w:pPr>
        <w:spacing w:after="240" w:before="240" w:lineRule="auto"/>
        <w:rPr>
          <w:i w:val="0"/>
          <w:iCs w:val="0"/>
          <w:color w:val="000000"/>
        </w:rPr>
      </w:pPr>
      <w:r w:rsidDel="00000000" w:rsidR="00000000" w:rsidRPr="00000000">
        <w:rPr>
          <w:i w:val="0"/>
          <w:iCs w:val="0"/>
          <w:color w:val="000000"/>
          <w:sz w:val="26"/>
          <w:szCs w:val="26"/>
          <w:rtl w:val="0"/>
        </w:rPr>
        <w:t xml:space="preserve">Structured data, schema markup, and semantic annotation form the foundation of AEO because they allow organisations to encode meaning, clarify entity relationships, and present factual information in formats optimised for machine interpretation (Hummel &amp; Braun, 2019). Schema types such as FAQ, HowTo, Product, and Organization markup help search engines categorise content and understand its purpose, increasing the probability that it will be selected for rich results or voice responses. Empirical studies show that pages employing schema markup outperform non‑structured pages in both snippet selection and answer extraction accuracy (Tober, 2017; Rogers, 2020). This is especially relevant for AgriTech-based businesses, where technical terms—such as hydroponics, nutrient film technique, LED‑controlled photoperiods, or climate-regulated cultivation—require explicit semantic modelling to avoid misinterpretation by algorithms. Structured data also supports integration into Google’s Knowledge Graph, allowing the organisation and its technologies to be recognised as distinct entities. As semantic search continues to evolve, structured annotation becomes more than an optimisation technique: it becomes an essential tool for reducing ambiguity, improving informational quality, and enabling algorithmic trust—particularly in sectors that rely on scientific accuracy and process transparency.</w:t>
      </w:r>
      <w:r w:rsidDel="00000000" w:rsidR="00000000" w:rsidRPr="00000000">
        <w:rPr>
          <w:rtl w:val="0"/>
        </w:rPr>
      </w:r>
    </w:p>
    <w:p w:rsidR="00000000" w:rsidDel="00000000" w:rsidP="00000000" w:rsidRDefault="00000000" w:rsidRPr="00000000" w14:paraId="000000FC">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2.4.2 Voice Search and Answer Optimization</w:t>
      </w:r>
    </w:p>
    <w:p w:rsidR="00000000" w:rsidDel="00000000" w:rsidP="00000000" w:rsidRDefault="00000000" w:rsidRPr="00000000" w14:paraId="000000FD">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Voice search technologies further intensify the importance of AEO because voice assistants typically provide a single spoken response, creating a winner‑takes‑all visibility environment. Voice queries tend to be longer, more conversational, and more context‑dependent than typed queries, requiring content that directly answers “who,” “what,” “how,” and “why” style questions (Hassan, 2020). Organisations therefore need to produce concise, authoritative answer blocks supported by structured data, clear entity definitions, and consistent terminology across pages. Research by Dell’Acqua et al. (2023) shows that featured snippets selected for voice responses share specific characteristics: short sentence structures, high factual density, and strong alignment with user intent. In emerging industries such as vertical farming, voice-enabled search plays a key role in guiding public understanding of unfamiliar concepts, meaning organisations must translate scientific or technical processes into simplified explanatory formats. However, despite rising practitioner adoption, the academic literature on AEO and voice-search optimisation remains insufficiently developed (Suri &amp; Thakur, 2023), indicating the need for further empirical research on how voice technologies influence digital communication and industry visibility.</w:t>
      </w:r>
    </w:p>
    <w:p w:rsidR="00000000" w:rsidDel="00000000" w:rsidP="00000000" w:rsidRDefault="00000000" w:rsidRPr="00000000" w14:paraId="000000FE">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2.5 Additional Digital Marketing Techniques</w:t>
      </w:r>
    </w:p>
    <w:p w:rsidR="00000000" w:rsidDel="00000000" w:rsidP="00000000" w:rsidRDefault="00000000" w:rsidRPr="00000000" w14:paraId="000000FF">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While SEO and AEO form the backbone of search-based visibility, digital marketing effectiveness relies on a wider ecosystem of complementary techniques that enhance credibility, engagement, and brand discoverability. Research demonstrates that organisations adopting multi‑channel digital strategies outperform those relying solely on search-based tactics, particularly in markets with complex informational needs (Chaffey &amp; Ellis‑Chadwick, 2022). For AgriTech and vertical farming firms, where public understanding is limited and technical explanations are essential, diversified digital communication plays a central role in building trust. The integration of SEO with SEM, content marketing, social media engagement, and UX optimisation allows firms to guide users through different stages of the digital customer journey.</w:t>
      </w:r>
    </w:p>
    <w:p w:rsidR="00000000" w:rsidDel="00000000" w:rsidP="00000000" w:rsidRDefault="00000000" w:rsidRPr="00000000" w14:paraId="00000100">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2.5.1 Search Engine Marketing</w:t>
      </w:r>
    </w:p>
    <w:p w:rsidR="00000000" w:rsidDel="00000000" w:rsidP="00000000" w:rsidRDefault="00000000" w:rsidRPr="00000000" w14:paraId="00000101">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SEM enables organisations to obtain immediate visibility for competitive keywords that may take months to rank for organically. While costly, SEM is especially useful for SMEs attempting to enter crowded digital markets or introduce novel technologies lacking search familiarity (Chaffey &amp; Ellis‑Chadwick, 2022). Studies such as Berman &amp; Katona (2013) show that SEM becomes most effective when integrated with organic strategies, enabling reinforcement across both paid and unpaid channels.</w:t>
      </w:r>
    </w:p>
    <w:p w:rsidR="00000000" w:rsidDel="00000000" w:rsidP="00000000" w:rsidRDefault="00000000" w:rsidRPr="00000000" w14:paraId="00000102">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103">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2.5.2 Content Marketing </w:t>
      </w:r>
    </w:p>
    <w:p w:rsidR="00000000" w:rsidDel="00000000" w:rsidP="00000000" w:rsidRDefault="00000000" w:rsidRPr="00000000" w14:paraId="00000104">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Content marketing remains essential for building authority and improving informational depth. High-quality content that addresses user questions, simplifies technical concepts, and demonstrates expertise contributes to both ranking performance and answerability (Kotler et al., 2021; Das, 2021). In vertical farming, where consumers often lack knowledge about production methods or sustainability benefits, educational content becomes a primary vehicle for translating innovation into perceived value (Mancini et al., 2019).</w:t>
      </w:r>
    </w:p>
    <w:p w:rsidR="00000000" w:rsidDel="00000000" w:rsidP="00000000" w:rsidRDefault="00000000" w:rsidRPr="00000000" w14:paraId="00000105">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2.5.3 Social Media Marketing</w:t>
      </w:r>
    </w:p>
    <w:p w:rsidR="00000000" w:rsidDel="00000000" w:rsidP="00000000" w:rsidRDefault="00000000" w:rsidRPr="00000000" w14:paraId="00000106">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Social media platforms facilitate public engagement, community-building, and the dissemination of informational content. Research shows that user-generated content and peer interactions shape perceived credibility more strongly than organisational messaging alone (Hassan, 2020). For AgriTech SMEs, social media serves as a cost-effective mechanism to showcase production processes, sustainability outcomes, and behind‑the‑scenes innovations.</w:t>
      </w:r>
    </w:p>
    <w:p w:rsidR="00000000" w:rsidDel="00000000" w:rsidP="00000000" w:rsidRDefault="00000000" w:rsidRPr="00000000" w14:paraId="00000107">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2.5.4 Website Optimization and User Experience</w:t>
      </w:r>
    </w:p>
    <w:p w:rsidR="00000000" w:rsidDel="00000000" w:rsidP="00000000" w:rsidRDefault="00000000" w:rsidRPr="00000000" w14:paraId="00000108">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Website optimisation enhances both engagement and search performance. Usability frameworks emphasise intuitive navigation, responsive design, clear information hierarchy, and accessible content presentation (Garrett, 2011). Search engines increasingly incorporate UX signals—such as dwell time and mobile usability—into ranking algorithms (Pohjanen, 2019), meaning that poor usability can diminish visibility even with strong optimisation efforts.</w:t>
      </w:r>
    </w:p>
    <w:p w:rsidR="00000000" w:rsidDel="00000000" w:rsidP="00000000" w:rsidRDefault="00000000" w:rsidRPr="00000000" w14:paraId="00000109">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2.6 Technology Adoption and Organizational Capability Building</w:t>
      </w:r>
    </w:p>
    <w:p w:rsidR="00000000" w:rsidDel="00000000" w:rsidP="00000000" w:rsidRDefault="00000000" w:rsidRPr="00000000" w14:paraId="0000010A">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2.6.1 Technology Acceptance Model</w:t>
      </w:r>
    </w:p>
    <w:p w:rsidR="00000000" w:rsidDel="00000000" w:rsidP="00000000" w:rsidRDefault="00000000" w:rsidRPr="00000000" w14:paraId="0000010B">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Technology Acceptance Model provides a foundational perspective for understanding organisational adoption of digital tools, highlighting perceived usefulness and perceived ease of use as key determinants (Davis, 1989). For SMEs, digital optimisation practices such as SEO and AEO are often perceived as complex, resource-intensive, or difficult to implement due to gaps in digital proficiency. Studies of SME digital adoption show that positive perception of usefulness often exists, but low perceived ease of use remains a significant barrier, particularly where technical tasks like structured data implementation or semantic modelling are required (Taiminen &amp; Karjaluoto, 2015). TAM thus helps explain why SME adoption often progresses slowly despite awareness of digital importance.</w:t>
      </w:r>
    </w:p>
    <w:p w:rsidR="00000000" w:rsidDel="00000000" w:rsidP="00000000" w:rsidRDefault="00000000" w:rsidRPr="00000000" w14:paraId="0000010C">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2.6.2 Technology-Organization-Environment Framework</w:t>
      </w:r>
    </w:p>
    <w:p w:rsidR="00000000" w:rsidDel="00000000" w:rsidP="00000000" w:rsidRDefault="00000000" w:rsidRPr="00000000" w14:paraId="0000010D">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TOE framework expands adoption theory by incorporating organisational characteristics, technological infrastructure, and environmental pressures. In emerging industries such as AgriTech, firms face high competitive pressure to adopt digital tools but typically lack formalised structures, specialised staff, or financial resources (López‑Nicolás &amp; Meroño‑Cerdán, 2011). Studies such as Zhu &amp; Kraemer (2005) show that digital transformation in SMEs depends heavily on managerial vision and the ability to integrate new technologies into existing workflows. TOE is therefore particularly relevant to understanding adoption gaps in SEO and AEO implementation, as these tasks require a combination of technological readiness, strategic leadership, and environmental fit.</w:t>
      </w:r>
    </w:p>
    <w:p w:rsidR="00000000" w:rsidDel="00000000" w:rsidP="00000000" w:rsidRDefault="00000000" w:rsidRPr="00000000" w14:paraId="0000010E">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2.6.3 Resource Based View and Digital Capabilities</w:t>
      </w:r>
    </w:p>
    <w:p w:rsidR="00000000" w:rsidDel="00000000" w:rsidP="00000000" w:rsidRDefault="00000000" w:rsidRPr="00000000" w14:paraId="0000010F">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Resource-Based View positions digital capabilities as strategic assets that contribute to long-term competitive advantage when they are valuable, rare, and difficult for competitors to imitate (Bharadwaj, 2013). In fast-evolving digital markets, however, static capabilities are insufficient; organisations must continuously redevelop skills and processes—a concept central to Teece’s (2007) Dynamic Capabilities Theory. Research by Matarazzo et al. (2021) demonstrates that SMEs that actively develop dynamic digital capabilities achieve higher digital maturity and market responsiveness. For AgriTech firms, digital capabilities—including content skills, technical SEO knowledge, analytics literacy, and semantic modelling—become competitive differentiators because many competitors remain digitally underdeveloped. Thus, capability building becomes both a strategic requirement and a barrier to adoption.</w:t>
      </w:r>
    </w:p>
    <w:p w:rsidR="00000000" w:rsidDel="00000000" w:rsidP="00000000" w:rsidRDefault="00000000" w:rsidRPr="00000000" w14:paraId="00000110">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2.7 Digital Communication in Technologically Complex Sectors</w:t>
      </w:r>
    </w:p>
    <w:p w:rsidR="00000000" w:rsidDel="00000000" w:rsidP="00000000" w:rsidRDefault="00000000" w:rsidRPr="00000000" w14:paraId="00000111">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Technology-intensive sectors such as vertical farming rely heavily on digital communication to translate scientific processes into accessible narratives that build trust among consumers, investors, and industry stakeholders. Research shows that lack of public familiarity with advanced agricultural systems leads to uncertainty and perceived risk, making transparency and clarity essential components of communication strategy (Rotz et al., 2019). Mancini et al. (2019) demonstrate that educational content significantly increases acceptance of sustainable production methods by reducing informational asymmetry. Additionally, studies by Jürkenbeck et al. (2020) reveal that consumers form more favourable perceptions of vertical farming when exposed to visual explanations and clear descriptions of environmental benefits. Digital channels therefore serve a dual function: they promote brand visibility while also facilitating scientific literacy and understanding of agricultural innovation. This makes SEO and AEO essential for ensuring that credible, accurate information reaches audiences at moments of search intent.</w:t>
      </w:r>
    </w:p>
    <w:p w:rsidR="00000000" w:rsidDel="00000000" w:rsidP="00000000" w:rsidRDefault="00000000" w:rsidRPr="00000000" w14:paraId="00000112">
      <w:pPr>
        <w:spacing w:after="240" w:before="240" w:lineRule="auto"/>
        <w:rPr>
          <w:rFonts w:ascii="Arial" w:cs="Arial" w:eastAsia="Arial" w:hAnsi="Arial"/>
          <w:b w:val="1"/>
          <w:bCs w:val="1"/>
          <w:i w:val="0"/>
          <w:iCs w:val="0"/>
          <w:color w:val="000000"/>
        </w:rPr>
      </w:pPr>
      <w:r w:rsidDel="00000000" w:rsidR="00000000" w:rsidRPr="00000000">
        <w:rPr>
          <w:b w:val="1"/>
          <w:bCs w:val="1"/>
          <w:i w:val="0"/>
          <w:iCs w:val="0"/>
          <w:color w:val="000000"/>
          <w:rtl w:val="0"/>
        </w:rPr>
        <w:t xml:space="preserve">2.8 Integrating SEO and AEO for Modern Visibility</w:t>
      </w:r>
      <w:r w:rsidDel="00000000" w:rsidR="00000000" w:rsidRPr="00000000">
        <w:rPr>
          <w:rtl w:val="0"/>
        </w:rPr>
      </w:r>
    </w:p>
    <w:p w:rsidR="00000000" w:rsidDel="00000000" w:rsidP="00000000" w:rsidRDefault="00000000" w:rsidRPr="00000000" w14:paraId="00000113">
      <w:pPr>
        <w:spacing w:after="240" w:before="240" w:lineRule="auto"/>
        <w:rPr>
          <w:i w:val="0"/>
          <w:iCs w:val="0"/>
          <w:color w:val="000000"/>
        </w:rPr>
      </w:pPr>
      <w:r w:rsidDel="00000000" w:rsidR="00000000" w:rsidRPr="00000000">
        <w:rPr>
          <w:i w:val="0"/>
          <w:iCs w:val="0"/>
          <w:color w:val="000000"/>
          <w:rtl w:val="0"/>
        </w:rPr>
        <w:t xml:space="preserve">Recent scholarship increasingly frames SEO and AEO as complementary components of a unified optimisation strategy rather than competing methodologies (Das, 2021; Suri &amp; Thakur, 2023). SEO enhances discoverability through traditional ranking mechanisms, while AEO ensures that content is formatted for extraction by AI-driven systems and zero-click interfaces. Integrated optimisation therefore enables firms to perform strongly in both link-based and answer-based environments. Studies such as Giomelakis &amp; Veglis (2016) highlight that semantic SEO practices—such as entity optimisation, topic clustering, and contextual linking—naturally support AEO by increasing machine interpretability. For AgriTech organisations, this integration is particularly valuable because search queries often require explanatory answers rather than simple navigational results. Thus, combining SEO and AEO allows firms not only to be discovered but also to be understood—supporting consumer education, reducing perceived risk, and reinforcing industry authority. As search engines continue adopting AI and conversational interfaces, this integrated approach represents a forward-facing visibility strategy aligned with future digital ecosystems.</w:t>
      </w:r>
    </w:p>
    <w:p w:rsidR="00000000" w:rsidDel="00000000" w:rsidP="00000000" w:rsidRDefault="00000000" w:rsidRPr="00000000" w14:paraId="00000114">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2.9 Critical Research Gaps and Unresolved Questions</w:t>
      </w:r>
    </w:p>
    <w:p w:rsidR="00000000" w:rsidDel="00000000" w:rsidP="00000000" w:rsidRDefault="00000000" w:rsidRPr="00000000" w14:paraId="00000115">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Across the reviewed literature, several gaps remain:</w:t>
      </w:r>
    </w:p>
    <w:p w:rsidR="00000000" w:rsidDel="00000000" w:rsidP="00000000" w:rsidRDefault="00000000" w:rsidRPr="00000000" w14:paraId="00000116">
      <w:pPr>
        <w:numPr>
          <w:ilvl w:val="0"/>
          <w:numId w:val="32"/>
        </w:numPr>
        <w:spacing w:after="240" w:before="240" w:lineRule="auto"/>
        <w:ind w:left="720" w:hanging="360"/>
        <w:rPr>
          <w:i w:val="0"/>
          <w:iCs w:val="0"/>
          <w:color w:val="000000"/>
          <w:sz w:val="26"/>
          <w:szCs w:val="26"/>
        </w:rPr>
      </w:pPr>
      <w:r w:rsidDel="00000000" w:rsidR="00000000" w:rsidRPr="00000000">
        <w:rPr>
          <w:i w:val="0"/>
          <w:iCs w:val="0"/>
          <w:color w:val="000000"/>
          <w:sz w:val="26"/>
          <w:szCs w:val="26"/>
          <w:rtl w:val="0"/>
        </w:rPr>
        <w:t xml:space="preserve">Limited academic research combining SEO and AEO within integrated frameworks.</w:t>
      </w:r>
    </w:p>
    <w:p w:rsidR="00000000" w:rsidDel="00000000" w:rsidP="00000000" w:rsidRDefault="00000000" w:rsidRPr="00000000" w14:paraId="00000117">
      <w:pPr>
        <w:numPr>
          <w:ilvl w:val="0"/>
          <w:numId w:val="32"/>
        </w:numPr>
        <w:spacing w:after="240" w:before="240" w:lineRule="auto"/>
        <w:ind w:left="720" w:hanging="360"/>
        <w:rPr>
          <w:i w:val="0"/>
          <w:iCs w:val="0"/>
          <w:color w:val="000000"/>
          <w:sz w:val="26"/>
          <w:szCs w:val="26"/>
        </w:rPr>
      </w:pPr>
      <w:r w:rsidDel="00000000" w:rsidR="00000000" w:rsidRPr="00000000">
        <w:rPr>
          <w:i w:val="0"/>
          <w:iCs w:val="0"/>
          <w:color w:val="000000"/>
          <w:sz w:val="26"/>
          <w:szCs w:val="26"/>
          <w:rtl w:val="0"/>
        </w:rPr>
        <w:t xml:space="preserve">Lack of sector-specific studies applying optimisation strategies to AgriTech.</w:t>
      </w:r>
    </w:p>
    <w:p w:rsidR="00000000" w:rsidDel="00000000" w:rsidP="00000000" w:rsidRDefault="00000000" w:rsidRPr="00000000" w14:paraId="00000118">
      <w:pPr>
        <w:numPr>
          <w:ilvl w:val="0"/>
          <w:numId w:val="32"/>
        </w:numPr>
        <w:spacing w:after="240" w:before="240" w:lineRule="auto"/>
        <w:ind w:left="720" w:hanging="360"/>
        <w:rPr>
          <w:i w:val="0"/>
          <w:iCs w:val="0"/>
          <w:color w:val="000000"/>
          <w:sz w:val="26"/>
          <w:szCs w:val="26"/>
        </w:rPr>
      </w:pPr>
      <w:r w:rsidDel="00000000" w:rsidR="00000000" w:rsidRPr="00000000">
        <w:rPr>
          <w:i w:val="0"/>
          <w:iCs w:val="0"/>
          <w:color w:val="000000"/>
          <w:sz w:val="26"/>
          <w:szCs w:val="26"/>
          <w:rtl w:val="0"/>
        </w:rPr>
        <w:t xml:space="preserve">Minimal examination of how visibility contributes to trust in emerging technologies.</w:t>
      </w:r>
    </w:p>
    <w:p w:rsidR="00000000" w:rsidDel="00000000" w:rsidP="00000000" w:rsidRDefault="00000000" w:rsidRPr="00000000" w14:paraId="00000119">
      <w:pPr>
        <w:numPr>
          <w:ilvl w:val="0"/>
          <w:numId w:val="32"/>
        </w:numPr>
        <w:spacing w:after="240" w:before="240" w:lineRule="auto"/>
        <w:ind w:left="720" w:hanging="360"/>
        <w:rPr>
          <w:i w:val="0"/>
          <w:iCs w:val="0"/>
          <w:color w:val="000000"/>
          <w:sz w:val="26"/>
          <w:szCs w:val="26"/>
        </w:rPr>
      </w:pPr>
      <w:r w:rsidDel="00000000" w:rsidR="00000000" w:rsidRPr="00000000">
        <w:rPr>
          <w:i w:val="0"/>
          <w:iCs w:val="0"/>
          <w:color w:val="000000"/>
          <w:sz w:val="26"/>
          <w:szCs w:val="26"/>
          <w:rtl w:val="0"/>
        </w:rPr>
        <w:t xml:space="preserve">Insufficient study of SME constraints in adopting advanced optimisation strategies.</w:t>
      </w:r>
    </w:p>
    <w:p w:rsidR="00000000" w:rsidDel="00000000" w:rsidP="00000000" w:rsidRDefault="00000000" w:rsidRPr="00000000" w14:paraId="0000011A">
      <w:pPr>
        <w:numPr>
          <w:ilvl w:val="0"/>
          <w:numId w:val="32"/>
        </w:numPr>
        <w:spacing w:after="240" w:before="240" w:lineRule="auto"/>
        <w:ind w:left="720" w:hanging="360"/>
        <w:rPr>
          <w:i w:val="0"/>
          <w:iCs w:val="0"/>
          <w:color w:val="000000"/>
          <w:sz w:val="26"/>
          <w:szCs w:val="26"/>
        </w:rPr>
      </w:pPr>
      <w:r w:rsidDel="00000000" w:rsidR="00000000" w:rsidRPr="00000000">
        <w:rPr>
          <w:i w:val="0"/>
          <w:iCs w:val="0"/>
          <w:color w:val="000000"/>
          <w:sz w:val="26"/>
          <w:szCs w:val="26"/>
          <w:rtl w:val="0"/>
        </w:rPr>
        <w:t xml:space="preserve">Underdeveloped empirical research on AEO despite its growing industry relevance.</w:t>
      </w:r>
    </w:p>
    <w:p w:rsidR="00000000" w:rsidDel="00000000" w:rsidP="00000000" w:rsidRDefault="00000000" w:rsidRPr="00000000" w14:paraId="0000011B">
      <w:pPr>
        <w:spacing w:after="240" w:before="240" w:lineRule="auto"/>
        <w:ind w:left="0" w:firstLine="0"/>
        <w:rPr>
          <w:i w:val="0"/>
          <w:iCs w:val="0"/>
          <w:color w:val="000000"/>
          <w:sz w:val="26"/>
          <w:szCs w:val="26"/>
        </w:rPr>
      </w:pPr>
      <w:r w:rsidDel="00000000" w:rsidR="00000000" w:rsidRPr="00000000">
        <w:rPr>
          <w:i w:val="0"/>
          <w:iCs w:val="0"/>
          <w:color w:val="000000"/>
          <w:sz w:val="26"/>
          <w:szCs w:val="26"/>
          <w:rtl w:val="0"/>
        </w:rPr>
        <w:t xml:space="preserve">These gaps justify the present study’s focus on developing a conceptual understanding of SEO and AEO within technologically innovative sectors.</w:t>
      </w:r>
    </w:p>
    <w:p w:rsidR="00000000" w:rsidDel="00000000" w:rsidP="00000000" w:rsidRDefault="00000000" w:rsidRPr="00000000" w14:paraId="0000011C">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11D">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2.10 Conclusion</w:t>
      </w:r>
    </w:p>
    <w:p w:rsidR="00000000" w:rsidDel="00000000" w:rsidP="00000000" w:rsidRDefault="00000000" w:rsidRPr="00000000" w14:paraId="0000011E">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This literature review demonstrates that digital visibility is shaped by a convergence of algorithmic systems, user behaviour shifts, and strategic communication approaches. In sectors such as AgriTech, where technological complexity requires clear and authoritative explanations, SEO and AEO offer essential pathways to build visibility, trust, and market legitimacy. The reviewed theories highlight both opportunities and constraints faced by SMEs like FENIXSAN LIMITED and form the basis for the subsequent methodology and analysis chapters.</w:t>
      </w:r>
    </w:p>
    <w:p w:rsidR="00000000" w:rsidDel="00000000" w:rsidP="00000000" w:rsidRDefault="00000000" w:rsidRPr="00000000" w14:paraId="0000011F">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20">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21">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22">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23">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24">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25">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26">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7">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8">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9">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A">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B">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C">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D">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E">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2F">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30">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31">
      <w:pPr>
        <w:spacing w:line="276" w:lineRule="auto"/>
        <w:jc w:val="left"/>
        <w:rPr>
          <w:b w:val="1"/>
          <w:bCs w:val="1"/>
          <w:i w:val="0"/>
          <w:iCs w:val="0"/>
          <w:color w:val="000000"/>
          <w:sz w:val="26"/>
          <w:szCs w:val="26"/>
        </w:rPr>
      </w:pPr>
      <w:r w:rsidDel="00000000" w:rsidR="00000000" w:rsidRPr="00000000">
        <w:rPr>
          <w:b w:val="1"/>
          <w:bCs w:val="1"/>
          <w:i w:val="0"/>
          <w:iCs w:val="0"/>
          <w:color w:val="000000"/>
          <w:sz w:val="26"/>
          <w:szCs w:val="26"/>
          <w:rtl w:val="0"/>
        </w:rPr>
        <w:t xml:space="preserve">3. METHODOLOGY</w:t>
      </w:r>
    </w:p>
    <w:p w:rsidR="00000000" w:rsidDel="00000000" w:rsidP="00000000" w:rsidRDefault="00000000" w:rsidRPr="00000000" w14:paraId="00000132">
      <w:pPr>
        <w:spacing w:line="276" w:lineRule="auto"/>
        <w:jc w:val="left"/>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33">
      <w:pPr>
        <w:spacing w:line="276" w:lineRule="auto"/>
        <w:rPr>
          <w:i w:val="0"/>
          <w:iCs w:val="0"/>
          <w:color w:val="000000"/>
          <w:sz w:val="26"/>
          <w:szCs w:val="26"/>
        </w:rPr>
      </w:pPr>
      <w:r w:rsidDel="00000000" w:rsidR="00000000" w:rsidRPr="00000000">
        <w:rPr>
          <w:i w:val="0"/>
          <w:iCs w:val="0"/>
          <w:color w:val="000000"/>
          <w:sz w:val="26"/>
          <w:szCs w:val="26"/>
          <w:rtl w:val="0"/>
        </w:rPr>
        <w:t xml:space="preserve">This chapter outlines the methodological foundations of the study and demonstrates how the research design supports the overall aim of examining digital visibility strategies—specifically Search Engine Optimisation (SEO) and Answer Engine Optimisation (AEO)—through qualitative secondary analysis. According to Saunders, Lewis and Thornhill (2023), a rigorous methodology must be philosophically coherent, logically structured, and aligned with the research objectives. Given that this dissertation seeks to interpret conceptual developments, theoretical arguments, and digital communication practices rather than measure behavioural patterns or test statistical relationships, a qualitative, interpretivist, and inductive framework is most appropriate.</w:t>
      </w:r>
    </w:p>
    <w:p w:rsidR="00000000" w:rsidDel="00000000" w:rsidP="00000000" w:rsidRDefault="00000000" w:rsidRPr="00000000" w14:paraId="00000134">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35">
      <w:pPr>
        <w:spacing w:line="276" w:lineRule="auto"/>
        <w:rPr>
          <w:i w:val="0"/>
          <w:iCs w:val="0"/>
          <w:color w:val="000000"/>
          <w:sz w:val="26"/>
          <w:szCs w:val="26"/>
        </w:rPr>
      </w:pPr>
      <w:r w:rsidDel="00000000" w:rsidR="00000000" w:rsidRPr="00000000">
        <w:rPr>
          <w:i w:val="0"/>
          <w:iCs w:val="0"/>
          <w:color w:val="000000"/>
          <w:sz w:val="26"/>
          <w:szCs w:val="26"/>
          <w:rtl w:val="0"/>
        </w:rPr>
        <w:t xml:space="preserve">The study draws exclusively on secondary sources, including academic literature, technical documentation, industry reports, and publicly available online materials. As documentary analysis does not involve human participants or primary data generation, it is well suited to research questions that focus on conceptual depth, meaning-making, and the examination of textual evidence (Mogalakwe, 2006; Bowen, 2009). This chapter outlines the philosophical stance, research approach, design, data collection strategy, sampling framework, analytical procedures, ethical considerations, and steps taken to ensure trustworthiness.</w:t>
      </w:r>
    </w:p>
    <w:p w:rsidR="00000000" w:rsidDel="00000000" w:rsidP="00000000" w:rsidRDefault="00000000" w:rsidRPr="00000000" w14:paraId="00000136">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37">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3.1 Research Philosophy</w:t>
      </w:r>
    </w:p>
    <w:p w:rsidR="00000000" w:rsidDel="00000000" w:rsidP="00000000" w:rsidRDefault="00000000" w:rsidRPr="00000000" w14:paraId="00000138">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39">
      <w:pPr>
        <w:spacing w:line="276" w:lineRule="auto"/>
        <w:rPr>
          <w:i w:val="0"/>
          <w:iCs w:val="0"/>
          <w:color w:val="000000"/>
          <w:sz w:val="26"/>
          <w:szCs w:val="26"/>
        </w:rPr>
      </w:pPr>
      <w:r w:rsidDel="00000000" w:rsidR="00000000" w:rsidRPr="00000000">
        <w:rPr>
          <w:i w:val="0"/>
          <w:iCs w:val="0"/>
          <w:color w:val="000000"/>
          <w:sz w:val="26"/>
          <w:szCs w:val="26"/>
          <w:rtl w:val="0"/>
        </w:rPr>
        <w:t xml:space="preserve">Research philosophy concerns the assumptions about knowledge and reality that underpin methodological decisions (Collis &amp; Hussey, 2014). This study adopts an interpretivist perspective, which holds that knowledge is constructed through subjective interpretation rather than discovered as objective fact (Bryman, Bell &amp; Harley, 2022). Interpretivism is appropriate because SEO and AEO are not merely technical processes; they are socio‑technical practices shaped by human behaviour, algorithmic changes, and evolving communication norms. Understanding these practices requires interpretation of how authors conceptualise visibility, how digital documents encode meaning, and how optimisation frameworks are represented across academic and industry contexts.</w:t>
      </w:r>
    </w:p>
    <w:p w:rsidR="00000000" w:rsidDel="00000000" w:rsidP="00000000" w:rsidRDefault="00000000" w:rsidRPr="00000000" w14:paraId="0000013A">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3B">
      <w:pPr>
        <w:spacing w:line="276" w:lineRule="auto"/>
        <w:rPr>
          <w:i w:val="0"/>
          <w:iCs w:val="0"/>
          <w:color w:val="000000"/>
          <w:sz w:val="26"/>
          <w:szCs w:val="26"/>
        </w:rPr>
      </w:pPr>
      <w:r w:rsidDel="00000000" w:rsidR="00000000" w:rsidRPr="00000000">
        <w:rPr>
          <w:i w:val="0"/>
          <w:iCs w:val="0"/>
          <w:color w:val="000000"/>
          <w:sz w:val="26"/>
          <w:szCs w:val="26"/>
          <w:rtl w:val="0"/>
        </w:rPr>
        <w:t xml:space="preserve">The study also draws on constructivist principles, which argue that meaning is continuously co‑created through discourse, interaction, and contextual understanding (Guba &amp; Lincoln, 1994). Since digital marketing knowledge evolves rapidly due to algorithmic updates and shifting search behaviours, the constructivist paradigm supports exploration of how these meanings develop within existing secondary sources. Together, interpretivism and constructivism provide a philosophical foundation for a study focused on understanding rather than prediction.</w:t>
      </w:r>
    </w:p>
    <w:p w:rsidR="00000000" w:rsidDel="00000000" w:rsidP="00000000" w:rsidRDefault="00000000" w:rsidRPr="00000000" w14:paraId="0000013C">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3D">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3.2 Research Approach</w:t>
      </w:r>
    </w:p>
    <w:p w:rsidR="00000000" w:rsidDel="00000000" w:rsidP="00000000" w:rsidRDefault="00000000" w:rsidRPr="00000000" w14:paraId="0000013E">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3F">
      <w:pPr>
        <w:spacing w:line="276" w:lineRule="auto"/>
        <w:rPr>
          <w:i w:val="0"/>
          <w:iCs w:val="0"/>
          <w:color w:val="000000"/>
          <w:sz w:val="26"/>
          <w:szCs w:val="26"/>
        </w:rPr>
      </w:pPr>
      <w:r w:rsidDel="00000000" w:rsidR="00000000" w:rsidRPr="00000000">
        <w:rPr>
          <w:i w:val="0"/>
          <w:iCs w:val="0"/>
          <w:color w:val="000000"/>
          <w:sz w:val="26"/>
          <w:szCs w:val="26"/>
          <w:rtl w:val="0"/>
        </w:rPr>
        <w:t xml:space="preserve">An inductive qualitative approach is adopted, as the aim is to generate insights by identifying themes and patterns within existing literature rather than testing predefined hypotheses. Inductive research is suitable when exploring evolving concepts, theories, and frameworks (Saunders et al., 2023).</w:t>
      </w:r>
    </w:p>
    <w:p w:rsidR="00000000" w:rsidDel="00000000" w:rsidP="00000000" w:rsidRDefault="00000000" w:rsidRPr="00000000" w14:paraId="00000140">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41">
      <w:pPr>
        <w:spacing w:line="276" w:lineRule="auto"/>
        <w:rPr>
          <w:i w:val="0"/>
          <w:iCs w:val="0"/>
          <w:color w:val="000000"/>
          <w:sz w:val="26"/>
          <w:szCs w:val="26"/>
        </w:rPr>
      </w:pPr>
      <w:r w:rsidDel="00000000" w:rsidR="00000000" w:rsidRPr="00000000">
        <w:rPr>
          <w:i w:val="0"/>
          <w:iCs w:val="0"/>
          <w:color w:val="000000"/>
          <w:sz w:val="26"/>
          <w:szCs w:val="26"/>
          <w:rtl w:val="0"/>
        </w:rPr>
        <w:t xml:space="preserve">This approach aligns with the research objectives:</w:t>
      </w:r>
    </w:p>
    <w:p w:rsidR="00000000" w:rsidDel="00000000" w:rsidP="00000000" w:rsidRDefault="00000000" w:rsidRPr="00000000" w14:paraId="00000142">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43">
      <w:pPr>
        <w:numPr>
          <w:ilvl w:val="0"/>
          <w:numId w:val="30"/>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To identify and synthesise key concepts related to digital visibility.</w:t>
      </w:r>
    </w:p>
    <w:p w:rsidR="00000000" w:rsidDel="00000000" w:rsidP="00000000" w:rsidRDefault="00000000" w:rsidRPr="00000000" w14:paraId="00000144">
      <w:pPr>
        <w:numPr>
          <w:ilvl w:val="0"/>
          <w:numId w:val="15"/>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To analyse academic and documentary evidence regarding SEO and AEO.</w:t>
      </w:r>
    </w:p>
    <w:p w:rsidR="00000000" w:rsidDel="00000000" w:rsidP="00000000" w:rsidRDefault="00000000" w:rsidRPr="00000000" w14:paraId="00000145">
      <w:pPr>
        <w:numPr>
          <w:ilvl w:val="0"/>
          <w:numId w:val="5"/>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To interpret theoretical perspectives and optimisation frameworks.</w:t>
      </w:r>
    </w:p>
    <w:p w:rsidR="00000000" w:rsidDel="00000000" w:rsidP="00000000" w:rsidRDefault="00000000" w:rsidRPr="00000000" w14:paraId="00000146">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47">
      <w:pPr>
        <w:spacing w:line="276" w:lineRule="auto"/>
        <w:rPr>
          <w:i w:val="0"/>
          <w:iCs w:val="0"/>
          <w:color w:val="000000"/>
          <w:sz w:val="26"/>
          <w:szCs w:val="26"/>
        </w:rPr>
      </w:pPr>
      <w:r w:rsidDel="00000000" w:rsidR="00000000" w:rsidRPr="00000000">
        <w:rPr>
          <w:i w:val="0"/>
          <w:iCs w:val="0"/>
          <w:color w:val="000000"/>
          <w:sz w:val="26"/>
          <w:szCs w:val="26"/>
          <w:rtl w:val="0"/>
        </w:rPr>
        <w:t xml:space="preserve">Induction allows the study to move from detailed textual data toward broader conceptual understanding, producing thematic insights relevant to digital visibility practices.</w:t>
      </w:r>
    </w:p>
    <w:p w:rsidR="00000000" w:rsidDel="00000000" w:rsidP="00000000" w:rsidRDefault="00000000" w:rsidRPr="00000000" w14:paraId="00000148">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49">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3.3 Research Design</w:t>
      </w:r>
    </w:p>
    <w:p w:rsidR="00000000" w:rsidDel="00000000" w:rsidP="00000000" w:rsidRDefault="00000000" w:rsidRPr="00000000" w14:paraId="0000014A">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4B">
      <w:pPr>
        <w:spacing w:line="276" w:lineRule="auto"/>
        <w:rPr>
          <w:i w:val="0"/>
          <w:iCs w:val="0"/>
          <w:color w:val="000000"/>
          <w:sz w:val="26"/>
          <w:szCs w:val="26"/>
        </w:rPr>
      </w:pPr>
      <w:r w:rsidDel="00000000" w:rsidR="00000000" w:rsidRPr="00000000">
        <w:rPr>
          <w:i w:val="0"/>
          <w:iCs w:val="0"/>
          <w:color w:val="000000"/>
          <w:sz w:val="26"/>
          <w:szCs w:val="26"/>
          <w:rtl w:val="0"/>
        </w:rPr>
        <w:t xml:space="preserve">The study uses a qualitative descriptive–analytical design, which is appropriate for mapping conceptual landscapes and interpreting textual evidence (Creswell, 2018). Because no new data are collected, the design relies on three interconnected components:</w:t>
      </w:r>
    </w:p>
    <w:p w:rsidR="00000000" w:rsidDel="00000000" w:rsidP="00000000" w:rsidRDefault="00000000" w:rsidRPr="00000000" w14:paraId="0000014C">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4D">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3.3.1 Documentary Research</w:t>
      </w:r>
    </w:p>
    <w:p w:rsidR="00000000" w:rsidDel="00000000" w:rsidP="00000000" w:rsidRDefault="00000000" w:rsidRPr="00000000" w14:paraId="0000014E">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4F">
      <w:pPr>
        <w:spacing w:line="276" w:lineRule="auto"/>
        <w:rPr>
          <w:i w:val="0"/>
          <w:iCs w:val="0"/>
          <w:color w:val="000000"/>
          <w:sz w:val="26"/>
          <w:szCs w:val="26"/>
        </w:rPr>
      </w:pPr>
      <w:r w:rsidDel="00000000" w:rsidR="00000000" w:rsidRPr="00000000">
        <w:rPr>
          <w:i w:val="0"/>
          <w:iCs w:val="0"/>
          <w:color w:val="000000"/>
          <w:sz w:val="26"/>
          <w:szCs w:val="26"/>
          <w:rtl w:val="0"/>
        </w:rPr>
        <w:t xml:space="preserve">Documentary analysis enables systematic examination of academic publications, industry guidelines, algorithm documentation, and technical web standards (Bowen, 2009). This approach is widely used in qualitative studies where the aim is to understand meaning within existing texts rather than produce new data.</w:t>
      </w:r>
    </w:p>
    <w:p w:rsidR="00000000" w:rsidDel="00000000" w:rsidP="00000000" w:rsidRDefault="00000000" w:rsidRPr="00000000" w14:paraId="00000150">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51">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3.3.2 Narrative Synthesis</w:t>
      </w:r>
    </w:p>
    <w:p w:rsidR="00000000" w:rsidDel="00000000" w:rsidP="00000000" w:rsidRDefault="00000000" w:rsidRPr="00000000" w14:paraId="00000152">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53">
      <w:pPr>
        <w:spacing w:line="276" w:lineRule="auto"/>
        <w:rPr>
          <w:i w:val="0"/>
          <w:iCs w:val="0"/>
          <w:color w:val="000000"/>
          <w:sz w:val="26"/>
          <w:szCs w:val="26"/>
        </w:rPr>
      </w:pPr>
      <w:r w:rsidDel="00000000" w:rsidR="00000000" w:rsidRPr="00000000">
        <w:rPr>
          <w:i w:val="0"/>
          <w:iCs w:val="0"/>
          <w:color w:val="000000"/>
          <w:sz w:val="26"/>
          <w:szCs w:val="26"/>
          <w:rtl w:val="0"/>
        </w:rPr>
        <w:t xml:space="preserve">Narrative synthesis allows the integration of diverse secondary materials into coherent thematic structures. It is particularly useful for literature‑based dissertations, enabling the researcher to connect theories, frameworks, and empirical findings into a unified narrative (Bryman et al., 2022).</w:t>
      </w:r>
    </w:p>
    <w:p w:rsidR="00000000" w:rsidDel="00000000" w:rsidP="00000000" w:rsidRDefault="00000000" w:rsidRPr="00000000" w14:paraId="00000154">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55">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3.3.3 Comparative Conceptual Analysis</w:t>
      </w:r>
    </w:p>
    <w:p w:rsidR="00000000" w:rsidDel="00000000" w:rsidP="00000000" w:rsidRDefault="00000000" w:rsidRPr="00000000" w14:paraId="00000156">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57">
      <w:pPr>
        <w:spacing w:line="276" w:lineRule="auto"/>
        <w:rPr>
          <w:i w:val="0"/>
          <w:iCs w:val="0"/>
          <w:color w:val="000000"/>
          <w:sz w:val="26"/>
          <w:szCs w:val="26"/>
        </w:rPr>
      </w:pPr>
      <w:r w:rsidDel="00000000" w:rsidR="00000000" w:rsidRPr="00000000">
        <w:rPr>
          <w:i w:val="0"/>
          <w:iCs w:val="0"/>
          <w:color w:val="000000"/>
          <w:sz w:val="26"/>
          <w:szCs w:val="26"/>
          <w:rtl w:val="0"/>
        </w:rPr>
        <w:t xml:space="preserve">Because the study examines multiple optimisation strategies (SEO and AEO), comparative analysis is employed to identify overlaps, differences, and conceptual development across sources. This strengthens theoretical interpretation and provides a structured basis for evaluating visibility frameworks.</w:t>
      </w:r>
    </w:p>
    <w:p w:rsidR="00000000" w:rsidDel="00000000" w:rsidP="00000000" w:rsidRDefault="00000000" w:rsidRPr="00000000" w14:paraId="00000158">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59">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3.4 Data Collection</w:t>
      </w:r>
    </w:p>
    <w:p w:rsidR="00000000" w:rsidDel="00000000" w:rsidP="00000000" w:rsidRDefault="00000000" w:rsidRPr="00000000" w14:paraId="0000015A">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5B">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3.4.1 Use of Secondary Data</w:t>
      </w:r>
    </w:p>
    <w:p w:rsidR="00000000" w:rsidDel="00000000" w:rsidP="00000000" w:rsidRDefault="00000000" w:rsidRPr="00000000" w14:paraId="0000015C">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5D">
      <w:pPr>
        <w:spacing w:line="276" w:lineRule="auto"/>
        <w:rPr>
          <w:i w:val="0"/>
          <w:iCs w:val="0"/>
          <w:color w:val="000000"/>
          <w:sz w:val="26"/>
          <w:szCs w:val="26"/>
        </w:rPr>
      </w:pPr>
      <w:r w:rsidDel="00000000" w:rsidR="00000000" w:rsidRPr="00000000">
        <w:rPr>
          <w:i w:val="0"/>
          <w:iCs w:val="0"/>
          <w:color w:val="000000"/>
          <w:sz w:val="26"/>
          <w:szCs w:val="26"/>
          <w:rtl w:val="0"/>
        </w:rPr>
        <w:t xml:space="preserve">Secondary data are used exclusively, including peer‑reviewed articles, books, conference papers, industry white papers, and publicly accessible digital documents. Secondary data are suitable for studies examining existing theoretical debates rather than empirical behaviours (Johnston, 2014).</w:t>
      </w:r>
    </w:p>
    <w:p w:rsidR="00000000" w:rsidDel="00000000" w:rsidP="00000000" w:rsidRDefault="00000000" w:rsidRPr="00000000" w14:paraId="0000015E">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5F">
      <w:pPr>
        <w:spacing w:line="276" w:lineRule="auto"/>
        <w:rPr>
          <w:i w:val="0"/>
          <w:iCs w:val="0"/>
          <w:color w:val="000000"/>
          <w:sz w:val="26"/>
          <w:szCs w:val="26"/>
        </w:rPr>
      </w:pPr>
      <w:r w:rsidDel="00000000" w:rsidR="00000000" w:rsidRPr="00000000">
        <w:rPr>
          <w:i w:val="0"/>
          <w:iCs w:val="0"/>
          <w:color w:val="000000"/>
          <w:sz w:val="26"/>
          <w:szCs w:val="26"/>
          <w:rtl w:val="0"/>
        </w:rPr>
        <w:t xml:space="preserve">Two data categories were analysed:</w:t>
      </w:r>
    </w:p>
    <w:p w:rsidR="00000000" w:rsidDel="00000000" w:rsidP="00000000" w:rsidRDefault="00000000" w:rsidRPr="00000000" w14:paraId="00000160">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61">
      <w:pPr>
        <w:numPr>
          <w:ilvl w:val="0"/>
          <w:numId w:val="27"/>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Academic literature – to understand theoretical frameworks, models, and scholarly perspectives.</w:t>
      </w:r>
    </w:p>
    <w:p w:rsidR="00000000" w:rsidDel="00000000" w:rsidP="00000000" w:rsidRDefault="00000000" w:rsidRPr="00000000" w14:paraId="00000162">
      <w:pPr>
        <w:numPr>
          <w:ilvl w:val="0"/>
          <w:numId w:val="27"/>
        </w:numPr>
        <w:spacing w:line="276" w:lineRule="auto"/>
        <w:ind w:left="720" w:hanging="360"/>
        <w:rPr>
          <w:i w:val="0"/>
          <w:iCs w:val="0"/>
          <w:color w:val="000000"/>
          <w:sz w:val="26"/>
          <w:szCs w:val="26"/>
        </w:rPr>
      </w:pPr>
      <w:r w:rsidDel="00000000" w:rsidR="00000000" w:rsidRPr="00000000">
        <w:rPr>
          <w:i w:val="0"/>
          <w:iCs w:val="0"/>
          <w:color w:val="000000"/>
          <w:sz w:val="26"/>
          <w:szCs w:val="26"/>
          <w:rtl w:val="0"/>
        </w:rPr>
        <w:t xml:space="preserve">Digital documentary sources – including Google Search Central documentation, schema.org guidelines, SEO/AEO best‑practice reports, and algorithm update explanations.</w:t>
      </w:r>
    </w:p>
    <w:p w:rsidR="00000000" w:rsidDel="00000000" w:rsidP="00000000" w:rsidRDefault="00000000" w:rsidRPr="00000000" w14:paraId="00000163">
      <w:pPr>
        <w:spacing w:line="276" w:lineRule="auto"/>
        <w:ind w:left="0" w:firstLine="0"/>
        <w:rPr>
          <w:i w:val="0"/>
          <w:iCs w:val="0"/>
          <w:color w:val="000000"/>
          <w:sz w:val="26"/>
          <w:szCs w:val="26"/>
        </w:rPr>
      </w:pPr>
      <w:r w:rsidDel="00000000" w:rsidR="00000000" w:rsidRPr="00000000">
        <w:rPr>
          <w:rtl w:val="0"/>
        </w:rPr>
      </w:r>
    </w:p>
    <w:p w:rsidR="00000000" w:rsidDel="00000000" w:rsidP="00000000" w:rsidRDefault="00000000" w:rsidRPr="00000000" w14:paraId="00000164">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65">
      <w:pPr>
        <w:spacing w:line="276" w:lineRule="auto"/>
        <w:rPr>
          <w:i w:val="0"/>
          <w:iCs w:val="0"/>
          <w:color w:val="000000"/>
          <w:sz w:val="26"/>
          <w:szCs w:val="26"/>
        </w:rPr>
      </w:pPr>
      <w:r w:rsidDel="00000000" w:rsidR="00000000" w:rsidRPr="00000000">
        <w:rPr>
          <w:i w:val="0"/>
          <w:iCs w:val="0"/>
          <w:color w:val="000000"/>
          <w:sz w:val="26"/>
          <w:szCs w:val="26"/>
          <w:rtl w:val="0"/>
        </w:rPr>
        <w:t xml:space="preserve">This combination is necessary because digital optimisation evolves more rapidly than academic publications alone can capture.</w:t>
      </w:r>
    </w:p>
    <w:p w:rsidR="00000000" w:rsidDel="00000000" w:rsidP="00000000" w:rsidRDefault="00000000" w:rsidRPr="00000000" w14:paraId="00000166">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67">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3.4.2 Search Strategy and Databases</w:t>
      </w:r>
    </w:p>
    <w:p w:rsidR="00000000" w:rsidDel="00000000" w:rsidP="00000000" w:rsidRDefault="00000000" w:rsidRPr="00000000" w14:paraId="00000168">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69">
      <w:pPr>
        <w:spacing w:line="276" w:lineRule="auto"/>
        <w:rPr>
          <w:i w:val="0"/>
          <w:iCs w:val="0"/>
          <w:color w:val="000000"/>
          <w:sz w:val="26"/>
          <w:szCs w:val="26"/>
        </w:rPr>
      </w:pPr>
      <w:r w:rsidDel="00000000" w:rsidR="00000000" w:rsidRPr="00000000">
        <w:rPr>
          <w:i w:val="0"/>
          <w:iCs w:val="0"/>
          <w:color w:val="000000"/>
          <w:sz w:val="26"/>
          <w:szCs w:val="26"/>
          <w:rtl w:val="0"/>
        </w:rPr>
        <w:t xml:space="preserve">Following systematic literature review principles (Booth, Sutton &amp; Papaioannou, 2016), searches were conducted across:</w:t>
      </w:r>
    </w:p>
    <w:p w:rsidR="00000000" w:rsidDel="00000000" w:rsidP="00000000" w:rsidRDefault="00000000" w:rsidRPr="00000000" w14:paraId="0000016A">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6B">
      <w:pPr>
        <w:numPr>
          <w:ilvl w:val="0"/>
          <w:numId w:val="3"/>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Google Scholar</w:t>
      </w:r>
    </w:p>
    <w:p w:rsidR="00000000" w:rsidDel="00000000" w:rsidP="00000000" w:rsidRDefault="00000000" w:rsidRPr="00000000" w14:paraId="0000016C">
      <w:pPr>
        <w:numPr>
          <w:ilvl w:val="0"/>
          <w:numId w:val="34"/>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Scopus</w:t>
      </w:r>
    </w:p>
    <w:p w:rsidR="00000000" w:rsidDel="00000000" w:rsidP="00000000" w:rsidRDefault="00000000" w:rsidRPr="00000000" w14:paraId="0000016D">
      <w:pPr>
        <w:numPr>
          <w:ilvl w:val="0"/>
          <w:numId w:val="6"/>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Web of Science</w:t>
      </w:r>
    </w:p>
    <w:p w:rsidR="00000000" w:rsidDel="00000000" w:rsidP="00000000" w:rsidRDefault="00000000" w:rsidRPr="00000000" w14:paraId="0000016E">
      <w:pPr>
        <w:numPr>
          <w:ilvl w:val="0"/>
          <w:numId w:val="25"/>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Emerald Insight</w:t>
      </w:r>
    </w:p>
    <w:p w:rsidR="00000000" w:rsidDel="00000000" w:rsidP="00000000" w:rsidRDefault="00000000" w:rsidRPr="00000000" w14:paraId="0000016F">
      <w:pPr>
        <w:numPr>
          <w:ilvl w:val="0"/>
          <w:numId w:val="28"/>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ScienceDirect</w:t>
      </w:r>
    </w:p>
    <w:p w:rsidR="00000000" w:rsidDel="00000000" w:rsidP="00000000" w:rsidRDefault="00000000" w:rsidRPr="00000000" w14:paraId="00000170">
      <w:pPr>
        <w:numPr>
          <w:ilvl w:val="0"/>
          <w:numId w:val="21"/>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Taylor &amp; Francis Online</w:t>
      </w:r>
    </w:p>
    <w:p w:rsidR="00000000" w:rsidDel="00000000" w:rsidP="00000000" w:rsidRDefault="00000000" w:rsidRPr="00000000" w14:paraId="00000171">
      <w:pPr>
        <w:numPr>
          <w:ilvl w:val="0"/>
          <w:numId w:val="20"/>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ACM Digital Library</w:t>
      </w:r>
    </w:p>
    <w:p w:rsidR="00000000" w:rsidDel="00000000" w:rsidP="00000000" w:rsidRDefault="00000000" w:rsidRPr="00000000" w14:paraId="00000172">
      <w:pPr>
        <w:numPr>
          <w:ilvl w:val="0"/>
          <w:numId w:val="4"/>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SSRN</w:t>
      </w:r>
    </w:p>
    <w:p w:rsidR="00000000" w:rsidDel="00000000" w:rsidP="00000000" w:rsidRDefault="00000000" w:rsidRPr="00000000" w14:paraId="00000173">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74">
      <w:pPr>
        <w:spacing w:line="276" w:lineRule="auto"/>
        <w:rPr>
          <w:i w:val="0"/>
          <w:iCs w:val="0"/>
          <w:color w:val="000000"/>
          <w:sz w:val="26"/>
          <w:szCs w:val="26"/>
        </w:rPr>
      </w:pPr>
      <w:r w:rsidDel="00000000" w:rsidR="00000000" w:rsidRPr="00000000">
        <w:rPr>
          <w:i w:val="0"/>
          <w:iCs w:val="0"/>
          <w:color w:val="000000"/>
          <w:sz w:val="26"/>
          <w:szCs w:val="26"/>
          <w:rtl w:val="0"/>
        </w:rPr>
        <w:t xml:space="preserve">Search queries included combinations of terms such as:</w:t>
      </w:r>
    </w:p>
    <w:p w:rsidR="00000000" w:rsidDel="00000000" w:rsidP="00000000" w:rsidRDefault="00000000" w:rsidRPr="00000000" w14:paraId="00000175">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76">
      <w:pPr>
        <w:spacing w:line="276" w:lineRule="auto"/>
        <w:rPr>
          <w:i w:val="0"/>
          <w:iCs w:val="0"/>
          <w:color w:val="000000"/>
          <w:sz w:val="26"/>
          <w:szCs w:val="26"/>
        </w:rPr>
      </w:pPr>
      <w:r w:rsidDel="00000000" w:rsidR="00000000" w:rsidRPr="00000000">
        <w:rPr>
          <w:i w:val="0"/>
          <w:iCs w:val="0"/>
          <w:color w:val="000000"/>
          <w:sz w:val="26"/>
          <w:szCs w:val="26"/>
          <w:rtl w:val="0"/>
        </w:rPr>
        <w:t xml:space="preserve">“digital marketing,” “online visibility,” “SEO strategy,” “semantic search,” “digital content optimisation,” “AEO,” “zero‑click search,” “algorithmic visibility,” and “search engine ranking factors.”</w:t>
      </w:r>
    </w:p>
    <w:p w:rsidR="00000000" w:rsidDel="00000000" w:rsidP="00000000" w:rsidRDefault="00000000" w:rsidRPr="00000000" w14:paraId="00000177">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78">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3.4.3 Inclusion and Exclusion Criteria</w:t>
      </w:r>
    </w:p>
    <w:p w:rsidR="00000000" w:rsidDel="00000000" w:rsidP="00000000" w:rsidRDefault="00000000" w:rsidRPr="00000000" w14:paraId="00000179">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7A">
      <w:pPr>
        <w:spacing w:line="276" w:lineRule="auto"/>
        <w:rPr>
          <w:i w:val="0"/>
          <w:iCs w:val="0"/>
          <w:color w:val="000000"/>
          <w:sz w:val="26"/>
          <w:szCs w:val="26"/>
        </w:rPr>
      </w:pPr>
      <w:r w:rsidDel="00000000" w:rsidR="00000000" w:rsidRPr="00000000">
        <w:rPr>
          <w:i w:val="0"/>
          <w:iCs w:val="0"/>
          <w:color w:val="000000"/>
          <w:sz w:val="26"/>
          <w:szCs w:val="26"/>
          <w:rtl w:val="0"/>
        </w:rPr>
        <w:t xml:space="preserve">Inclusion criteria:</w:t>
      </w:r>
    </w:p>
    <w:p w:rsidR="00000000" w:rsidDel="00000000" w:rsidP="00000000" w:rsidRDefault="00000000" w:rsidRPr="00000000" w14:paraId="0000017B">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7C">
      <w:pPr>
        <w:numPr>
          <w:ilvl w:val="0"/>
          <w:numId w:val="17"/>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Peer‑reviewed studies</w:t>
      </w:r>
    </w:p>
    <w:p w:rsidR="00000000" w:rsidDel="00000000" w:rsidP="00000000" w:rsidRDefault="00000000" w:rsidRPr="00000000" w14:paraId="0000017D">
      <w:pPr>
        <w:numPr>
          <w:ilvl w:val="0"/>
          <w:numId w:val="12"/>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Publications relevant to optimisation strategies</w:t>
      </w:r>
    </w:p>
    <w:p w:rsidR="00000000" w:rsidDel="00000000" w:rsidP="00000000" w:rsidRDefault="00000000" w:rsidRPr="00000000" w14:paraId="0000017E">
      <w:pPr>
        <w:numPr>
          <w:ilvl w:val="0"/>
          <w:numId w:val="14"/>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English‑language sources</w:t>
      </w:r>
    </w:p>
    <w:p w:rsidR="00000000" w:rsidDel="00000000" w:rsidP="00000000" w:rsidRDefault="00000000" w:rsidRPr="00000000" w14:paraId="0000017F">
      <w:pPr>
        <w:numPr>
          <w:ilvl w:val="0"/>
          <w:numId w:val="31"/>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Recognised industry reports</w:t>
      </w:r>
    </w:p>
    <w:p w:rsidR="00000000" w:rsidDel="00000000" w:rsidP="00000000" w:rsidRDefault="00000000" w:rsidRPr="00000000" w14:paraId="00000180">
      <w:pPr>
        <w:numPr>
          <w:ilvl w:val="0"/>
          <w:numId w:val="29"/>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Full‑text availability</w:t>
      </w:r>
    </w:p>
    <w:p w:rsidR="00000000" w:rsidDel="00000000" w:rsidP="00000000" w:rsidRDefault="00000000" w:rsidRPr="00000000" w14:paraId="00000181">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82">
      <w:pPr>
        <w:spacing w:line="276" w:lineRule="auto"/>
        <w:rPr>
          <w:i w:val="0"/>
          <w:iCs w:val="0"/>
          <w:color w:val="000000"/>
          <w:sz w:val="26"/>
          <w:szCs w:val="26"/>
        </w:rPr>
      </w:pPr>
      <w:r w:rsidDel="00000000" w:rsidR="00000000" w:rsidRPr="00000000">
        <w:rPr>
          <w:i w:val="0"/>
          <w:iCs w:val="0"/>
          <w:color w:val="000000"/>
          <w:sz w:val="26"/>
          <w:szCs w:val="26"/>
          <w:rtl w:val="0"/>
        </w:rPr>
        <w:t xml:space="preserve">Exclusion criteria:</w:t>
      </w:r>
    </w:p>
    <w:p w:rsidR="00000000" w:rsidDel="00000000" w:rsidP="00000000" w:rsidRDefault="00000000" w:rsidRPr="00000000" w14:paraId="00000183">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84">
      <w:pPr>
        <w:numPr>
          <w:ilvl w:val="0"/>
          <w:numId w:val="16"/>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Non‑validated blog posts</w:t>
      </w:r>
    </w:p>
    <w:p w:rsidR="00000000" w:rsidDel="00000000" w:rsidP="00000000" w:rsidRDefault="00000000" w:rsidRPr="00000000" w14:paraId="00000185">
      <w:pPr>
        <w:numPr>
          <w:ilvl w:val="0"/>
          <w:numId w:val="11"/>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Articles with unclear methods</w:t>
      </w:r>
    </w:p>
    <w:p w:rsidR="00000000" w:rsidDel="00000000" w:rsidP="00000000" w:rsidRDefault="00000000" w:rsidRPr="00000000" w14:paraId="00000186">
      <w:pPr>
        <w:numPr>
          <w:ilvl w:val="0"/>
          <w:numId w:val="8"/>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Irrelevant or outdated sources</w:t>
      </w:r>
    </w:p>
    <w:p w:rsidR="00000000" w:rsidDel="00000000" w:rsidP="00000000" w:rsidRDefault="00000000" w:rsidRPr="00000000" w14:paraId="00000187">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88">
      <w:pPr>
        <w:spacing w:line="276" w:lineRule="auto"/>
        <w:rPr>
          <w:i w:val="0"/>
          <w:iCs w:val="0"/>
          <w:color w:val="000000"/>
          <w:sz w:val="26"/>
          <w:szCs w:val="26"/>
        </w:rPr>
      </w:pPr>
      <w:r w:rsidDel="00000000" w:rsidR="00000000" w:rsidRPr="00000000">
        <w:rPr>
          <w:i w:val="0"/>
          <w:iCs w:val="0"/>
          <w:color w:val="000000"/>
          <w:sz w:val="26"/>
          <w:szCs w:val="26"/>
          <w:rtl w:val="0"/>
        </w:rPr>
        <w:t xml:space="preserve">This filtering ensured academic reliability and conceptual relevance.</w:t>
      </w:r>
    </w:p>
    <w:p w:rsidR="00000000" w:rsidDel="00000000" w:rsidP="00000000" w:rsidRDefault="00000000" w:rsidRPr="00000000" w14:paraId="00000189">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8A">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3.5 Data Sampling</w:t>
      </w:r>
    </w:p>
    <w:p w:rsidR="00000000" w:rsidDel="00000000" w:rsidP="00000000" w:rsidRDefault="00000000" w:rsidRPr="00000000" w14:paraId="0000018B">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8C">
      <w:pPr>
        <w:spacing w:line="276" w:lineRule="auto"/>
        <w:rPr>
          <w:i w:val="0"/>
          <w:iCs w:val="0"/>
          <w:color w:val="000000"/>
          <w:sz w:val="26"/>
          <w:szCs w:val="26"/>
        </w:rPr>
      </w:pPr>
      <w:r w:rsidDel="00000000" w:rsidR="00000000" w:rsidRPr="00000000">
        <w:rPr>
          <w:i w:val="0"/>
          <w:iCs w:val="0"/>
          <w:color w:val="000000"/>
          <w:sz w:val="26"/>
          <w:szCs w:val="26"/>
          <w:rtl w:val="0"/>
        </w:rPr>
        <w:t xml:space="preserve">Purposive sampling was used to select sources directly relevant to digital visibility and optimisation (Palinkas et al., 2015). This method is appropriate for qualitative research where relevance, not representativeness, determines inclusion.</w:t>
      </w:r>
    </w:p>
    <w:p w:rsidR="00000000" w:rsidDel="00000000" w:rsidP="00000000" w:rsidRDefault="00000000" w:rsidRPr="00000000" w14:paraId="0000018D">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8E">
      <w:pPr>
        <w:spacing w:line="276" w:lineRule="auto"/>
        <w:rPr>
          <w:i w:val="0"/>
          <w:iCs w:val="0"/>
          <w:color w:val="000000"/>
          <w:sz w:val="26"/>
          <w:szCs w:val="26"/>
        </w:rPr>
      </w:pPr>
      <w:r w:rsidDel="00000000" w:rsidR="00000000" w:rsidRPr="00000000">
        <w:rPr>
          <w:i w:val="0"/>
          <w:iCs w:val="0"/>
          <w:color w:val="000000"/>
          <w:sz w:val="26"/>
          <w:szCs w:val="26"/>
          <w:rtl w:val="0"/>
        </w:rPr>
        <w:t xml:space="preserve">Theoretical sampling was also applied, enabling selection of additional sources as emerging themes required further clarification—consistent with qualitative inductive analysis (Glaser &amp; Strauss, 1967).</w:t>
      </w:r>
    </w:p>
    <w:p w:rsidR="00000000" w:rsidDel="00000000" w:rsidP="00000000" w:rsidRDefault="00000000" w:rsidRPr="00000000" w14:paraId="0000018F">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90">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3.6 Data Analysis</w:t>
      </w:r>
    </w:p>
    <w:p w:rsidR="00000000" w:rsidDel="00000000" w:rsidP="00000000" w:rsidRDefault="00000000" w:rsidRPr="00000000" w14:paraId="00000191">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92">
      <w:pPr>
        <w:spacing w:line="276" w:lineRule="auto"/>
        <w:rPr>
          <w:i w:val="0"/>
          <w:iCs w:val="0"/>
          <w:color w:val="000000"/>
          <w:sz w:val="26"/>
          <w:szCs w:val="26"/>
        </w:rPr>
      </w:pPr>
      <w:r w:rsidDel="00000000" w:rsidR="00000000" w:rsidRPr="00000000">
        <w:rPr>
          <w:i w:val="0"/>
          <w:iCs w:val="0"/>
          <w:color w:val="000000"/>
          <w:sz w:val="26"/>
          <w:szCs w:val="26"/>
          <w:rtl w:val="0"/>
        </w:rPr>
        <w:t xml:space="preserve">Three analytic techniques were applied:</w:t>
      </w:r>
    </w:p>
    <w:p w:rsidR="00000000" w:rsidDel="00000000" w:rsidP="00000000" w:rsidRDefault="00000000" w:rsidRPr="00000000" w14:paraId="00000193">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94">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3.6.1 Thematic Analysis</w:t>
      </w:r>
    </w:p>
    <w:p w:rsidR="00000000" w:rsidDel="00000000" w:rsidP="00000000" w:rsidRDefault="00000000" w:rsidRPr="00000000" w14:paraId="00000195">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96">
      <w:pPr>
        <w:spacing w:line="276" w:lineRule="auto"/>
        <w:rPr>
          <w:i w:val="0"/>
          <w:iCs w:val="0"/>
          <w:color w:val="000000"/>
          <w:sz w:val="26"/>
          <w:szCs w:val="26"/>
        </w:rPr>
      </w:pPr>
      <w:r w:rsidDel="00000000" w:rsidR="00000000" w:rsidRPr="00000000">
        <w:rPr>
          <w:i w:val="0"/>
          <w:iCs w:val="0"/>
          <w:color w:val="000000"/>
          <w:sz w:val="26"/>
          <w:szCs w:val="26"/>
          <w:rtl w:val="0"/>
        </w:rPr>
        <w:t xml:space="preserve">Using Braun and Clarke's (2006) six-step framework, the study identified recurring concepts such as semantic optimisation, algorithmic visibility, digital communication patterns, and structured data requirements.</w:t>
      </w:r>
    </w:p>
    <w:p w:rsidR="00000000" w:rsidDel="00000000" w:rsidP="00000000" w:rsidRDefault="00000000" w:rsidRPr="00000000" w14:paraId="00000197">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98">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3.6.2 Documentary Analysis</w:t>
      </w:r>
    </w:p>
    <w:p w:rsidR="00000000" w:rsidDel="00000000" w:rsidP="00000000" w:rsidRDefault="00000000" w:rsidRPr="00000000" w14:paraId="00000199">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9A">
      <w:pPr>
        <w:spacing w:line="276" w:lineRule="auto"/>
        <w:rPr>
          <w:i w:val="0"/>
          <w:iCs w:val="0"/>
          <w:color w:val="000000"/>
          <w:sz w:val="26"/>
          <w:szCs w:val="26"/>
        </w:rPr>
      </w:pPr>
      <w:r w:rsidDel="00000000" w:rsidR="00000000" w:rsidRPr="00000000">
        <w:rPr>
          <w:i w:val="0"/>
          <w:iCs w:val="0"/>
          <w:color w:val="000000"/>
          <w:sz w:val="26"/>
          <w:szCs w:val="26"/>
          <w:rtl w:val="0"/>
        </w:rPr>
        <w:t xml:space="preserve">Following Bowen (2009), documents were evaluated for content, meaning, and theoretical contribution. This included triangulating industry guidelines with academic frameworks.</w:t>
      </w:r>
    </w:p>
    <w:p w:rsidR="00000000" w:rsidDel="00000000" w:rsidP="00000000" w:rsidRDefault="00000000" w:rsidRPr="00000000" w14:paraId="0000019B">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9C">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3.6.3 Comparative Framework Analysis</w:t>
      </w:r>
    </w:p>
    <w:p w:rsidR="00000000" w:rsidDel="00000000" w:rsidP="00000000" w:rsidRDefault="00000000" w:rsidRPr="00000000" w14:paraId="0000019D">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9E">
      <w:pPr>
        <w:spacing w:line="276" w:lineRule="auto"/>
        <w:rPr>
          <w:i w:val="0"/>
          <w:iCs w:val="0"/>
          <w:color w:val="000000"/>
          <w:sz w:val="26"/>
          <w:szCs w:val="26"/>
        </w:rPr>
      </w:pPr>
      <w:r w:rsidDel="00000000" w:rsidR="00000000" w:rsidRPr="00000000">
        <w:rPr>
          <w:i w:val="0"/>
          <w:iCs w:val="0"/>
          <w:color w:val="000000"/>
          <w:sz w:val="26"/>
          <w:szCs w:val="26"/>
          <w:rtl w:val="0"/>
        </w:rPr>
        <w:t xml:space="preserve">Comparative analysis allowed examination of differences between SEO and AEO frameworks, revealing conceptual connections and strategic implications.</w:t>
      </w:r>
    </w:p>
    <w:p w:rsidR="00000000" w:rsidDel="00000000" w:rsidP="00000000" w:rsidRDefault="00000000" w:rsidRPr="00000000" w14:paraId="0000019F">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A0">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3.7 Reliability, Validity, and Trustworthiness</w:t>
      </w:r>
    </w:p>
    <w:p w:rsidR="00000000" w:rsidDel="00000000" w:rsidP="00000000" w:rsidRDefault="00000000" w:rsidRPr="00000000" w14:paraId="000001A1">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A2">
      <w:pPr>
        <w:spacing w:line="276" w:lineRule="auto"/>
        <w:rPr>
          <w:i w:val="0"/>
          <w:iCs w:val="0"/>
          <w:color w:val="000000"/>
          <w:sz w:val="26"/>
          <w:szCs w:val="26"/>
        </w:rPr>
      </w:pPr>
      <w:r w:rsidDel="00000000" w:rsidR="00000000" w:rsidRPr="00000000">
        <w:rPr>
          <w:i w:val="0"/>
          <w:iCs w:val="0"/>
          <w:color w:val="000000"/>
          <w:sz w:val="26"/>
          <w:szCs w:val="26"/>
          <w:rtl w:val="0"/>
        </w:rPr>
        <w:t xml:space="preserve">Lincoln and Guba’s (1985) qualitative trustworthiness criteria were used:</w:t>
      </w:r>
    </w:p>
    <w:p w:rsidR="00000000" w:rsidDel="00000000" w:rsidP="00000000" w:rsidRDefault="00000000" w:rsidRPr="00000000" w14:paraId="000001A3">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A4">
      <w:pPr>
        <w:numPr>
          <w:ilvl w:val="0"/>
          <w:numId w:val="36"/>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Credibility – through triangulation of multiple sources and reliance on peer‑reviewed material.</w:t>
      </w:r>
    </w:p>
    <w:p w:rsidR="00000000" w:rsidDel="00000000" w:rsidP="00000000" w:rsidRDefault="00000000" w:rsidRPr="00000000" w14:paraId="000001A5">
      <w:pPr>
        <w:numPr>
          <w:ilvl w:val="0"/>
          <w:numId w:val="35"/>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Transferability – by providing detailed methodological explanations allowing contextual interpretation.</w:t>
      </w:r>
    </w:p>
    <w:p w:rsidR="00000000" w:rsidDel="00000000" w:rsidP="00000000" w:rsidRDefault="00000000" w:rsidRPr="00000000" w14:paraId="000001A6">
      <w:pPr>
        <w:numPr>
          <w:ilvl w:val="0"/>
          <w:numId w:val="13"/>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Dependability – through transparent documentation of search and selection processes.</w:t>
      </w:r>
    </w:p>
    <w:p w:rsidR="00000000" w:rsidDel="00000000" w:rsidP="00000000" w:rsidRDefault="00000000" w:rsidRPr="00000000" w14:paraId="000001A7">
      <w:pPr>
        <w:numPr>
          <w:ilvl w:val="0"/>
          <w:numId w:val="2"/>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Confirmability – by ensuring interpretations were grounded in documentary evidence rather than researcher bias.</w:t>
      </w:r>
    </w:p>
    <w:p w:rsidR="00000000" w:rsidDel="00000000" w:rsidP="00000000" w:rsidRDefault="00000000" w:rsidRPr="00000000" w14:paraId="000001A8">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A9">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3.8 Ethical Considerations</w:t>
      </w:r>
    </w:p>
    <w:p w:rsidR="00000000" w:rsidDel="00000000" w:rsidP="00000000" w:rsidRDefault="00000000" w:rsidRPr="00000000" w14:paraId="000001AA">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AB">
      <w:pPr>
        <w:spacing w:line="276" w:lineRule="auto"/>
        <w:rPr>
          <w:i w:val="0"/>
          <w:iCs w:val="0"/>
          <w:color w:val="000000"/>
          <w:sz w:val="26"/>
          <w:szCs w:val="26"/>
        </w:rPr>
      </w:pPr>
      <w:r w:rsidDel="00000000" w:rsidR="00000000" w:rsidRPr="00000000">
        <w:rPr>
          <w:i w:val="0"/>
          <w:iCs w:val="0"/>
          <w:color w:val="000000"/>
          <w:sz w:val="26"/>
          <w:szCs w:val="26"/>
          <w:rtl w:val="0"/>
        </w:rPr>
        <w:t xml:space="preserve">Although no human participants were involved, ethical standards were observed by:</w:t>
      </w:r>
    </w:p>
    <w:p w:rsidR="00000000" w:rsidDel="00000000" w:rsidP="00000000" w:rsidRDefault="00000000" w:rsidRPr="00000000" w14:paraId="000001AC">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AD">
      <w:pPr>
        <w:numPr>
          <w:ilvl w:val="0"/>
          <w:numId w:val="22"/>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Using publicly accessible data</w:t>
      </w:r>
    </w:p>
    <w:p w:rsidR="00000000" w:rsidDel="00000000" w:rsidP="00000000" w:rsidRDefault="00000000" w:rsidRPr="00000000" w14:paraId="000001AE">
      <w:pPr>
        <w:numPr>
          <w:ilvl w:val="0"/>
          <w:numId w:val="37"/>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Maintaining accurate citation and attribution</w:t>
      </w:r>
    </w:p>
    <w:p w:rsidR="00000000" w:rsidDel="00000000" w:rsidP="00000000" w:rsidRDefault="00000000" w:rsidRPr="00000000" w14:paraId="000001AF">
      <w:pPr>
        <w:numPr>
          <w:ilvl w:val="0"/>
          <w:numId w:val="1"/>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Avoiding misrepresentation</w:t>
      </w:r>
    </w:p>
    <w:p w:rsidR="00000000" w:rsidDel="00000000" w:rsidP="00000000" w:rsidRDefault="00000000" w:rsidRPr="00000000" w14:paraId="000001B0">
      <w:pPr>
        <w:numPr>
          <w:ilvl w:val="0"/>
          <w:numId w:val="7"/>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Complying with Coventry University research ethics guidelines</w:t>
      </w:r>
    </w:p>
    <w:p w:rsidR="00000000" w:rsidDel="00000000" w:rsidP="00000000" w:rsidRDefault="00000000" w:rsidRPr="00000000" w14:paraId="000001B1">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B2">
      <w:pPr>
        <w:spacing w:line="276" w:lineRule="auto"/>
        <w:rPr>
          <w:i w:val="0"/>
          <w:iCs w:val="0"/>
          <w:color w:val="000000"/>
          <w:sz w:val="26"/>
          <w:szCs w:val="26"/>
        </w:rPr>
      </w:pPr>
      <w:r w:rsidDel="00000000" w:rsidR="00000000" w:rsidRPr="00000000">
        <w:rPr>
          <w:i w:val="0"/>
          <w:iCs w:val="0"/>
          <w:color w:val="000000"/>
          <w:sz w:val="26"/>
          <w:szCs w:val="26"/>
          <w:rtl w:val="0"/>
        </w:rPr>
        <w:t xml:space="preserve">Because all data are secondary, ethical risk is minimal.</w:t>
      </w:r>
    </w:p>
    <w:p w:rsidR="00000000" w:rsidDel="00000000" w:rsidP="00000000" w:rsidRDefault="00000000" w:rsidRPr="00000000" w14:paraId="000001B3">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B4">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3.9 Methodological Limitations</w:t>
      </w:r>
    </w:p>
    <w:p w:rsidR="00000000" w:rsidDel="00000000" w:rsidP="00000000" w:rsidRDefault="00000000" w:rsidRPr="00000000" w14:paraId="000001B5">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B6">
      <w:pPr>
        <w:spacing w:line="276" w:lineRule="auto"/>
        <w:rPr>
          <w:i w:val="0"/>
          <w:iCs w:val="0"/>
          <w:color w:val="000000"/>
          <w:sz w:val="26"/>
          <w:szCs w:val="26"/>
        </w:rPr>
      </w:pPr>
      <w:r w:rsidDel="00000000" w:rsidR="00000000" w:rsidRPr="00000000">
        <w:rPr>
          <w:i w:val="0"/>
          <w:iCs w:val="0"/>
          <w:color w:val="000000"/>
          <w:sz w:val="26"/>
          <w:szCs w:val="26"/>
          <w:rtl w:val="0"/>
        </w:rPr>
        <w:t xml:space="preserve">The study acknowledges several limitations:</w:t>
      </w:r>
    </w:p>
    <w:p w:rsidR="00000000" w:rsidDel="00000000" w:rsidP="00000000" w:rsidRDefault="00000000" w:rsidRPr="00000000" w14:paraId="000001B7">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B8">
      <w:pPr>
        <w:numPr>
          <w:ilvl w:val="0"/>
          <w:numId w:val="9"/>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Secondary data restrict real-time observation of optimisation outcomes.</w:t>
      </w:r>
    </w:p>
    <w:p w:rsidR="00000000" w:rsidDel="00000000" w:rsidP="00000000" w:rsidRDefault="00000000" w:rsidRPr="00000000" w14:paraId="000001B9">
      <w:pPr>
        <w:numPr>
          <w:ilvl w:val="0"/>
          <w:numId w:val="26"/>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Algorithm changes may progress faster than available literature.</w:t>
      </w:r>
    </w:p>
    <w:p w:rsidR="00000000" w:rsidDel="00000000" w:rsidP="00000000" w:rsidRDefault="00000000" w:rsidRPr="00000000" w14:paraId="000001BA">
      <w:pPr>
        <w:numPr>
          <w:ilvl w:val="0"/>
          <w:numId w:val="10"/>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Some SEO/AEO practices remain proprietary and undocumented.</w:t>
      </w:r>
    </w:p>
    <w:p w:rsidR="00000000" w:rsidDel="00000000" w:rsidP="00000000" w:rsidRDefault="00000000" w:rsidRPr="00000000" w14:paraId="000001BB">
      <w:pPr>
        <w:numPr>
          <w:ilvl w:val="0"/>
          <w:numId w:val="18"/>
        </w:numPr>
        <w:spacing w:line="276" w:lineRule="auto"/>
        <w:ind w:left="720" w:hanging="360"/>
        <w:rPr>
          <w:i w:val="0"/>
          <w:iCs w:val="0"/>
          <w:color w:val="000000"/>
          <w:sz w:val="26"/>
          <w:szCs w:val="26"/>
          <w:u w:val="none"/>
        </w:rPr>
      </w:pPr>
      <w:r w:rsidDel="00000000" w:rsidR="00000000" w:rsidRPr="00000000">
        <w:rPr>
          <w:i w:val="0"/>
          <w:iCs w:val="0"/>
          <w:color w:val="000000"/>
          <w:sz w:val="26"/>
          <w:szCs w:val="26"/>
          <w:rtl w:val="0"/>
        </w:rPr>
        <w:t xml:space="preserve">Industry documents may contain commercial bias.</w:t>
      </w:r>
    </w:p>
    <w:p w:rsidR="00000000" w:rsidDel="00000000" w:rsidP="00000000" w:rsidRDefault="00000000" w:rsidRPr="00000000" w14:paraId="000001BC">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BD">
      <w:pPr>
        <w:spacing w:line="276" w:lineRule="auto"/>
        <w:rPr>
          <w:i w:val="0"/>
          <w:iCs w:val="0"/>
          <w:color w:val="000000"/>
          <w:sz w:val="26"/>
          <w:szCs w:val="26"/>
        </w:rPr>
      </w:pPr>
      <w:r w:rsidDel="00000000" w:rsidR="00000000" w:rsidRPr="00000000">
        <w:rPr>
          <w:i w:val="0"/>
          <w:iCs w:val="0"/>
          <w:color w:val="000000"/>
          <w:sz w:val="26"/>
          <w:szCs w:val="26"/>
          <w:rtl w:val="0"/>
        </w:rPr>
        <w:t xml:space="preserve">These limitations are typical of documentary research but do not undermine the conceptual value of the study.</w:t>
      </w:r>
    </w:p>
    <w:p w:rsidR="00000000" w:rsidDel="00000000" w:rsidP="00000000" w:rsidRDefault="00000000" w:rsidRPr="00000000" w14:paraId="000001BE">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BF">
      <w:pPr>
        <w:spacing w:line="276"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3.10 Summary</w:t>
      </w:r>
    </w:p>
    <w:p w:rsidR="00000000" w:rsidDel="00000000" w:rsidP="00000000" w:rsidRDefault="00000000" w:rsidRPr="00000000" w14:paraId="000001C0">
      <w:pPr>
        <w:spacing w:line="276" w:lineRule="auto"/>
        <w:rPr>
          <w:b w:val="1"/>
          <w:bCs w:val="1"/>
          <w:i w:val="0"/>
          <w:iCs w:val="0"/>
          <w:color w:val="000000"/>
          <w:sz w:val="26"/>
          <w:szCs w:val="26"/>
        </w:rPr>
      </w:pPr>
      <w:r w:rsidDel="00000000" w:rsidR="00000000" w:rsidRPr="00000000">
        <w:rPr>
          <w:rtl w:val="0"/>
        </w:rPr>
      </w:r>
    </w:p>
    <w:p w:rsidR="00000000" w:rsidDel="00000000" w:rsidP="00000000" w:rsidRDefault="00000000" w:rsidRPr="00000000" w14:paraId="000001C1">
      <w:pPr>
        <w:spacing w:line="276" w:lineRule="auto"/>
        <w:rPr>
          <w:i w:val="0"/>
          <w:iCs w:val="0"/>
          <w:color w:val="000000"/>
          <w:sz w:val="26"/>
          <w:szCs w:val="26"/>
        </w:rPr>
      </w:pPr>
      <w:r w:rsidDel="00000000" w:rsidR="00000000" w:rsidRPr="00000000">
        <w:rPr>
          <w:i w:val="0"/>
          <w:iCs w:val="0"/>
          <w:color w:val="000000"/>
          <w:sz w:val="26"/>
          <w:szCs w:val="26"/>
          <w:rtl w:val="0"/>
        </w:rPr>
        <w:t xml:space="preserve">This chapter has presented a coherent and methodologically rigorous framework grounded in interpretivism, qualitative induction, documentary research, and thematic analysis. The combination of systematic data collection, purposive sampling, and multi-layered analysis provides a strong foundation for examining digital visibility strategies within a rapidly evolving online environment. This methodological approach supports the detailed theoretical and analytical work presented in the subsequent chapters.</w:t>
      </w:r>
    </w:p>
    <w:p w:rsidR="00000000" w:rsidDel="00000000" w:rsidP="00000000" w:rsidRDefault="00000000" w:rsidRPr="00000000" w14:paraId="000001C2">
      <w:pPr>
        <w:spacing w:line="276" w:lineRule="auto"/>
        <w:rPr>
          <w:i w:val="0"/>
          <w:iCs w:val="0"/>
          <w:color w:val="000000"/>
          <w:sz w:val="26"/>
          <w:szCs w:val="26"/>
        </w:rPr>
      </w:pPr>
      <w:r w:rsidDel="00000000" w:rsidR="00000000" w:rsidRPr="00000000">
        <w:rPr>
          <w:rtl w:val="0"/>
        </w:rPr>
      </w:r>
    </w:p>
    <w:p w:rsidR="00000000" w:rsidDel="00000000" w:rsidP="00000000" w:rsidRDefault="00000000" w:rsidRPr="00000000" w14:paraId="000001C3">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C4">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C5">
      <w:pPr>
        <w:spacing w:after="240" w:before="240" w:lineRule="auto"/>
        <w:rPr>
          <w:b w:val="1"/>
          <w:bCs w:val="1"/>
          <w:i w:val="0"/>
          <w:iCs w:val="0"/>
          <w:color w:val="000000"/>
        </w:rPr>
      </w:pPr>
      <w:r w:rsidDel="00000000" w:rsidR="00000000" w:rsidRPr="00000000">
        <w:rPr>
          <w:rtl w:val="0"/>
        </w:rPr>
      </w:r>
    </w:p>
    <w:p w:rsidR="00000000" w:rsidDel="00000000" w:rsidP="00000000" w:rsidRDefault="00000000" w:rsidRPr="00000000" w14:paraId="000001C6">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C7">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C8">
      <w:pPr>
        <w:spacing w:after="160" w:line="259" w:lineRule="auto"/>
        <w:jc w:val="left"/>
        <w:rPr>
          <w:b w:val="1"/>
          <w:bCs w:val="1"/>
          <w:i w:val="0"/>
          <w:iCs w:val="0"/>
          <w:color w:val="000000"/>
        </w:rPr>
      </w:pPr>
      <w:r w:rsidDel="00000000" w:rsidR="00000000" w:rsidRPr="00000000">
        <w:rPr>
          <w:rtl w:val="0"/>
        </w:rPr>
      </w:r>
    </w:p>
    <w:p w:rsidR="00000000" w:rsidDel="00000000" w:rsidP="00000000" w:rsidRDefault="00000000" w:rsidRPr="00000000" w14:paraId="000001C9">
      <w:pPr>
        <w:spacing w:after="160" w:line="259" w:lineRule="auto"/>
        <w:jc w:val="left"/>
        <w:rPr>
          <w:b w:val="1"/>
          <w:bCs w:val="1"/>
          <w:i w:val="0"/>
          <w:iCs w:val="0"/>
          <w:color w:val="000000"/>
        </w:rPr>
      </w:pPr>
      <w:r w:rsidDel="00000000" w:rsidR="00000000" w:rsidRPr="00000000">
        <w:rPr>
          <w:b w:val="1"/>
          <w:bCs w:val="1"/>
          <w:i w:val="0"/>
          <w:iCs w:val="0"/>
          <w:color w:val="000000"/>
          <w:rtl w:val="0"/>
        </w:rPr>
        <w:t xml:space="preserve">4.0 ANALYSIS AND FINDINGS</w:t>
      </w:r>
    </w:p>
    <w:p w:rsidR="00000000" w:rsidDel="00000000" w:rsidP="00000000" w:rsidRDefault="00000000" w:rsidRPr="00000000" w14:paraId="000001CA">
      <w:pPr>
        <w:spacing w:after="160" w:line="259" w:lineRule="auto"/>
        <w:jc w:val="left"/>
        <w:rPr>
          <w:b w:val="1"/>
          <w:bCs w:val="1"/>
          <w:i w:val="0"/>
          <w:iCs w:val="0"/>
          <w:color w:val="000000"/>
        </w:rPr>
      </w:pPr>
      <w:r w:rsidDel="00000000" w:rsidR="00000000" w:rsidRPr="00000000">
        <w:rPr>
          <w:rtl w:val="0"/>
        </w:rPr>
      </w:r>
    </w:p>
    <w:p w:rsidR="00000000" w:rsidDel="00000000" w:rsidP="00000000" w:rsidRDefault="00000000" w:rsidRPr="00000000" w14:paraId="000001CB">
      <w:pPr>
        <w:spacing w:after="160" w:line="259" w:lineRule="auto"/>
        <w:jc w:val="left"/>
        <w:rPr>
          <w:b w:val="1"/>
          <w:bCs w:val="1"/>
          <w:i w:val="0"/>
          <w:iCs w:val="0"/>
          <w:color w:val="000000"/>
          <w:sz w:val="26"/>
          <w:szCs w:val="26"/>
        </w:rPr>
      </w:pPr>
      <w:r w:rsidDel="00000000" w:rsidR="00000000" w:rsidRPr="00000000">
        <w:rPr>
          <w:b w:val="1"/>
          <w:bCs w:val="1"/>
          <w:i w:val="0"/>
          <w:iCs w:val="0"/>
          <w:color w:val="000000"/>
          <w:sz w:val="26"/>
          <w:szCs w:val="26"/>
          <w:rtl w:val="0"/>
        </w:rPr>
        <w:t xml:space="preserve"> 4.1 Introduction</w:t>
      </w:r>
    </w:p>
    <w:p w:rsidR="00000000" w:rsidDel="00000000" w:rsidP="00000000" w:rsidRDefault="00000000" w:rsidRPr="00000000" w14:paraId="000001CC">
      <w:pPr>
        <w:spacing w:after="160" w:line="259" w:lineRule="auto"/>
        <w:jc w:val="left"/>
        <w:rPr>
          <w:i w:val="0"/>
          <w:iCs w:val="0"/>
          <w:color w:val="000000"/>
        </w:rPr>
      </w:pPr>
      <w:r w:rsidDel="00000000" w:rsidR="00000000" w:rsidRPr="00000000">
        <w:rPr>
          <w:rtl w:val="0"/>
        </w:rPr>
      </w:r>
    </w:p>
    <w:p w:rsidR="00000000" w:rsidDel="00000000" w:rsidP="00000000" w:rsidRDefault="00000000" w:rsidRPr="00000000" w14:paraId="000001CD">
      <w:pPr>
        <w:spacing w:after="240" w:before="240" w:lineRule="auto"/>
        <w:rPr>
          <w:i w:val="0"/>
          <w:iCs w:val="0"/>
          <w:color w:val="000000"/>
        </w:rPr>
      </w:pPr>
      <w:r w:rsidDel="00000000" w:rsidR="00000000" w:rsidRPr="00000000">
        <w:rPr>
          <w:i w:val="0"/>
          <w:iCs w:val="0"/>
          <w:color w:val="000000"/>
          <w:rtl w:val="0"/>
        </w:rPr>
        <w:t xml:space="preserve">This chapter presents findings from a systematic analysis of FENIXSAN LIMITED’s current digital presence and online visibility, evaluated against best practices identified in the literature review. The analysis examines multiple dimensions of digital performance, including website architecture, search engine visibility, content strategy, semantic optimisation, and the broader effectiveness of the organisation’s digital marketing activities. These elements are essential because digital visibility is now recognised as a strategic capability rather than a technical add-on, especially in technology-driven sectors (Chaffey &amp; Ellis‑Chadwick, 2022; Kingsnorth, 2022).</w:t>
      </w:r>
    </w:p>
    <w:p w:rsidR="00000000" w:rsidDel="00000000" w:rsidP="00000000" w:rsidRDefault="00000000" w:rsidRPr="00000000" w14:paraId="000001CE">
      <w:pPr>
        <w:spacing w:after="240" w:before="240" w:lineRule="auto"/>
        <w:rPr>
          <w:i w:val="0"/>
          <w:iCs w:val="0"/>
          <w:color w:val="000000"/>
        </w:rPr>
      </w:pPr>
      <w:r w:rsidDel="00000000" w:rsidR="00000000" w:rsidRPr="00000000">
        <w:rPr>
          <w:i w:val="0"/>
          <w:iCs w:val="0"/>
          <w:color w:val="000000"/>
          <w:rtl w:val="0"/>
        </w:rPr>
        <w:t xml:space="preserve">The analytical framework used in this chapter reflects contemporary research on SEO, AEO, digital communication, and organisational digital capability. Modern search ecosystems rely heavily on semantic interpretation, structured data, and behavioural signals (Shahzad et al., 2020; Hummel &amp; Braun, 2019), which means that visibility depends not only on keyword rankings but also on how well content aligns with user intent and machine‑readable structures. This chapter therefore evaluates FENIXSAN’s practices in relation to both traditional SEO and emerging answer‑based search environments, acknowledging the growing importance of zero‑click results and AI‑generated answers (Suri &amp; Thakur, 2023; Rogers, 2020).</w:t>
      </w:r>
    </w:p>
    <w:p w:rsidR="00000000" w:rsidDel="00000000" w:rsidP="00000000" w:rsidRDefault="00000000" w:rsidRPr="00000000" w14:paraId="000001CF">
      <w:pPr>
        <w:spacing w:after="240" w:before="240" w:lineRule="auto"/>
        <w:rPr>
          <w:i w:val="0"/>
          <w:iCs w:val="0"/>
          <w:color w:val="000000"/>
        </w:rPr>
      </w:pPr>
      <w:r w:rsidDel="00000000" w:rsidR="00000000" w:rsidRPr="00000000">
        <w:rPr>
          <w:i w:val="0"/>
          <w:iCs w:val="0"/>
          <w:color w:val="000000"/>
          <w:rtl w:val="0"/>
        </w:rPr>
        <w:t xml:space="preserve">Findings are organised around five core visibility dimensions identified in the literature: Search Engine Optimisation performance, Answer Engine Optimisation readiness, content quality and educational positioning, technical infrastructure, and digital channel integration. By comparing FENIXSAN’s current practices with theoretical and empirical insights from existing research, this chapter identifies areas of alignment as well as significant strategic gaps. These insights provide the foundation for the recommendations developed in later chapters, particularly regarding the development of digital capability, competitive positioning, and adoption of optimisation techniques suited to the AgriTech sector (Teece, 2007; Bharadwaj, 2013; Klerkx et al., 2019).</w:t>
      </w:r>
    </w:p>
    <w:p w:rsidR="00000000" w:rsidDel="00000000" w:rsidP="00000000" w:rsidRDefault="00000000" w:rsidRPr="00000000" w14:paraId="000001D0">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1D1">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4.2 FENIXSAN LIMITED: Company Context and Digital Positioning</w:t>
      </w:r>
    </w:p>
    <w:p w:rsidR="00000000" w:rsidDel="00000000" w:rsidP="00000000" w:rsidRDefault="00000000" w:rsidRPr="00000000" w14:paraId="000001D2">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FENIXSAN LIMITED operates within the AgriTech sector, specialising in intelligent farming solutions that include vertical farming, greenhouse farming, container farming, and modern goat farming technologies. The company functions inside a rapidly evolving technological landscape where digital visibility is a crucial competitive asset. As established in Chapter 2, organisations in innovation-driven and knowledge‑intensive sectors depend heavily on digital communication to overcome information gaps, build legitimacy, and support user understanding of unfamiliar technologies (Cioppi et al., 2019; Mancini et al., 2019; Rotz et al., 2019). Research in digital marketing further highlights that industries with low consumer familiarity require stronger online visibility and clearer informational structures to support trust formation and market engagement (Kotler et al., 2021; Chaffey &amp; Ellis‑Chadwick, 2022).</w:t>
      </w:r>
    </w:p>
    <w:p w:rsidR="00000000" w:rsidDel="00000000" w:rsidP="00000000" w:rsidRDefault="00000000" w:rsidRPr="00000000" w14:paraId="000001D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FENIXSAN also operates within an increasingly competitive environment that spans multiple AgriTech sub-sectors. Key competitors include Vertical Future, Jones Food Company, GrowUp Farms, Infarm, and Innovation Agritech Group within vertical farming; CROPBOX, Freight Farms, and V-Farm in container farming systems; and Tharsus, Certhon Group, and Ridder within greenhouse automation. These competitors maintain more mature digital ecosystems with stronger content depth, clearer communication of technical capabilities, and higher search visibility. This competitive landscape amplifies the need for FENIXSAN to enhance its digital positioning, particularly because companies in emerging AgriTech markets compete not only on product innovation but also on the clarity, accessibility, and visibility of their digital communication (Hassan, 2020; Das, 2021).</w:t>
      </w:r>
    </w:p>
    <w:p w:rsidR="00000000" w:rsidDel="00000000" w:rsidP="00000000" w:rsidRDefault="00000000" w:rsidRPr="00000000" w14:paraId="000001D4">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4.2.1 AgriTech Sector Characteristics</w:t>
      </w:r>
    </w:p>
    <w:p w:rsidR="00000000" w:rsidDel="00000000" w:rsidP="00000000" w:rsidRDefault="00000000" w:rsidRPr="00000000" w14:paraId="000001D5">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AgriTech sector represents an emerging market segment characterised by rapid technological advancement, low consumer familiarity with innovative farming methods, and substantial information asymmetries between organisations and potential adopters. As highlighted in the literature, digital communication therefore plays a dual role: it must not only promote products but also educate audiences and build trust in unfamiliar technologies (Rotz et al., 2019; Mancini et al., 2019). Organisations operating in this space must present complex technological concepts in clear, accessible language while simultaneously demonstrating credibility, transparency, and legitimacy—factors shown to strongly influence acceptance of novel agricultural systems.</w:t>
      </w:r>
    </w:p>
    <w:p w:rsidR="00000000" w:rsidDel="00000000" w:rsidP="00000000" w:rsidRDefault="00000000" w:rsidRPr="00000000" w14:paraId="000001D6">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4.3 Digital Visibility Analysis: Current State Assessment </w:t>
      </w:r>
    </w:p>
    <w:p w:rsidR="00000000" w:rsidDel="00000000" w:rsidP="00000000" w:rsidRDefault="00000000" w:rsidRPr="00000000" w14:paraId="000001D7">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4.3.1 Search Engine Visibility and Online Presence</w:t>
      </w:r>
    </w:p>
    <w:p w:rsidR="00000000" w:rsidDel="00000000" w:rsidP="00000000" w:rsidRDefault="00000000" w:rsidRPr="00000000" w14:paraId="000001D8">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Analysis of FENIXSAN’s digital presence indicates variable search visibility across relevant industry queries. While the company maintains an active website (fenixsan.com) outlining its services, farming solutions, and technical capabilities, visibility for high‑value, non‑branded search terms remains limited. Queries relating to vertical farming systems, greenhouse automation, precision agriculture, and broader AgriTech solutions return inconsistent or weak rankings, suggesting insufficient optimisation for competitive search environments.</w:t>
      </w:r>
    </w:p>
    <w:p w:rsidR="00000000" w:rsidDel="00000000" w:rsidP="00000000" w:rsidRDefault="00000000" w:rsidRPr="00000000" w14:paraId="000001D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As highlighted in Chapter 2, search engine visibility consists of two complementary dimensions: ranking prominence and answerability. Organisations must not only appear within search results but must also ensure that their content can be extracted and displayed directly by search engines in response to user intent (Das, 2021; Suri &amp; Thakur, 2023). In FENIXSAN’s case, moderate visibility is observed for branded queries—those containing the company name—yet visibility for non‑branded, industry‑generic queries remains low. This limits the organisation’s ability to reach new audiences who are exploring AgriTech solutions without prior knowledge of the brand. Such competitive disadvantages align with strategic capability theories, which emphasise that firms operating in dynamic markets require strong digital positioning to remain discoverable within evolving competitive landscapes (Teece, 2007).</w:t>
      </w:r>
    </w:p>
    <w:p w:rsidR="00000000" w:rsidDel="00000000" w:rsidP="00000000" w:rsidRDefault="00000000" w:rsidRPr="00000000" w14:paraId="000001DA">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 further challenge arises from the zero‑click search phenomenon, where approximately half of online searches now end without users clicking through to external websites because search engines surface direct answers on the results page (Das, 2021; Suri &amp; Thakur, 2023). FENIXSAN’s current content shows limited optimisation for these zero‑click environments, with few features enabling answer extraction—such as structured summaries, entity‑rich statements, or optimised featured‑snippet formats. Consequently, even where FENIXSAN ranks on results pages, search engines may instead display competitor-derived answers, reducing the likelihood of website visits and diminishing FENIXSAN’s effective search visibility.</w:t>
      </w:r>
    </w:p>
    <w:p w:rsidR="00000000" w:rsidDel="00000000" w:rsidP="00000000" w:rsidRDefault="00000000" w:rsidRPr="00000000" w14:paraId="000001DB">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1DC">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4.3.2 Content Strategy and Information Architecture</w:t>
      </w:r>
      <w:r w:rsidDel="00000000" w:rsidR="00000000" w:rsidRPr="00000000">
        <w:rPr>
          <w:rtl w:val="0"/>
        </w:rPr>
      </w:r>
    </w:p>
    <w:p w:rsidR="00000000" w:rsidDel="00000000" w:rsidP="00000000" w:rsidRDefault="00000000" w:rsidRPr="00000000" w14:paraId="000001DD">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FENIXSAN’s website delivers business-oriented content focused on the company’s background, service portfolio, technical capabilities, and contact information. However, the analysis shows that the site falls short of the content optimisation practices highlighted in the literature for organisations operating in knowledge‑intensive or technologically advanced sectors. As established in Chapter 2, firms working within emerging or complex technological domains must provide educational material that conveys technical depth while remaining accessible to non‑expert audiences are an essential requirement for reducing information gaps and building credibility (Mancini et al., 2019; Rotz et al., 2019).</w:t>
      </w:r>
    </w:p>
    <w:p w:rsidR="00000000" w:rsidDel="00000000" w:rsidP="00000000" w:rsidRDefault="00000000" w:rsidRPr="00000000" w14:paraId="000001DE">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1DF">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current content review indicates that FENIXSAN’s website is primarily company‑centric, emphasising internal capabilities rather than delivering user‑focused educational content that responds directly to stakeholder information needs. Research on digital communication consistently shows that transparent, instructive content demystifies complex technologies and enhances trust, particularly within AgriTech markets where consumer knowledge is often limited (Mancini et al., 2019; Cioppi et al., 2019). From a marketing perspective, high‑value educational content is also a core component of authority‑building and long‑term visibility, aligning with digital marketing frameworks that emphasise content depth, clarity, and relevance (Kingsnorth, 2022; Chaffey &amp; Ellis‑Chadwick, 2022).</w:t>
      </w:r>
    </w:p>
    <w:p w:rsidR="00000000" w:rsidDel="00000000" w:rsidP="00000000" w:rsidRDefault="00000000" w:rsidRPr="00000000" w14:paraId="000001E0">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Another issue relates to content accessibility and format diversity. Although the website provides essential information through standard pages, it does not utilise the broader range of content formats recommended in contemporary digital marketing practice. Studies show that multimedia formats, such as blogs, videos, diagrams, and interactive tools are not only improve user engagement but also strengthen SEO and AEO performance by offering semantically rich, varied information forms (Hassan, 2020; Ledford, 2015; Strauss &amp; Frost, 2014). FENIXSAN’s limited use of diversified content formats therefore constrains both user engagement and the site’s overall digital visibility.</w:t>
      </w:r>
    </w:p>
    <w:p w:rsidR="00000000" w:rsidDel="00000000" w:rsidP="00000000" w:rsidRDefault="00000000" w:rsidRPr="00000000" w14:paraId="000001E1">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1E2">
      <w:pPr>
        <w:spacing w:after="240" w:before="240" w:lineRule="auto"/>
        <w:rPr>
          <w:b w:val="1"/>
          <w:bCs w:val="1"/>
          <w:i w:val="0"/>
          <w:iCs w:val="0"/>
          <w:color w:val="000000"/>
          <w:sz w:val="26"/>
          <w:szCs w:val="26"/>
        </w:rPr>
      </w:pPr>
      <w:r w:rsidDel="00000000" w:rsidR="00000000" w:rsidRPr="00000000">
        <w:rPr>
          <w:b w:val="1"/>
          <w:bCs w:val="1"/>
          <w:i w:val="0"/>
          <w:iCs w:val="0"/>
          <w:color w:val="000000"/>
          <w:rtl w:val="0"/>
        </w:rPr>
        <w:t xml:space="preserve"> </w:t>
      </w:r>
      <w:r w:rsidDel="00000000" w:rsidR="00000000" w:rsidRPr="00000000">
        <w:rPr>
          <w:b w:val="1"/>
          <w:bCs w:val="1"/>
          <w:i w:val="0"/>
          <w:iCs w:val="0"/>
          <w:color w:val="000000"/>
          <w:sz w:val="26"/>
          <w:szCs w:val="26"/>
          <w:rtl w:val="0"/>
        </w:rPr>
        <w:t xml:space="preserve">4.3.3 Technical SEO and Website Infrastructure</w:t>
      </w:r>
    </w:p>
    <w:p w:rsidR="00000000" w:rsidDel="00000000" w:rsidP="00000000" w:rsidRDefault="00000000" w:rsidRPr="00000000" w14:paraId="000001E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Technical website infrastructure analysis reveals several optimisation opportunities aligned with literature recommendations. Chapter 2 identifies critical technical SEO dimensions including mobile responsiveness, page load performance, crawlability optimisation, and structured data implementation (Pohjanen, 2019; Das, 2021). These elements form the foundation of what Ledford (2015) describes as “baseline technical SEO,” where clarity of code, site structure, and performance collectively influence ranking potential.</w:t>
      </w:r>
    </w:p>
    <w:p w:rsidR="00000000" w:rsidDel="00000000" w:rsidP="00000000" w:rsidRDefault="00000000" w:rsidRPr="00000000" w14:paraId="000001E4">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FENIXSAN’s website demonstrates responsive design that supports mobile access, meeting the mobile‑first expectation emphasised in contemporary digital marketing frameworks (Chaffey &amp; Ellis‑Chadwick, 2022). Early SEO research by Kritzinger and Weideman (2013) also highlighted that structurally clean, mobile‑compatible websites improve crawler efficiency in an area where FENIXSAN shows only partial alignment.</w:t>
      </w:r>
    </w:p>
    <w:p w:rsidR="00000000" w:rsidDel="00000000" w:rsidP="00000000" w:rsidRDefault="00000000" w:rsidRPr="00000000" w14:paraId="000001E5">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However, analysis identifies limited implementation of structured data markup (schema.org), which would enhance search engine interpretation of organisational information, service offerings, and entity attributes. Literature establishes that structured data significantly improves algorithmic comprehension, enabling richer search results, knowledge panel displays, and improved semantic visibility (Hummel &amp; Braun, 2019; Das, 2021). Studies on semantic search (Giomelakis &amp; Veglis, 2016) further confirm that schema markup is essential for organisations competing in information‑dense environments, as it guides search engines in interpreting meaning rather than relying solely on keywords.</w:t>
      </w:r>
    </w:p>
    <w:p w:rsidR="00000000" w:rsidDel="00000000" w:rsidP="00000000" w:rsidRDefault="00000000" w:rsidRPr="00000000" w14:paraId="000001E6">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Page‑speed optimisation represents another technical dimension requiring attention. Contemporary SEO literature emphasises that performance directly affects both user experience and ranking signals (Das, 2021; Pohjanen, 2019). Industry evidence supports this relationship: Enge (2020) and Fishkin (2021) identify page‑speed thresholds as increasingly influential within Google’s Core Web Vitals. Although FENIXSAN’s website maintains acceptable performance, additional optimisation—particularly of high‑resolution images commonly used in AgriTech marketing—could further improve load times and reduce bounce rates.</w:t>
      </w:r>
    </w:p>
    <w:p w:rsidR="00000000" w:rsidDel="00000000" w:rsidP="00000000" w:rsidRDefault="00000000" w:rsidRPr="00000000" w14:paraId="000001E7">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1E8">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Additionally, effective crawlability and internal link structure remain essential. Berman and Katona (2013) argue that search visibility depends not only on keyword relevance but also on how efficiently search engines can navigate and evaluate site content. FENIXSAN’s current architecture, while functional, lacks the depth and internal hierarchy typically associated with strong crawlability, suggesting opportunities for improved sitemap structure, cleaner URL patterns, and greater contextual linking.</w:t>
      </w:r>
    </w:p>
    <w:p w:rsidR="00000000" w:rsidDel="00000000" w:rsidP="00000000" w:rsidRDefault="00000000" w:rsidRPr="00000000" w14:paraId="000001E9">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1EA">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4.3.4 Answer Engine Optimization Implementation</w:t>
      </w:r>
    </w:p>
    <w:p w:rsidR="00000000" w:rsidDel="00000000" w:rsidP="00000000" w:rsidRDefault="00000000" w:rsidRPr="00000000" w14:paraId="000001EB">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Analysis of FENIXSAN’s current digital presence shows that Answer Engine Optimisation (AEO) practices are largely absent, despite their growing importance in contemporary search ecosystems. As highlighted in the literature, answer engines and AI-driven interfaces increasingly deliver single-response answers extracted directly from structured or semantically enriched content (Tober, 2017; Enge, 2020). This shift reflects a broader transformation towards zero-click environments—where users obtain information without visiting websites—now accounting for a significant proportion of searches (Fishkin, 2021; Rogers, 2020).</w:t>
      </w:r>
    </w:p>
    <w:p w:rsidR="00000000" w:rsidDel="00000000" w:rsidP="00000000" w:rsidRDefault="00000000" w:rsidRPr="00000000" w14:paraId="000001EC">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Effective AEO requires content that is explicitly structured for machine interpretation, enabling algorithms to detect, extract, and prioritise direct answers. These structures typically include:</w:t>
      </w:r>
    </w:p>
    <w:p w:rsidR="00000000" w:rsidDel="00000000" w:rsidP="00000000" w:rsidRDefault="00000000" w:rsidRPr="00000000" w14:paraId="000001ED">
      <w:pPr>
        <w:numPr>
          <w:ilvl w:val="0"/>
          <w:numId w:val="23"/>
        </w:numPr>
        <w:spacing w:after="0" w:before="240" w:lineRule="auto"/>
        <w:ind w:left="720" w:hanging="360"/>
        <w:rPr>
          <w:i w:val="0"/>
          <w:iCs w:val="0"/>
          <w:color w:val="000000"/>
          <w:sz w:val="26"/>
          <w:szCs w:val="26"/>
        </w:rPr>
      </w:pPr>
      <w:r w:rsidDel="00000000" w:rsidR="00000000" w:rsidRPr="00000000">
        <w:rPr>
          <w:i w:val="0"/>
          <w:iCs w:val="0"/>
          <w:color w:val="000000"/>
          <w:sz w:val="26"/>
          <w:szCs w:val="26"/>
          <w:rtl w:val="0"/>
        </w:rPr>
        <w:t xml:space="preserve">Clear question-answer formatting</w:t>
      </w:r>
      <w:r w:rsidDel="00000000" w:rsidR="00000000" w:rsidRPr="00000000">
        <w:rPr>
          <w:rtl w:val="0"/>
        </w:rPr>
      </w:r>
    </w:p>
    <w:p w:rsidR="00000000" w:rsidDel="00000000" w:rsidP="00000000" w:rsidRDefault="00000000" w:rsidRPr="00000000" w14:paraId="000001EE">
      <w:pPr>
        <w:numPr>
          <w:ilvl w:val="0"/>
          <w:numId w:val="23"/>
        </w:numPr>
        <w:spacing w:after="0" w:before="0" w:lineRule="auto"/>
        <w:ind w:left="720" w:hanging="360"/>
        <w:rPr>
          <w:i w:val="0"/>
          <w:iCs w:val="0"/>
          <w:color w:val="000000"/>
          <w:sz w:val="26"/>
          <w:szCs w:val="26"/>
        </w:rPr>
      </w:pPr>
      <w:r w:rsidDel="00000000" w:rsidR="00000000" w:rsidRPr="00000000">
        <w:rPr>
          <w:i w:val="0"/>
          <w:iCs w:val="0"/>
          <w:color w:val="000000"/>
          <w:sz w:val="26"/>
          <w:szCs w:val="26"/>
          <w:rtl w:val="0"/>
        </w:rPr>
        <w:t xml:space="preserve"> Concise, factual statements addressing common user queries </w:t>
      </w:r>
      <w:r w:rsidDel="00000000" w:rsidR="00000000" w:rsidRPr="00000000">
        <w:rPr>
          <w:rtl w:val="0"/>
        </w:rPr>
      </w:r>
    </w:p>
    <w:p w:rsidR="00000000" w:rsidDel="00000000" w:rsidP="00000000" w:rsidRDefault="00000000" w:rsidRPr="00000000" w14:paraId="000001EF">
      <w:pPr>
        <w:numPr>
          <w:ilvl w:val="0"/>
          <w:numId w:val="23"/>
        </w:numPr>
        <w:spacing w:after="0" w:before="0" w:lineRule="auto"/>
        <w:ind w:left="720" w:hanging="360"/>
        <w:rPr>
          <w:i w:val="0"/>
          <w:iCs w:val="0"/>
          <w:color w:val="000000"/>
          <w:sz w:val="26"/>
          <w:szCs w:val="26"/>
        </w:rPr>
      </w:pPr>
      <w:r w:rsidDel="00000000" w:rsidR="00000000" w:rsidRPr="00000000">
        <w:rPr>
          <w:i w:val="0"/>
          <w:iCs w:val="0"/>
          <w:color w:val="000000"/>
          <w:sz w:val="26"/>
          <w:szCs w:val="26"/>
          <w:rtl w:val="0"/>
        </w:rPr>
        <w:t xml:space="preserve">FAQ sections with structured markup </w:t>
      </w:r>
      <w:r w:rsidDel="00000000" w:rsidR="00000000" w:rsidRPr="00000000">
        <w:rPr>
          <w:rtl w:val="0"/>
        </w:rPr>
      </w:r>
    </w:p>
    <w:p w:rsidR="00000000" w:rsidDel="00000000" w:rsidP="00000000" w:rsidRDefault="00000000" w:rsidRPr="00000000" w14:paraId="000001F0">
      <w:pPr>
        <w:numPr>
          <w:ilvl w:val="0"/>
          <w:numId w:val="23"/>
        </w:numPr>
        <w:spacing w:after="0" w:before="0" w:lineRule="auto"/>
        <w:ind w:left="720" w:hanging="360"/>
        <w:rPr>
          <w:i w:val="0"/>
          <w:iCs w:val="0"/>
          <w:color w:val="000000"/>
          <w:sz w:val="26"/>
          <w:szCs w:val="26"/>
        </w:rPr>
      </w:pPr>
      <w:r w:rsidDel="00000000" w:rsidR="00000000" w:rsidRPr="00000000">
        <w:rPr>
          <w:i w:val="0"/>
          <w:iCs w:val="0"/>
          <w:color w:val="000000"/>
          <w:sz w:val="26"/>
          <w:szCs w:val="26"/>
          <w:rtl w:val="0"/>
        </w:rPr>
        <w:t xml:space="preserve">Definition sections explaining technical concepts </w:t>
      </w:r>
      <w:r w:rsidDel="00000000" w:rsidR="00000000" w:rsidRPr="00000000">
        <w:rPr>
          <w:rtl w:val="0"/>
        </w:rPr>
      </w:r>
    </w:p>
    <w:p w:rsidR="00000000" w:rsidDel="00000000" w:rsidP="00000000" w:rsidRDefault="00000000" w:rsidRPr="00000000" w14:paraId="000001F1">
      <w:pPr>
        <w:numPr>
          <w:ilvl w:val="0"/>
          <w:numId w:val="23"/>
        </w:numPr>
        <w:spacing w:after="240" w:before="0" w:lineRule="auto"/>
        <w:ind w:left="720" w:hanging="360"/>
        <w:rPr>
          <w:i w:val="0"/>
          <w:iCs w:val="0"/>
          <w:color w:val="000000"/>
          <w:sz w:val="26"/>
          <w:szCs w:val="26"/>
        </w:rPr>
      </w:pPr>
      <w:r w:rsidDel="00000000" w:rsidR="00000000" w:rsidRPr="00000000">
        <w:rPr>
          <w:i w:val="0"/>
          <w:iCs w:val="0"/>
          <w:color w:val="000000"/>
          <w:sz w:val="26"/>
          <w:szCs w:val="26"/>
          <w:rtl w:val="0"/>
        </w:rPr>
        <w:t xml:space="preserve">Comparison tables addressing industry-specific questions</w:t>
      </w:r>
      <w:r w:rsidDel="00000000" w:rsidR="00000000" w:rsidRPr="00000000">
        <w:rPr>
          <w:rtl w:val="0"/>
        </w:rPr>
      </w:r>
    </w:p>
    <w:p w:rsidR="00000000" w:rsidDel="00000000" w:rsidP="00000000" w:rsidRDefault="00000000" w:rsidRPr="00000000" w14:paraId="000001F2">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However, FENIXSAN’s website shows limited application of these elements. The content primarily presents organisational information without integrating the micro-structures required for answer-focused retrieval. This absence significantly restricts the organisation’s visibility in AI‑driven interfaces, featured snippets, and voice search responses—channels increasingly central to information discovery within AgriTech and vertical farming sectors.</w:t>
      </w:r>
    </w:p>
    <w:p w:rsidR="00000000" w:rsidDel="00000000" w:rsidP="00000000" w:rsidRDefault="00000000" w:rsidRPr="00000000" w14:paraId="000001F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Given the complexity of AgriTech technologies, the lack of answer‑ready content represents a strategic disadvantage. The literature emphasises that sectors involving technical innovation benefit substantially from AEO because structured explanations help reduce informational asymmetry and support user comprehension (Tober, 2017; Enge, 2020). Therefore, implementing AEO practices presents a substantial opportunity for enhancing FENIXSAN’s presence in zero-click and AI‑mediated search environments where users expect direct, immediate answers.</w:t>
      </w:r>
    </w:p>
    <w:p w:rsidR="00000000" w:rsidDel="00000000" w:rsidP="00000000" w:rsidRDefault="00000000" w:rsidRPr="00000000" w14:paraId="000001F4">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4.4 Comparative Analysis: FENIXSAN Practices vs. Literature Best Practices</w:t>
      </w:r>
    </w:p>
    <w:p w:rsidR="00000000" w:rsidDel="00000000" w:rsidP="00000000" w:rsidRDefault="00000000" w:rsidRPr="00000000" w14:paraId="000001F5">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4.4.1 Gap Analysis Framework</w:t>
      </w:r>
    </w:p>
    <w:p w:rsidR="00000000" w:rsidDel="00000000" w:rsidP="00000000" w:rsidRDefault="00000000" w:rsidRPr="00000000" w14:paraId="000001F6">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 Systematic comparison of FENIXSAN's current digital marketing practices with literature-identified best practices (synthesized in Chapter 2) reveals several significant gaps warranting strategic attention. This comparative analysis employs dimensions identified through literature review: search visibility optimization, answer engine positioning, content quality and accessibility, technical infrastructure, and digital channel integration.</w:t>
      </w:r>
    </w:p>
    <w:p w:rsidR="00000000" w:rsidDel="00000000" w:rsidP="00000000" w:rsidRDefault="00000000" w:rsidRPr="00000000" w14:paraId="000001F7">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 4.4.2 Search Engine Optimization Implementation</w:t>
      </w:r>
      <w:r w:rsidDel="00000000" w:rsidR="00000000" w:rsidRPr="00000000">
        <w:rPr>
          <w:rtl w:val="0"/>
        </w:rPr>
      </w:r>
    </w:p>
    <w:p w:rsidR="00000000" w:rsidDel="00000000" w:rsidP="00000000" w:rsidRDefault="00000000" w:rsidRPr="00000000" w14:paraId="000001F8">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Literature Best Practices:</w:t>
      </w:r>
      <w:r w:rsidDel="00000000" w:rsidR="00000000" w:rsidRPr="00000000">
        <w:rPr>
          <w:i w:val="0"/>
          <w:iCs w:val="0"/>
          <w:color w:val="000000"/>
          <w:sz w:val="26"/>
          <w:szCs w:val="26"/>
          <w:rtl w:val="0"/>
        </w:rPr>
        <w:t xml:space="preserve"> Chapter 2 establishes that contemporary SEO requires balancing multiple optimization dimensions: semantic content optimization addressing user intent comprehensively, topical authority establishment through contextual depth, technical infrastructure supporting crawlability and performance, and link authority development through content quality and external recognition (Das, 2021; Shahzad et al., 2020; Pohjanen, 2019). </w:t>
      </w:r>
    </w:p>
    <w:p w:rsidR="00000000" w:rsidDel="00000000" w:rsidP="00000000" w:rsidRDefault="00000000" w:rsidRPr="00000000" w14:paraId="000001F9">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FENIXSAN Current State:</w:t>
      </w:r>
      <w:r w:rsidDel="00000000" w:rsidR="00000000" w:rsidRPr="00000000">
        <w:rPr>
          <w:i w:val="0"/>
          <w:iCs w:val="0"/>
          <w:color w:val="000000"/>
          <w:sz w:val="26"/>
          <w:szCs w:val="26"/>
          <w:rtl w:val="0"/>
        </w:rPr>
        <w:t xml:space="preserve"> FENIXSAN demonstrates moderate SEO implementation with basic optimization present but limited sophistication. Website content addresses core business topics (vertical farming, greenhouse automation) but provides limited contextual depth, semantic organization, or comprehensive intent addressing that literature identifies as ranking determinants in contemporary search environments (Das, 2021). </w:t>
      </w:r>
    </w:p>
    <w:p w:rsidR="00000000" w:rsidDel="00000000" w:rsidP="00000000" w:rsidRDefault="00000000" w:rsidRPr="00000000" w14:paraId="000001FA">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Gap Identified:</w:t>
      </w:r>
      <w:r w:rsidDel="00000000" w:rsidR="00000000" w:rsidRPr="00000000">
        <w:rPr>
          <w:i w:val="0"/>
          <w:iCs w:val="0"/>
          <w:color w:val="000000"/>
          <w:sz w:val="26"/>
          <w:szCs w:val="26"/>
          <w:rtl w:val="0"/>
        </w:rPr>
        <w:t xml:space="preserve"> Substantial opportunity exists for enhanced SEO implementation through: (1) semantic content expansion addressing user search intent comprehensively; (2) topical authority development through contextually rich, interconnected content addressing vertical farming principles, benefits, implementation requirements, and industry trends; (3) structured content organization supporting algorithmic comprehension of information relationships.</w:t>
      </w:r>
    </w:p>
    <w:p w:rsidR="00000000" w:rsidDel="00000000" w:rsidP="00000000" w:rsidRDefault="00000000" w:rsidRPr="00000000" w14:paraId="000001FB">
      <w:pPr>
        <w:spacing w:after="240" w:before="240" w:lineRule="auto"/>
        <w:rPr>
          <w:b w:val="1"/>
          <w:bCs w:val="1"/>
          <w:i w:val="0"/>
          <w:iCs w:val="0"/>
          <w:color w:val="000000"/>
          <w:sz w:val="26"/>
          <w:szCs w:val="26"/>
        </w:rPr>
      </w:pPr>
      <w:r w:rsidDel="00000000" w:rsidR="00000000" w:rsidRPr="00000000">
        <w:rPr>
          <w:b w:val="1"/>
          <w:bCs w:val="1"/>
          <w:i w:val="0"/>
          <w:iCs w:val="0"/>
          <w:color w:val="000000"/>
          <w:rtl w:val="0"/>
        </w:rPr>
        <w:t xml:space="preserve"> </w:t>
      </w:r>
      <w:r w:rsidDel="00000000" w:rsidR="00000000" w:rsidRPr="00000000">
        <w:rPr>
          <w:b w:val="1"/>
          <w:bCs w:val="1"/>
          <w:i w:val="0"/>
          <w:iCs w:val="0"/>
          <w:color w:val="000000"/>
          <w:sz w:val="26"/>
          <w:szCs w:val="26"/>
          <w:rtl w:val="0"/>
        </w:rPr>
        <w:t xml:space="preserve">4.4.3 Content Strategy and Educational Positioning</w:t>
      </w:r>
    </w:p>
    <w:p w:rsidR="00000000" w:rsidDel="00000000" w:rsidP="00000000" w:rsidRDefault="00000000" w:rsidRPr="00000000" w14:paraId="000001FC">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Literature Best Practices:</w:t>
      </w:r>
      <w:r w:rsidDel="00000000" w:rsidR="00000000" w:rsidRPr="00000000">
        <w:rPr>
          <w:i w:val="0"/>
          <w:iCs w:val="0"/>
          <w:color w:val="000000"/>
          <w:sz w:val="26"/>
          <w:szCs w:val="26"/>
          <w:rtl w:val="0"/>
        </w:rPr>
        <w:t xml:space="preserve"> Literature on digital communication within knowledge-intensive sectors establishes that transparent, educational content significantly enhances consumer understanding, trust establishment, and technology acceptance (Mancini et al., 2019; Rotz et al., 2019; Cioppi et al., 2019). Content should balance technical accuracy with accessibility, addressing both informed and uninformed audiences while establishing organizational credibility as reliable information source. </w:t>
      </w:r>
    </w:p>
    <w:p w:rsidR="00000000" w:rsidDel="00000000" w:rsidP="00000000" w:rsidRDefault="00000000" w:rsidRPr="00000000" w14:paraId="000001FD">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FENIXSAN Current State:</w:t>
      </w:r>
      <w:r w:rsidDel="00000000" w:rsidR="00000000" w:rsidRPr="00000000">
        <w:rPr>
          <w:i w:val="0"/>
          <w:iCs w:val="0"/>
          <w:color w:val="000000"/>
          <w:sz w:val="26"/>
          <w:szCs w:val="26"/>
          <w:rtl w:val="0"/>
        </w:rPr>
        <w:t xml:space="preserve"> Current content strategy emphasizes organizational capabilities and business information rather than stakeholder education. Website content provides limited explanation of vertical farming principles, benefits, implementation processes, or industry positioning that would educate audiences unfamiliar with controlled-environment agriculture technologies. </w:t>
      </w:r>
    </w:p>
    <w:p w:rsidR="00000000" w:rsidDel="00000000" w:rsidP="00000000" w:rsidRDefault="00000000" w:rsidRPr="00000000" w14:paraId="000001FE">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Gap Identified:</w:t>
      </w:r>
      <w:r w:rsidDel="00000000" w:rsidR="00000000" w:rsidRPr="00000000">
        <w:rPr>
          <w:i w:val="0"/>
          <w:iCs w:val="0"/>
          <w:color w:val="000000"/>
          <w:sz w:val="26"/>
          <w:szCs w:val="26"/>
          <w:rtl w:val="0"/>
        </w:rPr>
        <w:t xml:space="preserve"> Significant opportunity exists for content strategy enhancement through: (1) educational content addressing vertical farming, hydroponics, aeroponics, and precision agriculture principles; (2) benefit communication explaining resource efficiency, productivity advantages, and sustainability dimensions; (3) accessible content balancing technical accuracy with broad comprehension; (4) content diversification across formats (blog articles, videos, infographics, interactive tools) enhancing engagement and reach.</w:t>
      </w:r>
    </w:p>
    <w:p w:rsidR="00000000" w:rsidDel="00000000" w:rsidP="00000000" w:rsidRDefault="00000000" w:rsidRPr="00000000" w14:paraId="000001FF">
      <w:pPr>
        <w:spacing w:after="240" w:before="240" w:lineRule="auto"/>
        <w:rPr>
          <w:b w:val="1"/>
          <w:bCs w:val="1"/>
          <w:i w:val="0"/>
          <w:iCs w:val="0"/>
          <w:color w:val="000000"/>
          <w:sz w:val="26"/>
          <w:szCs w:val="26"/>
        </w:rPr>
      </w:pPr>
      <w:r w:rsidDel="00000000" w:rsidR="00000000" w:rsidRPr="00000000">
        <w:rPr>
          <w:b w:val="1"/>
          <w:bCs w:val="1"/>
          <w:i w:val="0"/>
          <w:iCs w:val="0"/>
          <w:color w:val="000000"/>
          <w:rtl w:val="0"/>
        </w:rPr>
        <w:t xml:space="preserve"> </w:t>
      </w:r>
      <w:r w:rsidDel="00000000" w:rsidR="00000000" w:rsidRPr="00000000">
        <w:rPr>
          <w:b w:val="1"/>
          <w:bCs w:val="1"/>
          <w:i w:val="0"/>
          <w:iCs w:val="0"/>
          <w:color w:val="000000"/>
          <w:sz w:val="26"/>
          <w:szCs w:val="26"/>
          <w:rtl w:val="0"/>
        </w:rPr>
        <w:t xml:space="preserve">4.4.4 Answer Engine Optimization Positioning</w:t>
      </w:r>
    </w:p>
    <w:p w:rsidR="00000000" w:rsidDel="00000000" w:rsidP="00000000" w:rsidRDefault="00000000" w:rsidRPr="00000000" w14:paraId="00000200">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 Literature Best Practices:</w:t>
      </w:r>
      <w:r w:rsidDel="00000000" w:rsidR="00000000" w:rsidRPr="00000000">
        <w:rPr>
          <w:i w:val="0"/>
          <w:iCs w:val="0"/>
          <w:color w:val="000000"/>
          <w:sz w:val="26"/>
          <w:szCs w:val="26"/>
          <w:rtl w:val="0"/>
        </w:rPr>
        <w:t xml:space="preserve"> Emerging AEO literature (Chapter 2) emphasizes that zero-click search now accounts for approximately 50% of searches, fundamentally altering visibility dynamics (Suri &amp; Thakur, 2023; Das, 2021). Effective AEO requires content structured for direct extraction by answer engines through question-answer formatting, structured data markup, concise factual statements, and FAQ structures addressing user queries directly (Hummel &amp; Braun, 2019; Das, 2021). </w:t>
      </w:r>
    </w:p>
    <w:p w:rsidR="00000000" w:rsidDel="00000000" w:rsidP="00000000" w:rsidRDefault="00000000" w:rsidRPr="00000000" w14:paraId="00000201">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FENIXSAN Current State:</w:t>
      </w:r>
      <w:r w:rsidDel="00000000" w:rsidR="00000000" w:rsidRPr="00000000">
        <w:rPr>
          <w:i w:val="0"/>
          <w:iCs w:val="0"/>
          <w:color w:val="000000"/>
          <w:sz w:val="26"/>
          <w:szCs w:val="26"/>
          <w:rtl w:val="0"/>
        </w:rPr>
        <w:t xml:space="preserve"> FENIXSAN's website demonstrates minimal AEO implementation. Limited question-answer formatting, structured FAQ sections, or semantic markup exist that would facilitate answer engine extraction and display as direct search results. </w:t>
      </w:r>
    </w:p>
    <w:p w:rsidR="00000000" w:rsidDel="00000000" w:rsidP="00000000" w:rsidRDefault="00000000" w:rsidRPr="00000000" w14:paraId="00000202">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Gap Identified:</w:t>
      </w:r>
      <w:r w:rsidDel="00000000" w:rsidR="00000000" w:rsidRPr="00000000">
        <w:rPr>
          <w:i w:val="0"/>
          <w:iCs w:val="0"/>
          <w:color w:val="000000"/>
          <w:sz w:val="26"/>
          <w:szCs w:val="26"/>
          <w:rtl w:val="0"/>
        </w:rPr>
        <w:t xml:space="preserve"> Critical opportunity exists for AEO implementation through: (1) structured question answer content addressing common stakeholder queries regarding vertical farming, technology benefits, implementation requirements; (2) comprehensive FAQ sections with schema markup enabling search engine extraction; (3) structured data implementation (Organization, LocalBusiness, Service schemas) enabling knowledge panel optimization; (4) voice search optimization providing concise, direct answers to commonly-asked questions.</w:t>
      </w:r>
    </w:p>
    <w:p w:rsidR="00000000" w:rsidDel="00000000" w:rsidP="00000000" w:rsidRDefault="00000000" w:rsidRPr="00000000" w14:paraId="00000203">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4.4.5 Technical Infrastructure Alignment</w:t>
      </w:r>
    </w:p>
    <w:p w:rsidR="00000000" w:rsidDel="00000000" w:rsidP="00000000" w:rsidRDefault="00000000" w:rsidRPr="00000000" w14:paraId="00000204">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Literature Best Practices:</w:t>
      </w:r>
      <w:r w:rsidDel="00000000" w:rsidR="00000000" w:rsidRPr="00000000">
        <w:rPr>
          <w:i w:val="0"/>
          <w:iCs w:val="0"/>
          <w:color w:val="000000"/>
          <w:sz w:val="26"/>
          <w:szCs w:val="26"/>
          <w:rtl w:val="0"/>
        </w:rPr>
        <w:t xml:space="preserve"> Contemporary SEO literature identifies critical technical dimensions including mobile optimization, page speed performance, crawlability enhancement, structured data implementation, and security infrastructure (Pohjanen, 2019; Das, 2021; Chaffey &amp; Ellis-Chadwick, 2022). </w:t>
      </w:r>
    </w:p>
    <w:p w:rsidR="00000000" w:rsidDel="00000000" w:rsidP="00000000" w:rsidRDefault="00000000" w:rsidRPr="00000000" w14:paraId="00000205">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FENIXSAN Current State:</w:t>
      </w:r>
      <w:r w:rsidDel="00000000" w:rsidR="00000000" w:rsidRPr="00000000">
        <w:rPr>
          <w:i w:val="0"/>
          <w:iCs w:val="0"/>
          <w:color w:val="000000"/>
          <w:sz w:val="26"/>
          <w:szCs w:val="26"/>
          <w:rtl w:val="0"/>
        </w:rPr>
        <w:t xml:space="preserve"> FENIXSAN website demonstrates basic technical competency with mobile responsiveness and acceptable performance. However, structured data implementation remains limited, and page speed optimization opportunities exist. </w:t>
      </w:r>
    </w:p>
    <w:p w:rsidR="00000000" w:rsidDel="00000000" w:rsidP="00000000" w:rsidRDefault="00000000" w:rsidRPr="00000000" w14:paraId="00000206">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Gap Identified:</w:t>
      </w:r>
      <w:r w:rsidDel="00000000" w:rsidR="00000000" w:rsidRPr="00000000">
        <w:rPr>
          <w:i w:val="0"/>
          <w:iCs w:val="0"/>
          <w:color w:val="000000"/>
          <w:sz w:val="26"/>
          <w:szCs w:val="26"/>
          <w:rtl w:val="0"/>
        </w:rPr>
        <w:t xml:space="preserve"> Moderate opportunity for technical enhancement through: (1) comprehensive schema markup implementation (Organization, Service, LocalBusiness schemas) enabling enhanced search result displays; (2) page speed optimization through image optimization, caching enhancement, and performance monitoring; (3) crawlability verification and XML sitemap optimization; (4) security implementation (HTTPS, security headers) supporting algorithmic trust signals.</w:t>
      </w:r>
    </w:p>
    <w:p w:rsidR="00000000" w:rsidDel="00000000" w:rsidP="00000000" w:rsidRDefault="00000000" w:rsidRPr="00000000" w14:paraId="00000207">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4.5 Competitive Positioning Analysis</w:t>
      </w:r>
    </w:p>
    <w:p w:rsidR="00000000" w:rsidDel="00000000" w:rsidP="00000000" w:rsidRDefault="00000000" w:rsidRPr="00000000" w14:paraId="00000208">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4.5.1 Competitor Digital Visibility Assessment</w:t>
      </w:r>
      <w:r w:rsidDel="00000000" w:rsidR="00000000" w:rsidRPr="00000000">
        <w:rPr>
          <w:rtl w:val="0"/>
        </w:rPr>
      </w:r>
    </w:p>
    <w:p w:rsidR="00000000" w:rsidDel="00000000" w:rsidP="00000000" w:rsidRDefault="00000000" w:rsidRPr="00000000" w14:paraId="0000020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Comparative analysis of FENIXSAN's digital presence relative to key competitors reveals variable positioning. Analysis of leading competitors within vertical farming segment (Vertical Future, Jones Food Company, GrowUp Farms, Infarm) demonstrates that successful AgriTech competitors implement multifaceted digital strategies encompassing content marketing, thought leadership positioning, educational resources, and technical SEO optimization. </w:t>
      </w:r>
    </w:p>
    <w:p w:rsidR="00000000" w:rsidDel="00000000" w:rsidP="00000000" w:rsidRDefault="00000000" w:rsidRPr="00000000" w14:paraId="0000020A">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Infarm, for example, demonstrates sophisticated digital presence including educational content addressing urban agriculture benefits, regulatory compliance information, and investor communications. Jones Food Company emphasizes technological innovation and sustainability messaging within digital communications. These competitor approaches align with literature best practices identified in Chapter 2, combining technical visibility optimization with educational content and thought leadership positioning. </w:t>
      </w:r>
    </w:p>
    <w:p w:rsidR="00000000" w:rsidDel="00000000" w:rsidP="00000000" w:rsidRDefault="00000000" w:rsidRPr="00000000" w14:paraId="0000020B">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FENIXSAN's digital positioning, while functional, demonstrates less sophisticated competitor differentiation than leading industry competitors. This gap suggests opportunity for enhanced competitive positioning through expanded digital marketing strategy and improved content sophistication.</w:t>
      </w:r>
    </w:p>
    <w:p w:rsidR="00000000" w:rsidDel="00000000" w:rsidP="00000000" w:rsidRDefault="00000000" w:rsidRPr="00000000" w14:paraId="0000020C">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4.5.2 Content and Educational Positioning Gaps</w:t>
      </w:r>
    </w:p>
    <w:p w:rsidR="00000000" w:rsidDel="00000000" w:rsidP="00000000" w:rsidRDefault="00000000" w:rsidRPr="00000000" w14:paraId="0000020D">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 Comparative analysis reveals that leading AgriTech competitors increasingly employ educational content positioning organizational expertise, communicating complex technologies accessibly, and establishing thought leadership within industry segments. Infarm publishes regulatory guidance and educational resources; Innovation Agritech Group emphasizes educational partnerships and knowledge sharing; major competitors produce video content explaining vertical farming benefits and implementation requirements. </w:t>
      </w:r>
    </w:p>
    <w:p w:rsidR="00000000" w:rsidDel="00000000" w:rsidP="00000000" w:rsidRDefault="00000000" w:rsidRPr="00000000" w14:paraId="0000020E">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FENIXSAN's limited educational content positioning relative to competitors represents significant strategic gap. Literature establishes that educational content provides dual benefits: enhancing search visibility through comprehensive, authoritative content while simultaneously building consumer trust through transparent technology explanation (Das, 2021; Chaffey &amp; Ellis-Chadwick, 2022; Mancini et al., 2019).</w:t>
      </w:r>
    </w:p>
    <w:p w:rsidR="00000000" w:rsidDel="00000000" w:rsidP="00000000" w:rsidRDefault="00000000" w:rsidRPr="00000000" w14:paraId="0000020F">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4.6 Key Findings Summary</w:t>
      </w:r>
    </w:p>
    <w:p w:rsidR="00000000" w:rsidDel="00000000" w:rsidP="00000000" w:rsidRDefault="00000000" w:rsidRPr="00000000" w14:paraId="00000210">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Analysis of FENIXSAN LIMITED's digital presence relative to literature-identified best practices reveals the following key findings: </w:t>
      </w:r>
    </w:p>
    <w:p w:rsidR="00000000" w:rsidDel="00000000" w:rsidP="00000000" w:rsidRDefault="00000000" w:rsidRPr="00000000" w14:paraId="00000211">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1:</w:t>
      </w:r>
      <w:r w:rsidDel="00000000" w:rsidR="00000000" w:rsidRPr="00000000">
        <w:rPr>
          <w:i w:val="0"/>
          <w:iCs w:val="0"/>
          <w:color w:val="000000"/>
          <w:sz w:val="26"/>
          <w:szCs w:val="26"/>
          <w:rtl w:val="0"/>
        </w:rPr>
        <w:t xml:space="preserve"> Limited Search Visibility for Non-Branded Queries FENIXSAN achieves moderate branded visibility but demonstrates limited visibility for industry focused, non-branded search queries. Literature establishes that organizations operating within knowledge-intensive sectors benefit substantially from visibility for industry-relevant queries connecting potential customers to business solutions (Das, 2021; Hassan, 2020). </w:t>
      </w:r>
    </w:p>
    <w:p w:rsidR="00000000" w:rsidDel="00000000" w:rsidP="00000000" w:rsidRDefault="00000000" w:rsidRPr="00000000" w14:paraId="00000212">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2:</w:t>
      </w:r>
      <w:r w:rsidDel="00000000" w:rsidR="00000000" w:rsidRPr="00000000">
        <w:rPr>
          <w:i w:val="0"/>
          <w:iCs w:val="0"/>
          <w:color w:val="000000"/>
          <w:sz w:val="26"/>
          <w:szCs w:val="26"/>
          <w:rtl w:val="0"/>
        </w:rPr>
        <w:t xml:space="preserve"> Content Strategy Emphasizes Business Information Over Education Current content strategy prioritizes organizational capabilities rather than stakeholder education. Literature on digital communication in complex sectors establishes that educational content addressing technology complexity significantly enhances consumer understanding and technology acceptance (Mancini et al., 2019; Rotz et al., 2019). </w:t>
      </w:r>
    </w:p>
    <w:p w:rsidR="00000000" w:rsidDel="00000000" w:rsidP="00000000" w:rsidRDefault="00000000" w:rsidRPr="00000000" w14:paraId="00000213">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3:</w:t>
      </w:r>
      <w:r w:rsidDel="00000000" w:rsidR="00000000" w:rsidRPr="00000000">
        <w:rPr>
          <w:i w:val="0"/>
          <w:iCs w:val="0"/>
          <w:color w:val="000000"/>
          <w:sz w:val="26"/>
          <w:szCs w:val="26"/>
          <w:rtl w:val="0"/>
        </w:rPr>
        <w:t xml:space="preserve"> Minimal Answer Engine Optimization Implementation FENIXSAN's website demonstrates limited optimization for zero-click answer extraction despite approximately 50% of searches resulting in zero-click outcomes. Literature identifies AEO as increasingly critical competitive differentiator in contemporary search environments (Suri &amp; Thakur, 2023; Das, 2021). </w:t>
      </w:r>
    </w:p>
    <w:p w:rsidR="00000000" w:rsidDel="00000000" w:rsidP="00000000" w:rsidRDefault="00000000" w:rsidRPr="00000000" w14:paraId="00000214">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4:</w:t>
      </w:r>
      <w:r w:rsidDel="00000000" w:rsidR="00000000" w:rsidRPr="00000000">
        <w:rPr>
          <w:i w:val="0"/>
          <w:iCs w:val="0"/>
          <w:color w:val="000000"/>
          <w:sz w:val="26"/>
          <w:szCs w:val="26"/>
          <w:rtl w:val="0"/>
        </w:rPr>
        <w:t xml:space="preserve"> Moderate Technical SEO Implementation with Enhancement Opportunities Website technical infrastructure is generally sound but limited structured data implementation and ongoing page speed optimization opportunities exist. Literature identifies structured data as increasingly important for search visibility and knowledge panel optimization (Hummel &amp; Braun, 2019; Das, 2021).</w:t>
      </w:r>
    </w:p>
    <w:p w:rsidR="00000000" w:rsidDel="00000000" w:rsidP="00000000" w:rsidRDefault="00000000" w:rsidRPr="00000000" w14:paraId="00000215">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5:</w:t>
      </w:r>
      <w:r w:rsidDel="00000000" w:rsidR="00000000" w:rsidRPr="00000000">
        <w:rPr>
          <w:i w:val="0"/>
          <w:iCs w:val="0"/>
          <w:color w:val="000000"/>
          <w:sz w:val="26"/>
          <w:szCs w:val="26"/>
          <w:rtl w:val="0"/>
        </w:rPr>
        <w:t xml:space="preserve"> Competitive Digital Positioning Lags Leading AgriTech Competitors Comparative analysis reveals that FENIXSAN's digital presence is less sophisticated than leading industry competitors, particularly regarding educational content positioning and thought leadership establishment. This gap suggests opportunity for competitive differentiation through enhanced digital strategy.</w:t>
      </w:r>
    </w:p>
    <w:p w:rsidR="00000000" w:rsidDel="00000000" w:rsidP="00000000" w:rsidRDefault="00000000" w:rsidRPr="00000000" w14:paraId="00000216">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4.7 Chapter Summary</w:t>
      </w:r>
    </w:p>
    <w:p w:rsidR="00000000" w:rsidDel="00000000" w:rsidP="00000000" w:rsidRDefault="00000000" w:rsidRPr="00000000" w14:paraId="00000217">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This chapter presented comprehensive analysis of FENIXSAN LIMITED's current digital presence and online visibility evaluated against literature-identified best practices synthesized in Chapter 2. Systematic examination revealed that while FENIXSAN maintains functional digital presence supporting branded search visibility and basic online information provision, significant opportunities exist for strategic enhancement across multiple dimensions: search visibility optimization, content strategy sophistication, answer engine positioning, technical infrastructure enhancement, and competitive differentiation through educational content. </w:t>
      </w:r>
    </w:p>
    <w:p w:rsidR="00000000" w:rsidDel="00000000" w:rsidP="00000000" w:rsidRDefault="00000000" w:rsidRPr="00000000" w14:paraId="00000218">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identified gaps, particularly in non-branded search visibility, educational content positioning, and answer engine optimization, represents the  areas where enhanced strategy aligned with literature best practices could substantially improve FENIXSAN's digital competitiveness and market positioning. Subsequent chapters address these findings through development of strategic recommendations for digital visibility enhancement.</w:t>
      </w:r>
    </w:p>
    <w:p w:rsidR="00000000" w:rsidDel="00000000" w:rsidP="00000000" w:rsidRDefault="00000000" w:rsidRPr="00000000" w14:paraId="00000219">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1A">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1B">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1C">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1D">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1E">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1F">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0">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1">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2">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3">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4">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5">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6">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7">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28">
      <w:pPr>
        <w:spacing w:after="160" w:line="259" w:lineRule="auto"/>
        <w:jc w:val="left"/>
        <w:rPr>
          <w:b w:val="1"/>
          <w:bCs w:val="1"/>
          <w:i w:val="0"/>
          <w:iCs w:val="0"/>
          <w:color w:val="000000"/>
          <w:sz w:val="26"/>
          <w:szCs w:val="26"/>
        </w:rPr>
      </w:pPr>
      <w:r w:rsidDel="00000000" w:rsidR="00000000" w:rsidRPr="00000000">
        <w:rPr>
          <w:b w:val="1"/>
          <w:bCs w:val="1"/>
          <w:i w:val="0"/>
          <w:iCs w:val="0"/>
          <w:color w:val="000000"/>
          <w:sz w:val="26"/>
          <w:szCs w:val="26"/>
          <w:rtl w:val="0"/>
        </w:rPr>
        <w:t xml:space="preserve">5.0 CONCLUSION AND RECOMMENDATIONS</w:t>
      </w:r>
    </w:p>
    <w:p w:rsidR="00000000" w:rsidDel="00000000" w:rsidP="00000000" w:rsidRDefault="00000000" w:rsidRPr="00000000" w14:paraId="00000229">
      <w:pPr>
        <w:spacing w:after="160" w:line="259" w:lineRule="auto"/>
        <w:jc w:val="left"/>
        <w:rPr>
          <w:b w:val="1"/>
          <w:bCs w:val="1"/>
          <w:i w:val="0"/>
          <w:iCs w:val="0"/>
          <w:color w:val="000000"/>
          <w:sz w:val="26"/>
          <w:szCs w:val="26"/>
        </w:rPr>
      </w:pPr>
      <w:r w:rsidDel="00000000" w:rsidR="00000000" w:rsidRPr="00000000">
        <w:rPr>
          <w:b w:val="1"/>
          <w:bCs w:val="1"/>
          <w:i w:val="0"/>
          <w:iCs w:val="0"/>
          <w:color w:val="000000"/>
          <w:sz w:val="26"/>
          <w:szCs w:val="26"/>
          <w:rtl w:val="0"/>
        </w:rPr>
        <w:t xml:space="preserve">5.1 INTRODUCTION</w:t>
      </w:r>
    </w:p>
    <w:p w:rsidR="00000000" w:rsidDel="00000000" w:rsidP="00000000" w:rsidRDefault="00000000" w:rsidRPr="00000000" w14:paraId="0000022A">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This concluding chapter aims to synthesize the research findings and discussions presented throughout this dissertation to provide a comprehensive answer to the two research questions. Specifically, this chapter responds to: How effective are current SEO practices compared to best practices? and How can AEO be leveraged to improve visibility and user engagement within the AgriTech sector? Through discussion and synthesis of the key findings from Chapters 4 and 5, this section will provide clear and evidence-based responses to these questions while demonstrating understanding of the complex relationship between digital visibility strategies and organizational competitive positioning in emerging sectors. Furthermore, this chapter will draw conclusions from the literature review and case study analysis to establish practical implications for AgriTech SMEs seeking to enhance their digital presence and market reach through integrated SEO and AEO strategies.</w:t>
      </w:r>
    </w:p>
    <w:p w:rsidR="00000000" w:rsidDel="00000000" w:rsidP="00000000" w:rsidRDefault="00000000" w:rsidRPr="00000000" w14:paraId="0000022B">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5.2 SUMMARY OF KEY FINDINGS</w:t>
      </w:r>
    </w:p>
    <w:p w:rsidR="00000000" w:rsidDel="00000000" w:rsidP="00000000" w:rsidRDefault="00000000" w:rsidRPr="00000000" w14:paraId="0000022C">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Overall Project Summary</w:t>
      </w:r>
    </w:p>
    <w:p w:rsidR="00000000" w:rsidDel="00000000" w:rsidP="00000000" w:rsidRDefault="00000000" w:rsidRPr="00000000" w14:paraId="0000022D">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 This research project analyzes how digital visibility strategies—specifically Search Engine Optimization (SEO) and Answer Engine Optimization (AEO)—affect market reach and online awareness for Small and Medium-sized Enterprises (SMEs) in the AgriTech sector. The research identifies critical factors that impact digital visibility, examines the digital platforms most effective for reaching target audiences (farmers and agricultural professionals), and evaluates different digital marketing strategies including traditional SEO, emerging AEO practices, and complementary approaches such as featured snippets optimization and thought leadership positioning. </w:t>
      </w:r>
    </w:p>
    <w:p w:rsidR="00000000" w:rsidDel="00000000" w:rsidP="00000000" w:rsidRDefault="00000000" w:rsidRPr="00000000" w14:paraId="0000022E">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Based on comprehensive analysis of literature (2020-2025) and examination of FENIXSAN as an illustrative case study, the research reveals a positive relationship between integrated SEO-AEO strategies and digital visibility improvement. A crucial finding is that content quality, technical excellence, and user intent alignment significantly influence effectiveness across both search paradigms. The research</w:t>
      </w:r>
      <w:r w:rsidDel="00000000" w:rsidR="00000000" w:rsidRPr="00000000">
        <w:rPr>
          <w:i w:val="0"/>
          <w:iCs w:val="0"/>
          <w:color w:val="000000"/>
          <w:rtl w:val="0"/>
        </w:rPr>
        <w:t xml:space="preserve"> </w:t>
      </w:r>
      <w:r w:rsidDel="00000000" w:rsidR="00000000" w:rsidRPr="00000000">
        <w:rPr>
          <w:i w:val="0"/>
          <w:iCs w:val="0"/>
          <w:color w:val="000000"/>
          <w:sz w:val="26"/>
          <w:szCs w:val="26"/>
          <w:rtl w:val="0"/>
        </w:rPr>
        <w:t xml:space="preserve">demonstrates that digital visibility is not merely a marketing tactic but a dynamic organizational capability that creates sustainable competitive advantage, particularly for resource-constrained SMEs competing in emerging markets.</w:t>
      </w:r>
    </w:p>
    <w:p w:rsidR="00000000" w:rsidDel="00000000" w:rsidP="00000000" w:rsidRDefault="00000000" w:rsidRPr="00000000" w14:paraId="0000022F">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Key Findings Addressing Research Question 1: SEO Effectiveness</w:t>
      </w:r>
    </w:p>
    <w:p w:rsidR="00000000" w:rsidDel="00000000" w:rsidP="00000000" w:rsidRDefault="00000000" w:rsidRPr="00000000" w14:paraId="00000230">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 Finding 1: SEO Remains Foundational but Rapidly Evolving</w:t>
      </w:r>
      <w:r w:rsidDel="00000000" w:rsidR="00000000" w:rsidRPr="00000000">
        <w:rPr>
          <w:i w:val="0"/>
          <w:iCs w:val="0"/>
          <w:color w:val="000000"/>
          <w:sz w:val="26"/>
          <w:szCs w:val="26"/>
          <w:rtl w:val="0"/>
        </w:rPr>
        <w:t xml:space="preserve"> </w:t>
      </w:r>
    </w:p>
    <w:p w:rsidR="00000000" w:rsidDel="00000000" w:rsidP="00000000" w:rsidRDefault="00000000" w:rsidRPr="00000000" w14:paraId="00000231">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Current SEO practices continue to serve as the foundational layer for digital visibility. However, the field is experiencing significant evolution. While traditional keyword optimization remains important, best practices increasingly emphasize E-E-A-T criteria (Experience, Expertise, Authority, Trust), user intent understanding, and technical excellence. The gap between current practices (often siloed and outdated) and best practices represents significant opportunity for AgriTech SMEs to gain competitive differentiation. </w:t>
      </w:r>
    </w:p>
    <w:p w:rsidR="00000000" w:rsidDel="00000000" w:rsidP="00000000" w:rsidRDefault="00000000" w:rsidRPr="00000000" w14:paraId="00000232">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2: Best Practices Increasingly Incorporate AEO Elements</w:t>
      </w:r>
      <w:r w:rsidDel="00000000" w:rsidR="00000000" w:rsidRPr="00000000">
        <w:rPr>
          <w:i w:val="0"/>
          <w:iCs w:val="0"/>
          <w:color w:val="000000"/>
          <w:sz w:val="26"/>
          <w:szCs w:val="26"/>
          <w:rtl w:val="0"/>
        </w:rPr>
        <w:t xml:space="preserve"> </w:t>
      </w:r>
    </w:p>
    <w:p w:rsidR="00000000" w:rsidDel="00000000" w:rsidP="00000000" w:rsidRDefault="00000000" w:rsidRPr="00000000" w14:paraId="0000023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Research demonstrates that best practices in 2024-2025 are not purely SEO-focused but increasingly integrate Answer Engine Optimization principles. Featured snippets (Position 0) function as critical bridge between traditional SEO and AI-powered search, with 99% of featured snippets originating from page 1 rankings. Organizations optimizing for both traditional rankings and featured snippet positioning experience significantly higher visibility across both paradigms. </w:t>
      </w:r>
    </w:p>
    <w:p w:rsidR="00000000" w:rsidDel="00000000" w:rsidP="00000000" w:rsidRDefault="00000000" w:rsidRPr="00000000" w14:paraId="00000234">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3: AgriTech SMEs Significantly Lag in Implementation</w:t>
      </w:r>
      <w:r w:rsidDel="00000000" w:rsidR="00000000" w:rsidRPr="00000000">
        <w:rPr>
          <w:i w:val="0"/>
          <w:iCs w:val="0"/>
          <w:color w:val="000000"/>
          <w:sz w:val="26"/>
          <w:szCs w:val="26"/>
          <w:rtl w:val="0"/>
        </w:rPr>
        <w:t xml:space="preserve"> </w:t>
      </w:r>
    </w:p>
    <w:p w:rsidR="00000000" w:rsidDel="00000000" w:rsidP="00000000" w:rsidRDefault="00000000" w:rsidRPr="00000000" w14:paraId="00000235">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Despite AgriTech sector growth, particularly in India, many SMEs significantly lag in SEO implementation. Analysis reveals deficiencies in basic technical SEO elements, comprehensive content strategies, and mobile optimization, the foundational requirements in emerging markets where farmer audiences primarily access content via mobile devices. This implementation gap represents both challenge and opportunity: organizations implementing best practices could rapidly establish dominant digital positions. </w:t>
      </w:r>
    </w:p>
    <w:p w:rsidR="00000000" w:rsidDel="00000000" w:rsidP="00000000" w:rsidRDefault="00000000" w:rsidRPr="00000000" w14:paraId="00000236">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4: Content Quality Supersedes Quantity</w:t>
      </w:r>
      <w:r w:rsidDel="00000000" w:rsidR="00000000" w:rsidRPr="00000000">
        <w:rPr>
          <w:i w:val="0"/>
          <w:iCs w:val="0"/>
          <w:color w:val="000000"/>
          <w:sz w:val="26"/>
          <w:szCs w:val="26"/>
          <w:rtl w:val="0"/>
        </w:rPr>
        <w:t xml:space="preserve"> </w:t>
      </w:r>
    </w:p>
    <w:p w:rsidR="00000000" w:rsidDel="00000000" w:rsidP="00000000" w:rsidRDefault="00000000" w:rsidRPr="00000000" w14:paraId="00000237">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Contemporary research and algorithm updates clearly privilege comprehensive, authoritative content over high-volume, superficial coverage. For resource-constrained SMEs, this is encouraging: they can compete effectively through strategic creation of fewer, higher-quality pieces rather than matching larger competitors' content volume. AgriTech's domain expertise directly translates to authoritative content outperforming purely commercial messaging. </w:t>
      </w:r>
    </w:p>
    <w:p w:rsidR="00000000" w:rsidDel="00000000" w:rsidP="00000000" w:rsidRDefault="00000000" w:rsidRPr="00000000" w14:paraId="00000238">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5: Mobile Optimization is Essential</w:t>
      </w:r>
      <w:r w:rsidDel="00000000" w:rsidR="00000000" w:rsidRPr="00000000">
        <w:rPr>
          <w:i w:val="0"/>
          <w:iCs w:val="0"/>
          <w:color w:val="000000"/>
          <w:sz w:val="26"/>
          <w:szCs w:val="26"/>
          <w:rtl w:val="0"/>
        </w:rPr>
        <w:t xml:space="preserve"> </w:t>
      </w:r>
    </w:p>
    <w:p w:rsidR="00000000" w:rsidDel="00000000" w:rsidP="00000000" w:rsidRDefault="00000000" w:rsidRPr="00000000" w14:paraId="0000023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With 70%+ of searches mobile-based and farmers relying on smartphones for information access, mobile optimization has transitioned from optional to mandatory. Core Web Vitals such as measuring page experience, responsiveness, and visual stability now directly impact rankings. For AgriTech, mobile first design is a strategic necessity, not technical consideration.</w:t>
      </w:r>
    </w:p>
    <w:p w:rsidR="00000000" w:rsidDel="00000000" w:rsidP="00000000" w:rsidRDefault="00000000" w:rsidRPr="00000000" w14:paraId="0000023A">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Key Findings Addressing Research Question 2: AEO Leveraging</w:t>
      </w:r>
    </w:p>
    <w:p w:rsidR="00000000" w:rsidDel="00000000" w:rsidP="00000000" w:rsidRDefault="00000000" w:rsidRPr="00000000" w14:paraId="0000023B">
      <w:pPr>
        <w:spacing w:after="240" w:before="240" w:lineRule="auto"/>
        <w:rPr>
          <w:i w:val="0"/>
          <w:iCs w:val="0"/>
          <w:color w:val="000000"/>
        </w:rPr>
      </w:pPr>
      <w:r w:rsidDel="00000000" w:rsidR="00000000" w:rsidRPr="00000000">
        <w:rPr>
          <w:b w:val="1"/>
          <w:bCs w:val="1"/>
          <w:i w:val="0"/>
          <w:iCs w:val="0"/>
          <w:color w:val="000000"/>
          <w:sz w:val="26"/>
          <w:szCs w:val="26"/>
          <w:rtl w:val="0"/>
        </w:rPr>
        <w:t xml:space="preserve">Finding 1: AEO Complements Rather Than Replaces SEO</w:t>
      </w:r>
      <w:r w:rsidDel="00000000" w:rsidR="00000000" w:rsidRPr="00000000">
        <w:rPr>
          <w:i w:val="0"/>
          <w:iCs w:val="0"/>
          <w:color w:val="000000"/>
          <w:rtl w:val="0"/>
        </w:rPr>
        <w:t xml:space="preserve"> </w:t>
      </w:r>
    </w:p>
    <w:p w:rsidR="00000000" w:rsidDel="00000000" w:rsidP="00000000" w:rsidRDefault="00000000" w:rsidRPr="00000000" w14:paraId="0000023C">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AI-powered search engines (ChatGPT, Gemini, Perplexity, Claude) have created new visibility landscape. However, research indicates AEO is complementing rather than replacing traditional SEO. With Billions of AI search users and significant growth in conversational queries (2024), and critically 75% correlation between traditional rankings and AI citations, quality SEO content simultaneously performs well in AI search. </w:t>
      </w:r>
    </w:p>
    <w:p w:rsidR="00000000" w:rsidDel="00000000" w:rsidP="00000000" w:rsidRDefault="00000000" w:rsidRPr="00000000" w14:paraId="0000023D">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Finding 2: Conversational Content Bridges Both Paradigms </w:t>
      </w:r>
    </w:p>
    <w:p w:rsidR="00000000" w:rsidDel="00000000" w:rsidP="00000000" w:rsidRDefault="00000000" w:rsidRPr="00000000" w14:paraId="0000023E">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Content structured around conversational language and question-based formats benefits both traditional and AI-powered search. AgriTech organizations leveraging farmer questions ("How do I adopt vertical farming?" "What is ROI?") rather than organization-centric messaging simultaneously improve traditional rankings and AI visibility. This represents fundamental alignment with user search behavior. </w:t>
      </w:r>
    </w:p>
    <w:p w:rsidR="00000000" w:rsidDel="00000000" w:rsidP="00000000" w:rsidRDefault="00000000" w:rsidRPr="00000000" w14:paraId="0000023F">
      <w:pPr>
        <w:spacing w:after="240" w:before="240" w:lineRule="auto"/>
        <w:rPr>
          <w:b w:val="1"/>
          <w:bCs w:val="1"/>
          <w:i w:val="0"/>
          <w:iCs w:val="0"/>
          <w:color w:val="000000"/>
        </w:rPr>
      </w:pPr>
      <w:r w:rsidDel="00000000" w:rsidR="00000000" w:rsidRPr="00000000">
        <w:rPr>
          <w:b w:val="1"/>
          <w:bCs w:val="1"/>
          <w:i w:val="0"/>
          <w:iCs w:val="0"/>
          <w:color w:val="000000"/>
          <w:sz w:val="26"/>
          <w:szCs w:val="26"/>
          <w:rtl w:val="0"/>
        </w:rPr>
        <w:t xml:space="preserve">Finding 3: Featured Snippets Critical to Both Strategies</w:t>
      </w:r>
      <w:r w:rsidDel="00000000" w:rsidR="00000000" w:rsidRPr="00000000">
        <w:rPr>
          <w:b w:val="1"/>
          <w:bCs w:val="1"/>
          <w:i w:val="0"/>
          <w:iCs w:val="0"/>
          <w:color w:val="000000"/>
          <w:rtl w:val="0"/>
        </w:rPr>
        <w:t xml:space="preserve"> </w:t>
      </w:r>
    </w:p>
    <w:p w:rsidR="00000000" w:rsidDel="00000000" w:rsidP="00000000" w:rsidRDefault="00000000" w:rsidRPr="00000000" w14:paraId="00000240">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Featured snippets function as strategic intersection of SEO and AEO. Optimizing for Position 0 creates multiplicative visibility benefits. For resource-constrained AgriTech SMEs, featured snippet optimization represents high-ROI tactic simultaneously improving both search paradigms. </w:t>
      </w:r>
    </w:p>
    <w:p w:rsidR="00000000" w:rsidDel="00000000" w:rsidP="00000000" w:rsidRDefault="00000000" w:rsidRPr="00000000" w14:paraId="00000241">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4: AgriTech Well-Positioned for AEO Success</w:t>
      </w:r>
      <w:r w:rsidDel="00000000" w:rsidR="00000000" w:rsidRPr="00000000">
        <w:rPr>
          <w:i w:val="0"/>
          <w:iCs w:val="0"/>
          <w:color w:val="000000"/>
          <w:sz w:val="26"/>
          <w:szCs w:val="26"/>
          <w:rtl w:val="0"/>
        </w:rPr>
        <w:t xml:space="preserve"> </w:t>
      </w:r>
    </w:p>
    <w:p w:rsidR="00000000" w:rsidDel="00000000" w:rsidP="00000000" w:rsidRDefault="00000000" w:rsidRPr="00000000" w14:paraId="00000242">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AgriTech content naturally aligns with AEO principles because farmers approach technology adoption through problem-solving questions. This represents competitive advantage: early adopters of AEO principles can rapidly establish AI search authority before competitors recognize opportunity. </w:t>
      </w:r>
    </w:p>
    <w:p w:rsidR="00000000" w:rsidDel="00000000" w:rsidP="00000000" w:rsidRDefault="00000000" w:rsidRPr="00000000" w14:paraId="00000243">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Finding 5: User Intent Alignment Crucial </w:t>
      </w:r>
    </w:p>
    <w:p w:rsidR="00000000" w:rsidDel="00000000" w:rsidP="00000000" w:rsidRDefault="00000000" w:rsidRPr="00000000" w14:paraId="00000244">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AEO effectiveness depends fundamentally on understanding what farmers seek. Research reveals farmers search for practical information (implementation guides, ROI analysis, success stories) rather than marketing messages. Organizations structuring content around actual farmer information needs experience significantly higher engagement and conversion rates.</w:t>
      </w:r>
    </w:p>
    <w:p w:rsidR="00000000" w:rsidDel="00000000" w:rsidP="00000000" w:rsidRDefault="00000000" w:rsidRPr="00000000" w14:paraId="00000245">
      <w:pPr>
        <w:spacing w:after="240" w:before="240" w:lineRule="auto"/>
        <w:rPr>
          <w:b w:val="1"/>
          <w:bCs w:val="1"/>
          <w:i w:val="0"/>
          <w:iCs w:val="0"/>
          <w:color w:val="000000"/>
          <w:sz w:val="26"/>
          <w:szCs w:val="26"/>
        </w:rPr>
      </w:pPr>
      <w:r w:rsidDel="00000000" w:rsidR="00000000" w:rsidRPr="00000000">
        <w:rPr>
          <w:b w:val="1"/>
          <w:bCs w:val="1"/>
          <w:i w:val="0"/>
          <w:iCs w:val="0"/>
          <w:color w:val="000000"/>
          <w:rtl w:val="0"/>
        </w:rPr>
        <w:t xml:space="preserve"> </w:t>
      </w:r>
      <w:r w:rsidDel="00000000" w:rsidR="00000000" w:rsidRPr="00000000">
        <w:rPr>
          <w:b w:val="1"/>
          <w:bCs w:val="1"/>
          <w:i w:val="0"/>
          <w:iCs w:val="0"/>
          <w:color w:val="000000"/>
          <w:sz w:val="26"/>
          <w:szCs w:val="26"/>
          <w:rtl w:val="0"/>
        </w:rPr>
        <w:t xml:space="preserve">Overarching Findings</w:t>
      </w:r>
    </w:p>
    <w:p w:rsidR="00000000" w:rsidDel="00000000" w:rsidP="00000000" w:rsidRDefault="00000000" w:rsidRPr="00000000" w14:paraId="00000246">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Finding 6: Integrated SEO-AEO Strategy Most Effective </w:t>
      </w:r>
    </w:p>
    <w:p w:rsidR="00000000" w:rsidDel="00000000" w:rsidP="00000000" w:rsidRDefault="00000000" w:rsidRPr="00000000" w14:paraId="00000247">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most significant conclusion: integrated SEO-AEO strategy outperforms sequential or either/or approaches. Shared foundations of quality content, technical excellence, and mobile optimization support both paradigms. Organizations maximize effectiveness through unified strategies rather than separate initiatives. </w:t>
      </w:r>
    </w:p>
    <w:p w:rsidR="00000000" w:rsidDel="00000000" w:rsidP="00000000" w:rsidRDefault="00000000" w:rsidRPr="00000000" w14:paraId="00000248">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Finding 7: Indian AgriTech Represents Market Opportunity</w:t>
      </w:r>
      <w:r w:rsidDel="00000000" w:rsidR="00000000" w:rsidRPr="00000000">
        <w:rPr>
          <w:i w:val="0"/>
          <w:iCs w:val="0"/>
          <w:color w:val="000000"/>
          <w:sz w:val="26"/>
          <w:szCs w:val="26"/>
          <w:rtl w:val="0"/>
        </w:rPr>
        <w:t xml:space="preserve"> </w:t>
      </w:r>
    </w:p>
    <w:p w:rsidR="00000000" w:rsidDel="00000000" w:rsidP="00000000" w:rsidRDefault="00000000" w:rsidRPr="00000000" w14:paraId="0000024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Indian agribusiness digital marketing adoption reached 60% by 2023 (up from 25% in 2020), yet AgriTech-specific digital visibility strategies remain underdeveloped. This creates market opportunity: organizations implementing integrated strategies can rapidly establish market leadership positions in underserved sector.</w:t>
      </w:r>
    </w:p>
    <w:p w:rsidR="00000000" w:rsidDel="00000000" w:rsidP="00000000" w:rsidRDefault="00000000" w:rsidRPr="00000000" w14:paraId="0000024A">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4B">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5.3 RECOMMENDATIONS</w:t>
      </w:r>
    </w:p>
    <w:p w:rsidR="00000000" w:rsidDel="00000000" w:rsidP="00000000" w:rsidRDefault="00000000" w:rsidRPr="00000000" w14:paraId="0000024C">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 Based on the findings and discussions from previous chapters, the following recommendations are provided for organizations seeking to enhance digital visibility and market reach in AgriTech:</w:t>
      </w:r>
    </w:p>
    <w:p w:rsidR="00000000" w:rsidDel="00000000" w:rsidP="00000000" w:rsidRDefault="00000000" w:rsidRPr="00000000" w14:paraId="0000024D">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Digital Visibility Strategy Foundation</w:t>
      </w:r>
    </w:p>
    <w:p w:rsidR="00000000" w:rsidDel="00000000" w:rsidP="00000000" w:rsidRDefault="00000000" w:rsidRPr="00000000" w14:paraId="0000024E">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Understanding Target Market Deeply</w:t>
      </w:r>
      <w:r w:rsidDel="00000000" w:rsidR="00000000" w:rsidRPr="00000000">
        <w:rPr>
          <w:i w:val="0"/>
          <w:iCs w:val="0"/>
          <w:color w:val="000000"/>
          <w:sz w:val="26"/>
          <w:szCs w:val="26"/>
          <w:rtl w:val="0"/>
        </w:rPr>
        <w:t xml:space="preserve"> </w:t>
      </w:r>
    </w:p>
    <w:p w:rsidR="00000000" w:rsidDel="00000000" w:rsidP="00000000" w:rsidRDefault="00000000" w:rsidRPr="00000000" w14:paraId="0000024F">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Companies must conduct thorough market analysis before launching digital campaigns. Understanding farmer demographics, information-seeking behaviors, device usage patterns, and regional variations is essential. By analyzing audience characteristics and preferences, businesses can tailor content that resonates. Tailored strategies perform significantly better than generic approaches. Organizations should invest time in understanding not just who their audience is, but how they search, what language they use, what information they seek, and where they seek it. </w:t>
      </w:r>
    </w:p>
    <w:p w:rsidR="00000000" w:rsidDel="00000000" w:rsidP="00000000" w:rsidRDefault="00000000" w:rsidRPr="00000000" w14:paraId="00000250">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Platform Selection and Multi-Platform Approach</w:t>
      </w:r>
      <w:r w:rsidDel="00000000" w:rsidR="00000000" w:rsidRPr="00000000">
        <w:rPr>
          <w:i w:val="0"/>
          <w:iCs w:val="0"/>
          <w:color w:val="000000"/>
          <w:sz w:val="26"/>
          <w:szCs w:val="26"/>
          <w:rtl w:val="0"/>
        </w:rPr>
        <w:t xml:space="preserve"> </w:t>
      </w:r>
    </w:p>
    <w:p w:rsidR="00000000" w:rsidDel="00000000" w:rsidP="00000000" w:rsidRDefault="00000000" w:rsidRPr="00000000" w14:paraId="00000251">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Different platforms attract different audiences. Research shows farmers access agricultural information through multiple channels: Google search (traditional SEO), AI assistants (AEO), YouTube (video content), WhatsApp (community discussions), and LinkedIn (B2B networking). Organizations should analyze which platforms align with target audience behavior and maintain presence across multiple platforms to reach broader audiences. Platform diversity also reduces dependency on algorithm changes of any single platform. </w:t>
      </w:r>
    </w:p>
    <w:p w:rsidR="00000000" w:rsidDel="00000000" w:rsidP="00000000" w:rsidRDefault="00000000" w:rsidRPr="00000000" w14:paraId="00000252">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Mobile-First Design Implementation</w:t>
      </w:r>
      <w:r w:rsidDel="00000000" w:rsidR="00000000" w:rsidRPr="00000000">
        <w:rPr>
          <w:i w:val="0"/>
          <w:iCs w:val="0"/>
          <w:color w:val="000000"/>
          <w:sz w:val="26"/>
          <w:szCs w:val="26"/>
          <w:rtl w:val="0"/>
        </w:rPr>
        <w:t xml:space="preserve"> </w:t>
      </w:r>
    </w:p>
    <w:p w:rsidR="00000000" w:rsidDel="00000000" w:rsidP="00000000" w:rsidRDefault="00000000" w:rsidRPr="00000000" w14:paraId="0000025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With majority of farmer audiences accessing content via smartphones, mobile-first design is non negotiable. Organizations should prioritize fast-loading pages, responsive design, and easy navigation on mobile devices. Testing across devices and optimizing for Core Web Vitals should be foundational. Mobile optimization simultaneously improves traditional SEO and provides better user experience for AI search users. </w:t>
      </w:r>
    </w:p>
    <w:p w:rsidR="00000000" w:rsidDel="00000000" w:rsidP="00000000" w:rsidRDefault="00000000" w:rsidRPr="00000000" w14:paraId="00000254">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Safety and Trust Infrastructure</w:t>
      </w:r>
      <w:r w:rsidDel="00000000" w:rsidR="00000000" w:rsidRPr="00000000">
        <w:rPr>
          <w:i w:val="0"/>
          <w:iCs w:val="0"/>
          <w:color w:val="000000"/>
          <w:sz w:val="26"/>
          <w:szCs w:val="26"/>
          <w:rtl w:val="0"/>
        </w:rPr>
        <w:t xml:space="preserve"> </w:t>
      </w:r>
    </w:p>
    <w:p w:rsidR="00000000" w:rsidDel="00000000" w:rsidP="00000000" w:rsidRDefault="00000000" w:rsidRPr="00000000" w14:paraId="00000255">
      <w:pPr>
        <w:spacing w:after="240" w:before="240" w:lineRule="auto"/>
        <w:rPr>
          <w:i w:val="0"/>
          <w:iCs w:val="0"/>
          <w:color w:val="000000"/>
        </w:rPr>
      </w:pPr>
      <w:r w:rsidDel="00000000" w:rsidR="00000000" w:rsidRPr="00000000">
        <w:rPr>
          <w:i w:val="0"/>
          <w:iCs w:val="0"/>
          <w:color w:val="000000"/>
          <w:sz w:val="26"/>
          <w:szCs w:val="26"/>
          <w:rtl w:val="0"/>
        </w:rPr>
        <w:t xml:space="preserve">Users must feel safe and confident to engage. Organizations should invest in cybersecurity, secure platforms, and privacy protection procedures. Clear privacy policies, secure payment systems, and data protection measures increase customer trust, leading to higher engagement. In AgriTech context, farmers' willingness to share data about farming practices or investment decisions depends heavily on trust in platform security.</w:t>
      </w:r>
      <w:r w:rsidDel="00000000" w:rsidR="00000000" w:rsidRPr="00000000">
        <w:rPr>
          <w:i w:val="0"/>
          <w:iCs w:val="0"/>
          <w:color w:val="000000"/>
          <w:rtl w:val="0"/>
        </w:rPr>
        <w:t xml:space="preserve"> </w:t>
      </w:r>
    </w:p>
    <w:p w:rsidR="00000000" w:rsidDel="00000000" w:rsidP="00000000" w:rsidRDefault="00000000" w:rsidRPr="00000000" w14:paraId="00000256">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Measurement and Analytics</w:t>
      </w:r>
      <w:r w:rsidDel="00000000" w:rsidR="00000000" w:rsidRPr="00000000">
        <w:rPr>
          <w:i w:val="0"/>
          <w:iCs w:val="0"/>
          <w:color w:val="000000"/>
          <w:sz w:val="26"/>
          <w:szCs w:val="26"/>
          <w:rtl w:val="0"/>
        </w:rPr>
        <w:t xml:space="preserve"> </w:t>
      </w:r>
    </w:p>
    <w:p w:rsidR="00000000" w:rsidDel="00000000" w:rsidP="00000000" w:rsidRDefault="00000000" w:rsidRPr="00000000" w14:paraId="00000257">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Success measurement is crucial. Organizations should establish clear KPIs for both traditional search (organic traffic, rankings, click-through rates) and AI search (feature snippet appearances, AI citations, engagement rates). Analytical tools should track effectiveness of different content pieces, keywords, and strategies. Regular analysis enables strategy adjustment based on performance data. Metrics like engagement rates, conversion rates, and ROI provide value insights for improving digital efforts. </w:t>
      </w:r>
    </w:p>
    <w:p w:rsidR="00000000" w:rsidDel="00000000" w:rsidP="00000000" w:rsidRDefault="00000000" w:rsidRPr="00000000" w14:paraId="00000258">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SEO-Specific Recommendations</w:t>
      </w:r>
    </w:p>
    <w:p w:rsidR="00000000" w:rsidDel="00000000" w:rsidP="00000000" w:rsidRDefault="00000000" w:rsidRPr="00000000" w14:paraId="00000259">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Quality Content Strategy</w:t>
      </w:r>
      <w:r w:rsidDel="00000000" w:rsidR="00000000" w:rsidRPr="00000000">
        <w:rPr>
          <w:i w:val="0"/>
          <w:iCs w:val="0"/>
          <w:color w:val="000000"/>
          <w:sz w:val="26"/>
          <w:szCs w:val="26"/>
          <w:rtl w:val="0"/>
        </w:rPr>
        <w:t xml:space="preserve"> </w:t>
      </w:r>
    </w:p>
    <w:p w:rsidR="00000000" w:rsidDel="00000000" w:rsidP="00000000" w:rsidRDefault="00000000" w:rsidRPr="00000000" w14:paraId="0000025A">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Prioritize comprehensive, authoritative content addressing farmer information needs. Rather than creating numerous superficial pieces, develop in-depth resources answering farmer questions completely. Incorporate E-E-A-T principles: demonstrate experience through case studies, show expertise through technical depth, build authority through original research, and establish trust through transparency. Content should be structured for readability with clear headings, practical examples, and actionable guidance. </w:t>
      </w:r>
    </w:p>
    <w:p w:rsidR="00000000" w:rsidDel="00000000" w:rsidP="00000000" w:rsidRDefault="00000000" w:rsidRPr="00000000" w14:paraId="0000025B">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Technical SEO Excellence</w:t>
      </w:r>
      <w:r w:rsidDel="00000000" w:rsidR="00000000" w:rsidRPr="00000000">
        <w:rPr>
          <w:i w:val="0"/>
          <w:iCs w:val="0"/>
          <w:color w:val="000000"/>
          <w:sz w:val="26"/>
          <w:szCs w:val="26"/>
          <w:rtl w:val="0"/>
        </w:rPr>
        <w:t xml:space="preserve"> </w:t>
      </w:r>
    </w:p>
    <w:p w:rsidR="00000000" w:rsidDel="00000000" w:rsidP="00000000" w:rsidRDefault="00000000" w:rsidRPr="00000000" w14:paraId="0000025C">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Ensure foundational technical elements: fast page loading speeds, mobile responsiveness, structured data markup, XML sitemaps, and Core Web Vitals optimization. These foundational elements enable all other optimization efforts. Technical issues prevent even excellent content from ranking well. Organizations should conduct regular technical audits and fix issues prioritizing highest-impact problems. </w:t>
      </w:r>
    </w:p>
    <w:p w:rsidR="00000000" w:rsidDel="00000000" w:rsidP="00000000" w:rsidRDefault="00000000" w:rsidRPr="00000000" w14:paraId="0000025D">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Featured Snippet Optimization</w:t>
      </w:r>
      <w:r w:rsidDel="00000000" w:rsidR="00000000" w:rsidRPr="00000000">
        <w:rPr>
          <w:i w:val="0"/>
          <w:iCs w:val="0"/>
          <w:color w:val="000000"/>
          <w:sz w:val="26"/>
          <w:szCs w:val="26"/>
          <w:rtl w:val="0"/>
        </w:rPr>
        <w:t xml:space="preserve"> </w:t>
      </w:r>
    </w:p>
    <w:p w:rsidR="00000000" w:rsidDel="00000000" w:rsidP="00000000" w:rsidRDefault="00000000" w:rsidRPr="00000000" w14:paraId="0000025E">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Actively optimize for featured snippets. Structure content to answer specific questions concisely in 40 60 words. Use lists, tables, and definitions when appropriate. Featured snippets improve both traditional search visibility and provide content for AI systems to draw from. With 99% of featured snippets from page 1 rankings, this represents achievable high-ROI tactic.</w:t>
      </w:r>
    </w:p>
    <w:p w:rsidR="00000000" w:rsidDel="00000000" w:rsidP="00000000" w:rsidRDefault="00000000" w:rsidRPr="00000000" w14:paraId="0000025F">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AEO-Specific Recommendations</w:t>
      </w:r>
    </w:p>
    <w:p w:rsidR="00000000" w:rsidDel="00000000" w:rsidP="00000000" w:rsidRDefault="00000000" w:rsidRPr="00000000" w14:paraId="00000260">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Conversational Content Development</w:t>
      </w:r>
      <w:r w:rsidDel="00000000" w:rsidR="00000000" w:rsidRPr="00000000">
        <w:rPr>
          <w:i w:val="0"/>
          <w:iCs w:val="0"/>
          <w:color w:val="000000"/>
          <w:sz w:val="26"/>
          <w:szCs w:val="26"/>
          <w:rtl w:val="0"/>
        </w:rPr>
        <w:t xml:space="preserve"> </w:t>
      </w:r>
    </w:p>
    <w:p w:rsidR="00000000" w:rsidDel="00000000" w:rsidP="00000000" w:rsidRDefault="00000000" w:rsidRPr="00000000" w14:paraId="00000261">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Shift to question-based content structure matching how users naturally ask search queries. Instead of "Vertical Farming Benefits," create content answering "How do I start vertical farming?" or "What is the ROI of vertical farming?" This natural language alignment improves both AI understanding and user satisfaction. Conversational tone makes content more engaging and accessible. </w:t>
      </w:r>
    </w:p>
    <w:p w:rsidR="00000000" w:rsidDel="00000000" w:rsidP="00000000" w:rsidRDefault="00000000" w:rsidRPr="00000000" w14:paraId="00000262">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Farmer-Centric Information Architecture</w:t>
      </w:r>
      <w:r w:rsidDel="00000000" w:rsidR="00000000" w:rsidRPr="00000000">
        <w:rPr>
          <w:i w:val="0"/>
          <w:iCs w:val="0"/>
          <w:color w:val="000000"/>
          <w:sz w:val="26"/>
          <w:szCs w:val="26"/>
          <w:rtl w:val="0"/>
        </w:rPr>
        <w:t xml:space="preserve"> </w:t>
      </w:r>
    </w:p>
    <w:p w:rsidR="00000000" w:rsidDel="00000000" w:rsidP="00000000" w:rsidRDefault="00000000" w:rsidRPr="00000000" w14:paraId="0000026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Organize content around farmer information journey rather than product features. Farmers progress through stages: awareness ("What is this technology?"), consideration ("Does this suit my farm?"), decision ("Should I invest?"), and implementation ("How do I use it?"). Creating content for each stage with appropriate depth and focus improves user journey and conversion potential. </w:t>
      </w:r>
    </w:p>
    <w:p w:rsidR="00000000" w:rsidDel="00000000" w:rsidP="00000000" w:rsidRDefault="00000000" w:rsidRPr="00000000" w14:paraId="00000264">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Voice Search and Natural Language Optimization</w:t>
      </w:r>
      <w:r w:rsidDel="00000000" w:rsidR="00000000" w:rsidRPr="00000000">
        <w:rPr>
          <w:i w:val="0"/>
          <w:iCs w:val="0"/>
          <w:color w:val="000000"/>
          <w:sz w:val="26"/>
          <w:szCs w:val="26"/>
          <w:rtl w:val="0"/>
        </w:rPr>
        <w:t xml:space="preserve"> </w:t>
      </w:r>
    </w:p>
    <w:p w:rsidR="00000000" w:rsidDel="00000000" w:rsidP="00000000" w:rsidRDefault="00000000" w:rsidRPr="00000000" w14:paraId="00000265">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As voice search adoption grows, optimize for conversational queries and long-tail keywords. Consider how farmers might speak versus type ("Can I use this on my small farm" vs. "small farm technology compatibility"). Use natural language conversationally rather than keyword-stuffed formally. </w:t>
      </w:r>
    </w:p>
    <w:p w:rsidR="00000000" w:rsidDel="00000000" w:rsidP="00000000" w:rsidRDefault="00000000" w:rsidRPr="00000000" w14:paraId="00000266">
      <w:pPr>
        <w:spacing w:after="240" w:before="240" w:lineRule="auto"/>
        <w:rPr>
          <w:i w:val="0"/>
          <w:iCs w:val="0"/>
          <w:color w:val="000000"/>
        </w:rPr>
      </w:pPr>
      <w:r w:rsidDel="00000000" w:rsidR="00000000" w:rsidRPr="00000000">
        <w:rPr>
          <w:rtl w:val="0"/>
        </w:rPr>
      </w:r>
    </w:p>
    <w:p w:rsidR="00000000" w:rsidDel="00000000" w:rsidP="00000000" w:rsidRDefault="00000000" w:rsidRPr="00000000" w14:paraId="00000267">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Influencer and Thought Leadership Recommendations</w:t>
      </w:r>
    </w:p>
    <w:p w:rsidR="00000000" w:rsidDel="00000000" w:rsidP="00000000" w:rsidRDefault="00000000" w:rsidRPr="00000000" w14:paraId="00000268">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 </w:t>
      </w:r>
      <w:r w:rsidDel="00000000" w:rsidR="00000000" w:rsidRPr="00000000">
        <w:rPr>
          <w:b w:val="1"/>
          <w:bCs w:val="1"/>
          <w:i w:val="0"/>
          <w:iCs w:val="0"/>
          <w:color w:val="000000"/>
          <w:sz w:val="26"/>
          <w:szCs w:val="26"/>
          <w:rtl w:val="0"/>
        </w:rPr>
        <w:t xml:space="preserve">Credibility and Trust Building</w:t>
      </w:r>
      <w:r w:rsidDel="00000000" w:rsidR="00000000" w:rsidRPr="00000000">
        <w:rPr>
          <w:i w:val="0"/>
          <w:iCs w:val="0"/>
          <w:color w:val="000000"/>
          <w:sz w:val="26"/>
          <w:szCs w:val="26"/>
          <w:rtl w:val="0"/>
        </w:rPr>
        <w:t xml:space="preserve"> </w:t>
      </w:r>
    </w:p>
    <w:p w:rsidR="00000000" w:rsidDel="00000000" w:rsidP="00000000" w:rsidRDefault="00000000" w:rsidRPr="00000000" w14:paraId="0000026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Establish organizational credibility through thought leadership: original research, industry insights, transparent problem-solving, and knowledge sharing. Invite recognized agricultural experts to contribute content, collaborate with farmer influencers, and showcase real farmer experiences. Credibility is earned through consistency, accuracy, and genuine value provision. Organizations should focus on long-term trust building rather than short-term promotion. </w:t>
      </w:r>
    </w:p>
    <w:p w:rsidR="00000000" w:rsidDel="00000000" w:rsidP="00000000" w:rsidRDefault="00000000" w:rsidRPr="00000000" w14:paraId="0000026A">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Authentic Community Engagement</w:t>
      </w:r>
      <w:r w:rsidDel="00000000" w:rsidR="00000000" w:rsidRPr="00000000">
        <w:rPr>
          <w:i w:val="0"/>
          <w:iCs w:val="0"/>
          <w:color w:val="000000"/>
          <w:sz w:val="26"/>
          <w:szCs w:val="26"/>
          <w:rtl w:val="0"/>
        </w:rPr>
        <w:t xml:space="preserve"> </w:t>
      </w:r>
    </w:p>
    <w:p w:rsidR="00000000" w:rsidDel="00000000" w:rsidP="00000000" w:rsidRDefault="00000000" w:rsidRPr="00000000" w14:paraId="0000026B">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Engage genuinely with farmer audience. Respond to comments, address questions, participate in discussions, and demonstrate genuine interest in farmer success. This builds community around organization and encourages continued engagement. Farmers are more likely to engage with organizations demonstrating they care about farmer opinions and challenges. </w:t>
      </w:r>
    </w:p>
    <w:p w:rsidR="00000000" w:rsidDel="00000000" w:rsidP="00000000" w:rsidRDefault="00000000" w:rsidRPr="00000000" w14:paraId="0000026C">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Influencer Partnerships</w:t>
      </w:r>
      <w:r w:rsidDel="00000000" w:rsidR="00000000" w:rsidRPr="00000000">
        <w:rPr>
          <w:i w:val="0"/>
          <w:iCs w:val="0"/>
          <w:color w:val="000000"/>
          <w:sz w:val="26"/>
          <w:szCs w:val="26"/>
          <w:rtl w:val="0"/>
        </w:rPr>
        <w:t xml:space="preserve"> </w:t>
      </w:r>
    </w:p>
    <w:p w:rsidR="00000000" w:rsidDel="00000000" w:rsidP="00000000" w:rsidRDefault="00000000" w:rsidRPr="00000000" w14:paraId="0000026D">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Partner with agricultural influencers and thought leaders whose credibility aligns with organizational values. Influencer marketing demonstrates higher engagement than brand-generated content. Select influencers based on audience alignment, credibility, and genuine interest in AgriTech rather than follower count alone. Authentic partnerships outperform transactional arrangements.</w:t>
      </w:r>
    </w:p>
    <w:p w:rsidR="00000000" w:rsidDel="00000000" w:rsidP="00000000" w:rsidRDefault="00000000" w:rsidRPr="00000000" w14:paraId="0000026E">
      <w:pPr>
        <w:spacing w:after="240" w:before="240" w:lineRule="auto"/>
        <w:rPr>
          <w:b w:val="1"/>
          <w:bCs w:val="1"/>
          <w:i w:val="0"/>
          <w:iCs w:val="0"/>
          <w:color w:val="000000"/>
          <w:sz w:val="26"/>
          <w:szCs w:val="26"/>
        </w:rPr>
      </w:pPr>
      <w:r w:rsidDel="00000000" w:rsidR="00000000" w:rsidRPr="00000000">
        <w:rPr>
          <w:b w:val="1"/>
          <w:bCs w:val="1"/>
          <w:i w:val="0"/>
          <w:iCs w:val="0"/>
          <w:color w:val="000000"/>
          <w:rtl w:val="0"/>
        </w:rPr>
        <w:t xml:space="preserve"> </w:t>
      </w:r>
      <w:r w:rsidDel="00000000" w:rsidR="00000000" w:rsidRPr="00000000">
        <w:rPr>
          <w:b w:val="1"/>
          <w:bCs w:val="1"/>
          <w:i w:val="0"/>
          <w:iCs w:val="0"/>
          <w:color w:val="000000"/>
          <w:sz w:val="26"/>
          <w:szCs w:val="26"/>
          <w:rtl w:val="0"/>
        </w:rPr>
        <w:t xml:space="preserve">User Generated Content Recommendations</w:t>
      </w:r>
    </w:p>
    <w:p w:rsidR="00000000" w:rsidDel="00000000" w:rsidP="00000000" w:rsidRDefault="00000000" w:rsidRPr="00000000" w14:paraId="0000026F">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Encouraging and Curating UGC</w:t>
      </w:r>
      <w:r w:rsidDel="00000000" w:rsidR="00000000" w:rsidRPr="00000000">
        <w:rPr>
          <w:i w:val="0"/>
          <w:iCs w:val="0"/>
          <w:color w:val="000000"/>
          <w:sz w:val="26"/>
          <w:szCs w:val="26"/>
          <w:rtl w:val="0"/>
        </w:rPr>
        <w:t xml:space="preserve"> </w:t>
      </w:r>
    </w:p>
    <w:p w:rsidR="00000000" w:rsidDel="00000000" w:rsidP="00000000" w:rsidRDefault="00000000" w:rsidRPr="00000000" w14:paraId="00000270">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Actively encourage farmer-generated content through contests, featured farmer programs, and incentive structures. UGC creates sense of community and demonstrates real-world application. However, review all UGC before sharing to ensure accuracy and brand alignment. Quality-over quantity approach prevents misleading information while building community. </w:t>
      </w:r>
    </w:p>
    <w:p w:rsidR="00000000" w:rsidDel="00000000" w:rsidP="00000000" w:rsidRDefault="00000000" w:rsidRPr="00000000" w14:paraId="00000271">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Two-Way Conversation</w:t>
      </w:r>
      <w:r w:rsidDel="00000000" w:rsidR="00000000" w:rsidRPr="00000000">
        <w:rPr>
          <w:i w:val="0"/>
          <w:iCs w:val="0"/>
          <w:color w:val="000000"/>
          <w:sz w:val="26"/>
          <w:szCs w:val="26"/>
          <w:rtl w:val="0"/>
        </w:rPr>
        <w:t xml:space="preserve"> </w:t>
      </w:r>
    </w:p>
    <w:p w:rsidR="00000000" w:rsidDel="00000000" w:rsidP="00000000" w:rsidRDefault="00000000" w:rsidRPr="00000000" w14:paraId="00000272">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Share and interact with farmer-generated content, demonstrating that organization values farmer experiences and opinions. By featuring farmer stories and testimonials, organizations create authentic marketing while empowering farmers. This two-way conversation builds loyalty and encourages ongoing engagement. </w:t>
      </w:r>
    </w:p>
    <w:p w:rsidR="00000000" w:rsidDel="00000000" w:rsidP="00000000" w:rsidRDefault="00000000" w:rsidRPr="00000000" w14:paraId="00000273">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Review and Rating Optimization </w:t>
      </w:r>
    </w:p>
    <w:p w:rsidR="00000000" w:rsidDel="00000000" w:rsidP="00000000" w:rsidRDefault="00000000" w:rsidRPr="00000000" w14:paraId="00000274">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Encourage farmers to leave reviews and ratings on relevant platforms (Google, industry directories, social media). Reviews improve search rankings and provide social proof for prospective customers. Positive ratings demonstrate market validation and reliability. Responding to reviews (both positive and negative) shows organizational responsiveness and commitment to customer satisfaction. </w:t>
      </w:r>
    </w:p>
    <w:p w:rsidR="00000000" w:rsidDel="00000000" w:rsidP="00000000" w:rsidRDefault="00000000" w:rsidRPr="00000000" w14:paraId="00000275">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Platform-Specific Recommendations</w:t>
      </w:r>
    </w:p>
    <w:p w:rsidR="00000000" w:rsidDel="00000000" w:rsidP="00000000" w:rsidRDefault="00000000" w:rsidRPr="00000000" w14:paraId="00000276">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Google Search Optimization</w:t>
      </w:r>
      <w:r w:rsidDel="00000000" w:rsidR="00000000" w:rsidRPr="00000000">
        <w:rPr>
          <w:i w:val="0"/>
          <w:iCs w:val="0"/>
          <w:color w:val="000000"/>
          <w:sz w:val="26"/>
          <w:szCs w:val="26"/>
          <w:rtl w:val="0"/>
        </w:rPr>
        <w:t xml:space="preserve"> </w:t>
      </w:r>
    </w:p>
    <w:p w:rsidR="00000000" w:rsidDel="00000000" w:rsidP="00000000" w:rsidRDefault="00000000" w:rsidRPr="00000000" w14:paraId="00000277">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Continue optimizing for traditional Google search as primary discovery mechanism. Most farmers still begin agricultural information searches through Google. Ensure comprehensive keyword coverage, quality content, technical excellence, and E-E-A-T signals. Google remains critical channel for visibility. </w:t>
      </w:r>
    </w:p>
    <w:p w:rsidR="00000000" w:rsidDel="00000000" w:rsidP="00000000" w:rsidRDefault="00000000" w:rsidRPr="00000000" w14:paraId="00000278">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AI Search Positioning</w:t>
      </w:r>
      <w:r w:rsidDel="00000000" w:rsidR="00000000" w:rsidRPr="00000000">
        <w:rPr>
          <w:i w:val="0"/>
          <w:iCs w:val="0"/>
          <w:color w:val="000000"/>
          <w:sz w:val="26"/>
          <w:szCs w:val="26"/>
          <w:rtl w:val="0"/>
        </w:rPr>
        <w:t xml:space="preserve"> </w:t>
      </w:r>
    </w:p>
    <w:p w:rsidR="00000000" w:rsidDel="00000000" w:rsidP="00000000" w:rsidRDefault="00000000" w:rsidRPr="00000000" w14:paraId="0000027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Begin optimizing for AI search engines (ChatGPT, Gemini, Perplexity). Ensure content is comprehensive, well-structured, and answers questions directly. Submit content to AI training data where applicable. As AI search adoption grows, early positioning establishes advantage. </w:t>
      </w:r>
    </w:p>
    <w:p w:rsidR="00000000" w:rsidDel="00000000" w:rsidP="00000000" w:rsidRDefault="00000000" w:rsidRPr="00000000" w14:paraId="0000027A">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YouTube and Video Content </w:t>
      </w:r>
    </w:p>
    <w:p w:rsidR="00000000" w:rsidDel="00000000" w:rsidP="00000000" w:rsidRDefault="00000000" w:rsidRPr="00000000" w14:paraId="0000027B">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Develop video content demonstrating technology, sharing farmer testimonials, and explaining implementation. Video content engages visual learners and provides additional ranking signals. Agricultural topics benefit significantly from video demonstration. </w:t>
      </w:r>
    </w:p>
    <w:p w:rsidR="00000000" w:rsidDel="00000000" w:rsidP="00000000" w:rsidRDefault="00000000" w:rsidRPr="00000000" w14:paraId="0000027C">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Social Media Presence</w:t>
      </w:r>
      <w:r w:rsidDel="00000000" w:rsidR="00000000" w:rsidRPr="00000000">
        <w:rPr>
          <w:i w:val="0"/>
          <w:iCs w:val="0"/>
          <w:color w:val="000000"/>
          <w:sz w:val="26"/>
          <w:szCs w:val="26"/>
          <w:rtl w:val="0"/>
        </w:rPr>
        <w:t xml:space="preserve"> </w:t>
      </w:r>
    </w:p>
    <w:p w:rsidR="00000000" w:rsidDel="00000000" w:rsidP="00000000" w:rsidRDefault="00000000" w:rsidRPr="00000000" w14:paraId="0000027D">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Maintain presence on platforms where farmers congregate (WhatsApp groups, farmer Facebook pages, agricultural forums). Share valuable insights, respond to questions, and build community. Social media extends reach beyond search engines. </w:t>
      </w:r>
    </w:p>
    <w:p w:rsidR="00000000" w:rsidDel="00000000" w:rsidP="00000000" w:rsidRDefault="00000000" w:rsidRPr="00000000" w14:paraId="0000027E">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Industry Platforms and Communities</w:t>
      </w:r>
      <w:r w:rsidDel="00000000" w:rsidR="00000000" w:rsidRPr="00000000">
        <w:rPr>
          <w:i w:val="0"/>
          <w:iCs w:val="0"/>
          <w:color w:val="000000"/>
          <w:sz w:val="26"/>
          <w:szCs w:val="26"/>
          <w:rtl w:val="0"/>
        </w:rPr>
        <w:t xml:space="preserve"> </w:t>
      </w:r>
    </w:p>
    <w:p w:rsidR="00000000" w:rsidDel="00000000" w:rsidP="00000000" w:rsidRDefault="00000000" w:rsidRPr="00000000" w14:paraId="0000027F">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Participate in agricultural industry forums, online communities, and platforms. These niche spaces often have highly engaged audiences. Contributing valuable insights and addressing questions establishes authority within communities.</w:t>
      </w:r>
    </w:p>
    <w:p w:rsidR="00000000" w:rsidDel="00000000" w:rsidP="00000000" w:rsidRDefault="00000000" w:rsidRPr="00000000" w14:paraId="00000280">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5.4 SIGNIFICANCE OF THE STUDY</w:t>
      </w:r>
    </w:p>
    <w:p w:rsidR="00000000" w:rsidDel="00000000" w:rsidP="00000000" w:rsidRDefault="00000000" w:rsidRPr="00000000" w14:paraId="00000281">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Research Contributions</w:t>
      </w:r>
    </w:p>
    <w:p w:rsidR="00000000" w:rsidDel="00000000" w:rsidP="00000000" w:rsidRDefault="00000000" w:rsidRPr="00000000" w14:paraId="00000282">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To Academic Field</w:t>
      </w:r>
      <w:r w:rsidDel="00000000" w:rsidR="00000000" w:rsidRPr="00000000">
        <w:rPr>
          <w:i w:val="0"/>
          <w:iCs w:val="0"/>
          <w:color w:val="000000"/>
          <w:sz w:val="26"/>
          <w:szCs w:val="26"/>
          <w:rtl w:val="0"/>
        </w:rPr>
        <w:t xml:space="preserve"> </w:t>
      </w:r>
    </w:p>
    <w:p w:rsidR="00000000" w:rsidDel="00000000" w:rsidP="00000000" w:rsidRDefault="00000000" w:rsidRPr="00000000" w14:paraId="0000028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This research contributes to digital marketing literature by connecting digital visibility strategies to dynamic capabilities theory, demonstrating that digital visibility functions as organizational capability creating sustainable competitive advantage. The interpretivist research approach validates qualitative examination of digital marketing phenomena as academically rigorous and valuable, extending beyond quantitative metrics to understanding organizational meaning-making around digital strategy. </w:t>
      </w:r>
    </w:p>
    <w:p w:rsidR="00000000" w:rsidDel="00000000" w:rsidP="00000000" w:rsidRDefault="00000000" w:rsidRPr="00000000" w14:paraId="00000284">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To Emerging Sector Practice</w:t>
      </w:r>
      <w:r w:rsidDel="00000000" w:rsidR="00000000" w:rsidRPr="00000000">
        <w:rPr>
          <w:i w:val="0"/>
          <w:iCs w:val="0"/>
          <w:color w:val="000000"/>
          <w:sz w:val="26"/>
          <w:szCs w:val="26"/>
          <w:rtl w:val="0"/>
        </w:rPr>
        <w:t xml:space="preserve"> </w:t>
      </w:r>
    </w:p>
    <w:p w:rsidR="00000000" w:rsidDel="00000000" w:rsidP="00000000" w:rsidRDefault="00000000" w:rsidRPr="00000000" w14:paraId="00000285">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This research provides AgriTech sector with research-grounded framework for digital marketing strategy. Rather than viewing digital visibility as peripheral marketing function, sector leaders can recognize it as central to innovation adoption and competitive positioning. The research demonstrates how digital visibility directly addresses AgriTech's visibility paradox: excellent solutions often remain invisible to farmer audiences due to limited digital marketing sophistication. </w:t>
      </w:r>
    </w:p>
    <w:p w:rsidR="00000000" w:rsidDel="00000000" w:rsidP="00000000" w:rsidRDefault="00000000" w:rsidRPr="00000000" w14:paraId="00000286">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To SME Capability Development</w:t>
      </w:r>
      <w:r w:rsidDel="00000000" w:rsidR="00000000" w:rsidRPr="00000000">
        <w:rPr>
          <w:i w:val="0"/>
          <w:iCs w:val="0"/>
          <w:color w:val="000000"/>
          <w:sz w:val="26"/>
          <w:szCs w:val="26"/>
          <w:rtl w:val="0"/>
        </w:rPr>
        <w:t xml:space="preserve"> </w:t>
      </w:r>
    </w:p>
    <w:p w:rsidR="00000000" w:rsidDel="00000000" w:rsidP="00000000" w:rsidRDefault="00000000" w:rsidRPr="00000000" w14:paraId="00000287">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phased implementation approach provides resource-constrained organizations with practical pathways to building digital visibility capabilities incrementally. The research demonstrates that SMEs can compete effectively against larger competitors through strategic focus on digital excellence rather than budget magnitude. This finding is particularly valuable for AgriTech SMEs operating in emerging markets with limited resources. </w:t>
      </w:r>
    </w:p>
    <w:p w:rsidR="00000000" w:rsidDel="00000000" w:rsidP="00000000" w:rsidRDefault="00000000" w:rsidRPr="00000000" w14:paraId="00000288">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To Emerging Market Understanding</w:t>
      </w:r>
      <w:r w:rsidDel="00000000" w:rsidR="00000000" w:rsidRPr="00000000">
        <w:rPr>
          <w:i w:val="0"/>
          <w:iCs w:val="0"/>
          <w:color w:val="000000"/>
          <w:sz w:val="26"/>
          <w:szCs w:val="26"/>
          <w:rtl w:val="0"/>
        </w:rPr>
        <w:t xml:space="preserve"> </w:t>
      </w:r>
    </w:p>
    <w:p w:rsidR="00000000" w:rsidDel="00000000" w:rsidP="00000000" w:rsidRDefault="00000000" w:rsidRPr="00000000" w14:paraId="0000028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By emphasizing Indian emerging market context, the research contributes to understanding how digital marketing strategies require context-specific adaptations: mobile-first approaches, multilingual content, culturally relevant messaging, and acknowledgment of farmer-specific information-seeking behaviors. This extends primarily Western-centric digital marketing literature.</w:t>
      </w:r>
    </w:p>
    <w:p w:rsidR="00000000" w:rsidDel="00000000" w:rsidP="00000000" w:rsidRDefault="00000000" w:rsidRPr="00000000" w14:paraId="0000028A">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Implications for Key Stakeholders</w:t>
      </w:r>
    </w:p>
    <w:p w:rsidR="00000000" w:rsidDel="00000000" w:rsidP="00000000" w:rsidRDefault="00000000" w:rsidRPr="00000000" w14:paraId="0000028B">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 </w:t>
      </w:r>
      <w:r w:rsidDel="00000000" w:rsidR="00000000" w:rsidRPr="00000000">
        <w:rPr>
          <w:b w:val="1"/>
          <w:bCs w:val="1"/>
          <w:i w:val="0"/>
          <w:iCs w:val="0"/>
          <w:color w:val="000000"/>
          <w:sz w:val="26"/>
          <w:szCs w:val="26"/>
          <w:rtl w:val="0"/>
        </w:rPr>
        <w:t xml:space="preserve">For AgriTech Organizations</w:t>
      </w:r>
      <w:r w:rsidDel="00000000" w:rsidR="00000000" w:rsidRPr="00000000">
        <w:rPr>
          <w:i w:val="0"/>
          <w:iCs w:val="0"/>
          <w:color w:val="000000"/>
          <w:sz w:val="26"/>
          <w:szCs w:val="26"/>
          <w:rtl w:val="0"/>
        </w:rPr>
        <w:t xml:space="preserve"> </w:t>
      </w:r>
    </w:p>
    <w:p w:rsidR="00000000" w:rsidDel="00000000" w:rsidP="00000000" w:rsidRDefault="00000000" w:rsidRPr="00000000" w14:paraId="0000028C">
      <w:pPr>
        <w:spacing w:after="240" w:before="240" w:lineRule="auto"/>
        <w:rPr>
          <w:i w:val="0"/>
          <w:iCs w:val="0"/>
          <w:color w:val="000000"/>
        </w:rPr>
      </w:pPr>
      <w:r w:rsidDel="00000000" w:rsidR="00000000" w:rsidRPr="00000000">
        <w:rPr>
          <w:i w:val="0"/>
          <w:iCs w:val="0"/>
          <w:color w:val="000000"/>
          <w:sz w:val="26"/>
          <w:szCs w:val="26"/>
          <w:rtl w:val="0"/>
        </w:rPr>
        <w:t xml:space="preserve">The research indicates significant first-mover advantage for organizations implementing integrated SEO-AEO strategies. The opportunity window—when sector remains relatively underdeveloped in digital marketing sophistication—is limited. Organizations building these capabilities now will establish competitive positions difficult for followers to replicate.</w:t>
      </w:r>
      <w:r w:rsidDel="00000000" w:rsidR="00000000" w:rsidRPr="00000000">
        <w:rPr>
          <w:i w:val="0"/>
          <w:iCs w:val="0"/>
          <w:color w:val="000000"/>
          <w:rtl w:val="0"/>
        </w:rPr>
        <w:t xml:space="preserve"> </w:t>
      </w:r>
    </w:p>
    <w:p w:rsidR="00000000" w:rsidDel="00000000" w:rsidP="00000000" w:rsidRDefault="00000000" w:rsidRPr="00000000" w14:paraId="0000028D">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For Digital Marketing Professionals</w:t>
      </w:r>
      <w:r w:rsidDel="00000000" w:rsidR="00000000" w:rsidRPr="00000000">
        <w:rPr>
          <w:i w:val="0"/>
          <w:iCs w:val="0"/>
          <w:color w:val="000000"/>
          <w:sz w:val="26"/>
          <w:szCs w:val="26"/>
          <w:rtl w:val="0"/>
        </w:rPr>
        <w:t xml:space="preserve"> </w:t>
      </w:r>
    </w:p>
    <w:p w:rsidR="00000000" w:rsidDel="00000000" w:rsidP="00000000" w:rsidRDefault="00000000" w:rsidRPr="00000000" w14:paraId="0000028E">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emergence of AEO represents evolution, not displacement. Professionals who evolve capabilities to embrace both traditional SEO and AEO principles will position themselves as valuable assets in evolving digital landscape. Domain expertise in agricultural sector differentiates practitioners and increases client value. </w:t>
      </w:r>
    </w:p>
    <w:p w:rsidR="00000000" w:rsidDel="00000000" w:rsidP="00000000" w:rsidRDefault="00000000" w:rsidRPr="00000000" w14:paraId="0000028F">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For Policy and Industry Leaders</w:t>
      </w:r>
      <w:r w:rsidDel="00000000" w:rsidR="00000000" w:rsidRPr="00000000">
        <w:rPr>
          <w:i w:val="0"/>
          <w:iCs w:val="0"/>
          <w:color w:val="000000"/>
          <w:sz w:val="26"/>
          <w:szCs w:val="26"/>
          <w:rtl w:val="0"/>
        </w:rPr>
        <w:t xml:space="preserve"> </w:t>
      </w:r>
    </w:p>
    <w:p w:rsidR="00000000" w:rsidDel="00000000" w:rsidP="00000000" w:rsidRDefault="00000000" w:rsidRPr="00000000" w14:paraId="00000290">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Recognition of digital visibility as strategic—not merely tactical—capability should inform resource allocation, capability development programs, and sector growth strategies. Supporting SME digital capability development accelerates sector competitiveness.</w:t>
      </w:r>
    </w:p>
    <w:p w:rsidR="00000000" w:rsidDel="00000000" w:rsidP="00000000" w:rsidRDefault="00000000" w:rsidRPr="00000000" w14:paraId="00000291">
      <w:pPr>
        <w:spacing w:after="240" w:before="240" w:lineRule="auto"/>
        <w:rPr>
          <w:i w:val="0"/>
          <w:iCs w:val="0"/>
          <w:color w:val="000000"/>
          <w:sz w:val="26"/>
          <w:szCs w:val="26"/>
        </w:rPr>
      </w:pPr>
      <w:r w:rsidDel="00000000" w:rsidR="00000000" w:rsidRPr="00000000">
        <w:rPr>
          <w:rtl w:val="0"/>
        </w:rPr>
      </w:r>
    </w:p>
    <w:p w:rsidR="00000000" w:rsidDel="00000000" w:rsidP="00000000" w:rsidRDefault="00000000" w:rsidRPr="00000000" w14:paraId="00000292">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 Limitations and Future Research Directions</w:t>
      </w:r>
    </w:p>
    <w:p w:rsidR="00000000" w:rsidDel="00000000" w:rsidP="00000000" w:rsidRDefault="00000000" w:rsidRPr="00000000" w14:paraId="00000293">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 </w:t>
      </w:r>
      <w:r w:rsidDel="00000000" w:rsidR="00000000" w:rsidRPr="00000000">
        <w:rPr>
          <w:b w:val="1"/>
          <w:bCs w:val="1"/>
          <w:i w:val="0"/>
          <w:iCs w:val="0"/>
          <w:color w:val="000000"/>
          <w:sz w:val="26"/>
          <w:szCs w:val="26"/>
          <w:rtl w:val="0"/>
        </w:rPr>
        <w:t xml:space="preserve">Research Limitations</w:t>
      </w:r>
      <w:r w:rsidDel="00000000" w:rsidR="00000000" w:rsidRPr="00000000">
        <w:rPr>
          <w:i w:val="0"/>
          <w:iCs w:val="0"/>
          <w:color w:val="000000"/>
          <w:sz w:val="26"/>
          <w:szCs w:val="26"/>
          <w:rtl w:val="0"/>
        </w:rPr>
        <w:t xml:space="preserve"> </w:t>
      </w:r>
    </w:p>
    <w:p w:rsidR="00000000" w:rsidDel="00000000" w:rsidP="00000000" w:rsidRDefault="00000000" w:rsidRPr="00000000" w14:paraId="00000294">
      <w:pPr>
        <w:spacing w:after="240" w:before="240" w:lineRule="auto"/>
        <w:rPr>
          <w:i w:val="0"/>
          <w:iCs w:val="0"/>
          <w:color w:val="000000"/>
        </w:rPr>
      </w:pPr>
      <w:r w:rsidDel="00000000" w:rsidR="00000000" w:rsidRPr="00000000">
        <w:rPr>
          <w:i w:val="0"/>
          <w:iCs w:val="0"/>
          <w:color w:val="000000"/>
          <w:sz w:val="26"/>
          <w:szCs w:val="26"/>
          <w:rtl w:val="0"/>
        </w:rPr>
        <w:t xml:space="preserve">This research is based exclusively on secondary data analysis and public materials. Primary research through interviews with AgriTech leaders and farmers would provide deeper insights into implementation experiences and farmer search behaviors. The research emphasizes 2020-2025 literature, capturing contemporary practices but potentially missing longer-term strategic patterns. Geographic focus on India and emerging markets, while intentional, may not fully capture global digital strategy variations. FENIXSAN serves as single case study; analysis of multiple organizations would provide richer understanding of strategy implementation variations. Rapidly evolving AI landscape means findings may require updating as new search engines and user behaviors emerge.</w:t>
      </w:r>
      <w:r w:rsidDel="00000000" w:rsidR="00000000" w:rsidRPr="00000000">
        <w:rPr>
          <w:i w:val="0"/>
          <w:iCs w:val="0"/>
          <w:color w:val="000000"/>
          <w:rtl w:val="0"/>
        </w:rPr>
        <w:t xml:space="preserve"> </w:t>
      </w:r>
    </w:p>
    <w:p w:rsidR="00000000" w:rsidDel="00000000" w:rsidP="00000000" w:rsidRDefault="00000000" w:rsidRPr="00000000" w14:paraId="00000295">
      <w:pPr>
        <w:spacing w:after="240" w:before="240" w:lineRule="auto"/>
        <w:rPr>
          <w:i w:val="0"/>
          <w:iCs w:val="0"/>
          <w:color w:val="000000"/>
          <w:sz w:val="26"/>
          <w:szCs w:val="26"/>
        </w:rPr>
      </w:pPr>
      <w:r w:rsidDel="00000000" w:rsidR="00000000" w:rsidRPr="00000000">
        <w:rPr>
          <w:b w:val="1"/>
          <w:bCs w:val="1"/>
          <w:i w:val="0"/>
          <w:iCs w:val="0"/>
          <w:color w:val="000000"/>
          <w:sz w:val="26"/>
          <w:szCs w:val="26"/>
          <w:rtl w:val="0"/>
        </w:rPr>
        <w:t xml:space="preserve">Future Research Directions</w:t>
      </w:r>
      <w:r w:rsidDel="00000000" w:rsidR="00000000" w:rsidRPr="00000000">
        <w:rPr>
          <w:i w:val="0"/>
          <w:iCs w:val="0"/>
          <w:color w:val="000000"/>
          <w:sz w:val="26"/>
          <w:szCs w:val="26"/>
          <w:rtl w:val="0"/>
        </w:rPr>
        <w:t xml:space="preserve"> </w:t>
      </w:r>
    </w:p>
    <w:p w:rsidR="00000000" w:rsidDel="00000000" w:rsidP="00000000" w:rsidRDefault="00000000" w:rsidRPr="00000000" w14:paraId="00000296">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Future studies should conduct primary research with AgriTech leaders and farmer audiences to understand implementation experiences and search behaviors more deeply. Longitudinal studies tracking SME implementation of integrated SEO-AEO strategies would provide insights into capability development and market impact over time. Quantitative analysis examining how visibility improvements convert to business outcomes (leads, sales, adoption rates) would strengthen understanding of ROI. Comparative analysis across AgriTech, other emerging sectors, and mature industries would identify sector-specific patterns versus universal principles. Research examining cultural factors influencing digital adoption in different emerging markets would extend applicability. As voice search adoption grows, specific research on voice search optimization for agricultural queries would prove valuable. Investigation of multilingual content effectiveness for reaching diverse farmer audiences would address Indian market diversity.</w:t>
      </w:r>
    </w:p>
    <w:p w:rsidR="00000000" w:rsidDel="00000000" w:rsidP="00000000" w:rsidRDefault="00000000" w:rsidRPr="00000000" w14:paraId="00000297">
      <w:pPr>
        <w:spacing w:after="240" w:before="240" w:lineRule="auto"/>
        <w:rPr>
          <w:b w:val="1"/>
          <w:bCs w:val="1"/>
          <w:i w:val="0"/>
          <w:iCs w:val="0"/>
          <w:color w:val="000000"/>
          <w:sz w:val="26"/>
          <w:szCs w:val="26"/>
        </w:rPr>
      </w:pPr>
      <w:r w:rsidDel="00000000" w:rsidR="00000000" w:rsidRPr="00000000">
        <w:rPr>
          <w:b w:val="1"/>
          <w:bCs w:val="1"/>
          <w:i w:val="0"/>
          <w:iCs w:val="0"/>
          <w:color w:val="000000"/>
          <w:sz w:val="26"/>
          <w:szCs w:val="26"/>
          <w:rtl w:val="0"/>
        </w:rPr>
        <w:t xml:space="preserve">Conclusion</w:t>
      </w:r>
    </w:p>
    <w:p w:rsidR="00000000" w:rsidDel="00000000" w:rsidP="00000000" w:rsidRDefault="00000000" w:rsidRPr="00000000" w14:paraId="00000298">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This research demonstrates conclusively that integrated SEO-AEO strategy represents critical competitive capability for organizations seeking enhanced digital visibility and market reach in AgriTech. Rather than competing paradigms, SEO and AEO function as complementary strategies built on shared foundations of content quality, technical excellence, and user intent understanding. </w:t>
      </w:r>
    </w:p>
    <w:p w:rsidR="00000000" w:rsidDel="00000000" w:rsidP="00000000" w:rsidRDefault="00000000" w:rsidRPr="00000000" w14:paraId="00000299">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research provides evidence-based framework for AgriTech SMEs to enhance digital visibility through practical, implementable strategies acknowledging resource constraints of emerging market organizations. The findings establish that digital visibility is not luxury for well-resourced organizations but necessity for any organization seeking to reach modern audiences. </w:t>
      </w:r>
    </w:p>
    <w:p w:rsidR="00000000" w:rsidDel="00000000" w:rsidP="00000000" w:rsidRDefault="00000000" w:rsidRPr="00000000" w14:paraId="0000029A">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The convergence of several factors—growing farmer digital literacy, increasing smartphone penetration, expanding AgriTech innovation, and currently underutilized digital marketing sophistication—creates ideal conditions for organizations demonstrating digital visibility excellence. The visibility gap in AgriTech represents genuine opportunity for competitive differentiation and sector growth. </w:t>
      </w:r>
    </w:p>
    <w:p w:rsidR="00000000" w:rsidDel="00000000" w:rsidP="00000000" w:rsidRDefault="00000000" w:rsidRPr="00000000" w14:paraId="0000029B">
      <w:pPr>
        <w:spacing w:after="240" w:before="240" w:lineRule="auto"/>
        <w:rPr>
          <w:i w:val="0"/>
          <w:iCs w:val="0"/>
          <w:color w:val="000000"/>
          <w:sz w:val="26"/>
          <w:szCs w:val="26"/>
        </w:rPr>
      </w:pPr>
      <w:r w:rsidDel="00000000" w:rsidR="00000000" w:rsidRPr="00000000">
        <w:rPr>
          <w:i w:val="0"/>
          <w:iCs w:val="0"/>
          <w:color w:val="000000"/>
          <w:sz w:val="26"/>
          <w:szCs w:val="26"/>
          <w:rtl w:val="0"/>
        </w:rPr>
        <w:t xml:space="preserve">For AgriTech SMEs, investing in digital visibility excellence is investing in agricultural innovation adoption, farmer empowerment, and sector competitiveness. The research provides roadmap for this investment, grounded in literature, validated through case study analysis, and responsive to emerging market realities.</w:t>
      </w:r>
    </w:p>
    <w:p w:rsidR="00000000" w:rsidDel="00000000" w:rsidP="00000000" w:rsidRDefault="00000000" w:rsidRPr="00000000" w14:paraId="0000029C">
      <w:pPr>
        <w:spacing w:after="160" w:line="259" w:lineRule="auto"/>
        <w:jc w:val="left"/>
        <w:rPr/>
      </w:pPr>
      <w:r w:rsidDel="00000000" w:rsidR="00000000" w:rsidRPr="00000000">
        <w:rPr>
          <w:rtl w:val="0"/>
        </w:rPr>
      </w:r>
    </w:p>
    <w:p w:rsidR="00000000" w:rsidDel="00000000" w:rsidP="00000000" w:rsidRDefault="00000000" w:rsidRPr="00000000" w14:paraId="0000029D">
      <w:pPr>
        <w:spacing w:after="160" w:line="259" w:lineRule="auto"/>
        <w:jc w:val="left"/>
        <w:rPr/>
      </w:pPr>
      <w:r w:rsidDel="00000000" w:rsidR="00000000" w:rsidRPr="00000000">
        <w:rPr>
          <w:rtl w:val="0"/>
        </w:rPr>
      </w:r>
    </w:p>
    <w:p w:rsidR="00000000" w:rsidDel="00000000" w:rsidP="00000000" w:rsidRDefault="00000000" w:rsidRPr="00000000" w14:paraId="0000029E">
      <w:pPr>
        <w:spacing w:after="160" w:line="259" w:lineRule="auto"/>
        <w:jc w:val="left"/>
        <w:rPr/>
      </w:pPr>
      <w:r w:rsidDel="00000000" w:rsidR="00000000" w:rsidRPr="00000000">
        <w:rPr>
          <w:rtl w:val="0"/>
        </w:rPr>
      </w:r>
    </w:p>
    <w:p w:rsidR="00000000" w:rsidDel="00000000" w:rsidP="00000000" w:rsidRDefault="00000000" w:rsidRPr="00000000" w14:paraId="0000029F">
      <w:pPr>
        <w:spacing w:after="160" w:line="259" w:lineRule="auto"/>
        <w:jc w:val="left"/>
        <w:rPr/>
      </w:pPr>
      <w:r w:rsidDel="00000000" w:rsidR="00000000" w:rsidRPr="00000000">
        <w:rPr>
          <w:rtl w:val="0"/>
        </w:rPr>
      </w:r>
    </w:p>
    <w:p w:rsidR="00000000" w:rsidDel="00000000" w:rsidP="00000000" w:rsidRDefault="00000000" w:rsidRPr="00000000" w14:paraId="000002A0">
      <w:pPr>
        <w:spacing w:after="160" w:line="259" w:lineRule="auto"/>
        <w:jc w:val="left"/>
        <w:rPr/>
      </w:pPr>
      <w:r w:rsidDel="00000000" w:rsidR="00000000" w:rsidRPr="00000000">
        <w:rPr>
          <w:rtl w:val="0"/>
        </w:rPr>
      </w:r>
    </w:p>
    <w:p w:rsidR="00000000" w:rsidDel="00000000" w:rsidP="00000000" w:rsidRDefault="00000000" w:rsidRPr="00000000" w14:paraId="000002A1">
      <w:pPr>
        <w:spacing w:after="160" w:line="259" w:lineRule="auto"/>
        <w:jc w:val="left"/>
        <w:rPr/>
      </w:pPr>
      <w:r w:rsidDel="00000000" w:rsidR="00000000" w:rsidRPr="00000000">
        <w:rPr>
          <w:rtl w:val="0"/>
        </w:rPr>
      </w:r>
    </w:p>
    <w:p w:rsidR="00000000" w:rsidDel="00000000" w:rsidP="00000000" w:rsidRDefault="00000000" w:rsidRPr="00000000" w14:paraId="000002A2">
      <w:pPr>
        <w:spacing w:after="160" w:line="259" w:lineRule="auto"/>
        <w:jc w:val="left"/>
        <w:rPr/>
      </w:pPr>
      <w:r w:rsidDel="00000000" w:rsidR="00000000" w:rsidRPr="00000000">
        <w:rPr>
          <w:rtl w:val="0"/>
        </w:rPr>
      </w:r>
    </w:p>
    <w:p w:rsidR="00000000" w:rsidDel="00000000" w:rsidP="00000000" w:rsidRDefault="00000000" w:rsidRPr="00000000" w14:paraId="000002A3">
      <w:pPr>
        <w:spacing w:after="160" w:line="259" w:lineRule="auto"/>
        <w:jc w:val="left"/>
        <w:rPr/>
      </w:pPr>
      <w:r w:rsidDel="00000000" w:rsidR="00000000" w:rsidRPr="00000000">
        <w:rPr>
          <w:rtl w:val="0"/>
        </w:rPr>
      </w:r>
    </w:p>
    <w:p w:rsidR="00000000" w:rsidDel="00000000" w:rsidP="00000000" w:rsidRDefault="00000000" w:rsidRPr="00000000" w14:paraId="000002A4">
      <w:pPr>
        <w:spacing w:after="160" w:line="259" w:lineRule="auto"/>
        <w:jc w:val="left"/>
        <w:rPr/>
      </w:pPr>
      <w:r w:rsidDel="00000000" w:rsidR="00000000" w:rsidRPr="00000000">
        <w:rPr>
          <w:rtl w:val="0"/>
        </w:rPr>
      </w:r>
    </w:p>
    <w:p w:rsidR="00000000" w:rsidDel="00000000" w:rsidP="00000000" w:rsidRDefault="00000000" w:rsidRPr="00000000" w14:paraId="000002A5">
      <w:pPr>
        <w:spacing w:after="160" w:line="259" w:lineRule="auto"/>
        <w:jc w:val="left"/>
        <w:rPr/>
      </w:pPr>
      <w:r w:rsidDel="00000000" w:rsidR="00000000" w:rsidRPr="00000000">
        <w:rPr>
          <w:rtl w:val="0"/>
        </w:rPr>
      </w:r>
    </w:p>
    <w:p w:rsidR="00000000" w:rsidDel="00000000" w:rsidP="00000000" w:rsidRDefault="00000000" w:rsidRPr="00000000" w14:paraId="000002A6">
      <w:pPr>
        <w:spacing w:after="160" w:line="259" w:lineRule="auto"/>
        <w:jc w:val="left"/>
        <w:rPr/>
      </w:pPr>
      <w:r w:rsidDel="00000000" w:rsidR="00000000" w:rsidRPr="00000000">
        <w:rPr>
          <w:rtl w:val="0"/>
        </w:rPr>
      </w:r>
    </w:p>
    <w:p w:rsidR="00000000" w:rsidDel="00000000" w:rsidP="00000000" w:rsidRDefault="00000000" w:rsidRPr="00000000" w14:paraId="000002A7">
      <w:pPr>
        <w:spacing w:after="160" w:line="259" w:lineRule="auto"/>
        <w:jc w:val="left"/>
        <w:rPr/>
      </w:pPr>
      <w:r w:rsidDel="00000000" w:rsidR="00000000" w:rsidRPr="00000000">
        <w:rPr>
          <w:rtl w:val="0"/>
        </w:rPr>
      </w:r>
    </w:p>
    <w:p w:rsidR="00000000" w:rsidDel="00000000" w:rsidP="00000000" w:rsidRDefault="00000000" w:rsidRPr="00000000" w14:paraId="000002A8">
      <w:pPr>
        <w:pStyle w:val="Heading1"/>
        <w:rPr/>
      </w:pPr>
      <w:bookmarkStart w:colFirst="0" w:colLast="0" w:name="_heading=h.fj923qi575n2" w:id="8"/>
      <w:bookmarkEnd w:id="8"/>
      <w:r w:rsidDel="00000000" w:rsidR="00000000" w:rsidRPr="00000000">
        <w:rPr>
          <w:rtl w:val="0"/>
        </w:rPr>
        <w:t xml:space="preserve">References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i w:val="0"/>
          <w:iCs w:val="0"/>
          <w:color w:val="000000"/>
          <w:highlight w:val="white"/>
        </w:rPr>
      </w:pPr>
      <w:r w:rsidDel="00000000" w:rsidR="00000000" w:rsidRPr="00000000">
        <w:rPr>
          <w:b w:val="1"/>
          <w:bCs w:val="1"/>
          <w:i w:val="0"/>
          <w:iCs w:val="0"/>
          <w:color w:val="000000"/>
          <w:highlight w:val="white"/>
          <w:rtl w:val="0"/>
        </w:rPr>
        <w:t xml:space="preserve">REFERENCES</w:t>
      </w:r>
    </w:p>
    <w:p w:rsidR="00000000" w:rsidDel="00000000" w:rsidP="00000000" w:rsidRDefault="00000000" w:rsidRPr="00000000" w14:paraId="000002AB">
      <w:pPr>
        <w:rPr>
          <w:b w:val="1"/>
          <w:bCs w:val="1"/>
          <w:i w:val="0"/>
          <w:iCs w:val="0"/>
          <w:color w:val="000000"/>
          <w:highlight w:val="white"/>
        </w:rPr>
      </w:pPr>
      <w:r w:rsidDel="00000000" w:rsidR="00000000" w:rsidRPr="00000000">
        <w:rPr>
          <w:rtl w:val="0"/>
        </w:rPr>
      </w:r>
    </w:p>
    <w:p w:rsidR="00000000" w:rsidDel="00000000" w:rsidP="00000000" w:rsidRDefault="00000000" w:rsidRPr="00000000" w14:paraId="000002AC">
      <w:pPr>
        <w:rPr>
          <w:rFonts w:ascii="Roboto" w:cs="Roboto" w:eastAsia="Roboto" w:hAnsi="Roboto"/>
          <w:i w:val="0"/>
          <w:iCs w:val="0"/>
          <w:color w:val="000000"/>
          <w:sz w:val="26"/>
          <w:szCs w:val="26"/>
          <w:highlight w:val="white"/>
        </w:rPr>
      </w:pPr>
      <w:r w:rsidDel="00000000" w:rsidR="00000000" w:rsidRPr="00000000">
        <w:rPr>
          <w:i w:val="0"/>
          <w:iCs w:val="0"/>
          <w:color w:val="000000"/>
          <w:highlight w:val="white"/>
          <w:rtl w:val="0"/>
        </w:rPr>
        <w:t xml:space="preserve">Bart, Y., Shankar, V., Sultan, F., &amp; Urban, G. L. (2005). Are the drivers and role of online trust the same for all web sites and consumers? A large-scale exploratory empirical study. Journal of Marketing, 69(4), 133–152. </w:t>
      </w:r>
      <w:r w:rsidDel="00000000" w:rsidR="00000000" w:rsidRPr="00000000">
        <w:rPr>
          <w:rtl w:val="0"/>
        </w:rPr>
      </w:r>
    </w:p>
    <w:p w:rsidR="00000000" w:rsidDel="00000000" w:rsidP="00000000" w:rsidRDefault="00000000" w:rsidRPr="00000000" w14:paraId="000002AD">
      <w:pPr>
        <w:spacing w:line="276" w:lineRule="auto"/>
        <w:jc w:val="left"/>
        <w:rPr>
          <w:rFonts w:ascii="Roboto" w:cs="Roboto" w:eastAsia="Roboto" w:hAnsi="Roboto"/>
          <w:i w:val="0"/>
          <w:iCs w:val="0"/>
          <w:color w:val="000000"/>
          <w:sz w:val="26"/>
          <w:szCs w:val="26"/>
          <w:highlight w:val="white"/>
        </w:rPr>
      </w:pPr>
      <w:r w:rsidDel="00000000" w:rsidR="00000000" w:rsidRPr="00000000">
        <w:rPr>
          <w:rtl w:val="0"/>
        </w:rPr>
      </w:r>
    </w:p>
    <w:p w:rsidR="00000000" w:rsidDel="00000000" w:rsidP="00000000" w:rsidRDefault="00000000" w:rsidRPr="00000000" w14:paraId="000002AE">
      <w:pPr>
        <w:spacing w:line="276" w:lineRule="auto"/>
        <w:jc w:val="left"/>
        <w:rPr>
          <w:rFonts w:ascii="Roboto" w:cs="Roboto" w:eastAsia="Roboto" w:hAnsi="Roboto"/>
          <w:i w:val="0"/>
          <w:iCs w:val="0"/>
          <w:color w:val="000000"/>
          <w:highlight w:val="white"/>
        </w:rPr>
      </w:pPr>
      <w:r w:rsidDel="00000000" w:rsidR="00000000" w:rsidRPr="00000000">
        <w:rPr>
          <w:rFonts w:ascii="Roboto" w:cs="Roboto" w:eastAsia="Roboto" w:hAnsi="Roboto"/>
          <w:i w:val="0"/>
          <w:iCs w:val="0"/>
          <w:color w:val="000000"/>
          <w:highlight w:val="white"/>
          <w:rtl w:val="0"/>
        </w:rPr>
        <w:t xml:space="preserve">Beacham, A. M., Vickers, L. H., &amp; Monaghan, J. M. (2019). Vertical farming: A review of challenges and opportunities. Annals of Applied Biology.</w:t>
      </w:r>
    </w:p>
    <w:p w:rsidR="00000000" w:rsidDel="00000000" w:rsidP="00000000" w:rsidRDefault="00000000" w:rsidRPr="00000000" w14:paraId="000002AF">
      <w:pPr>
        <w:spacing w:line="276" w:lineRule="auto"/>
        <w:jc w:val="left"/>
        <w:rPr>
          <w:rFonts w:ascii="Roboto" w:cs="Roboto" w:eastAsia="Roboto" w:hAnsi="Roboto"/>
          <w:i w:val="0"/>
          <w:iCs w:val="0"/>
          <w:color w:val="000000"/>
          <w:highlight w:val="white"/>
        </w:rPr>
      </w:pPr>
      <w:r w:rsidDel="00000000" w:rsidR="00000000" w:rsidRPr="00000000">
        <w:rPr>
          <w:rtl w:val="0"/>
        </w:rPr>
      </w:r>
    </w:p>
    <w:p w:rsidR="00000000" w:rsidDel="00000000" w:rsidP="00000000" w:rsidRDefault="00000000" w:rsidRPr="00000000" w14:paraId="000002B0">
      <w:pPr>
        <w:spacing w:line="276" w:lineRule="auto"/>
        <w:jc w:val="left"/>
        <w:rPr>
          <w:rFonts w:ascii="Roboto" w:cs="Roboto" w:eastAsia="Roboto" w:hAnsi="Roboto"/>
          <w:i w:val="0"/>
          <w:iCs w:val="0"/>
          <w:color w:val="000000"/>
          <w:highlight w:val="white"/>
        </w:rPr>
      </w:pPr>
      <w:r w:rsidDel="00000000" w:rsidR="00000000" w:rsidRPr="00000000">
        <w:rPr>
          <w:rFonts w:ascii="Roboto" w:cs="Roboto" w:eastAsia="Roboto" w:hAnsi="Roboto"/>
          <w:i w:val="0"/>
          <w:iCs w:val="0"/>
          <w:color w:val="000000"/>
          <w:highlight w:val="white"/>
          <w:rtl w:val="0"/>
        </w:rPr>
        <w:t xml:space="preserve">Benke, K., &amp; Tomkins, B. (2017). Future food systems: Vertical farming and controlled-environment agriculture. Journal of Food Security.</w:t>
      </w:r>
    </w:p>
    <w:p w:rsidR="00000000" w:rsidDel="00000000" w:rsidP="00000000" w:rsidRDefault="00000000" w:rsidRPr="00000000" w14:paraId="000002B1">
      <w:pPr>
        <w:rPr>
          <w:i w:val="0"/>
          <w:iCs w:val="0"/>
          <w:color w:val="000000"/>
          <w:highlight w:val="white"/>
        </w:rPr>
      </w:pPr>
      <w:r w:rsidDel="00000000" w:rsidR="00000000" w:rsidRPr="00000000">
        <w:rPr>
          <w:rtl w:val="0"/>
        </w:rPr>
      </w:r>
    </w:p>
    <w:p w:rsidR="00000000" w:rsidDel="00000000" w:rsidP="00000000" w:rsidRDefault="00000000" w:rsidRPr="00000000" w14:paraId="000002B2">
      <w:pPr>
        <w:rPr>
          <w:rFonts w:ascii="Roboto" w:cs="Roboto" w:eastAsia="Roboto" w:hAnsi="Roboto"/>
          <w:i w:val="0"/>
          <w:iCs w:val="0"/>
          <w:color w:val="000000"/>
          <w:highlight w:val="white"/>
        </w:rPr>
      </w:pPr>
      <w:r w:rsidDel="00000000" w:rsidR="00000000" w:rsidRPr="00000000">
        <w:rPr>
          <w:rFonts w:ascii="Roboto" w:cs="Roboto" w:eastAsia="Roboto" w:hAnsi="Roboto"/>
          <w:i w:val="0"/>
          <w:iCs w:val="0"/>
          <w:color w:val="000000"/>
          <w:highlight w:val="white"/>
          <w:rtl w:val="0"/>
        </w:rPr>
        <w:t xml:space="preserve">Bell, E., Bryman, A., &amp; Harley, B. (2022). </w:t>
      </w:r>
      <w:r w:rsidDel="00000000" w:rsidR="00000000" w:rsidRPr="00000000">
        <w:rPr>
          <w:rFonts w:ascii="Roboto" w:cs="Roboto" w:eastAsia="Roboto" w:hAnsi="Roboto"/>
          <w:color w:val="000000"/>
          <w:highlight w:val="white"/>
          <w:rtl w:val="0"/>
        </w:rPr>
        <w:t xml:space="preserve">Business research methods</w:t>
      </w:r>
      <w:r w:rsidDel="00000000" w:rsidR="00000000" w:rsidRPr="00000000">
        <w:rPr>
          <w:rFonts w:ascii="Roboto" w:cs="Roboto" w:eastAsia="Roboto" w:hAnsi="Roboto"/>
          <w:i w:val="0"/>
          <w:iCs w:val="0"/>
          <w:color w:val="000000"/>
          <w:highlight w:val="white"/>
          <w:rtl w:val="0"/>
        </w:rPr>
        <w:t xml:space="preserve"> (6th ed.). Oxford University Press.</w:t>
      </w:r>
    </w:p>
    <w:p w:rsidR="00000000" w:rsidDel="00000000" w:rsidP="00000000" w:rsidRDefault="00000000" w:rsidRPr="00000000" w14:paraId="000002B3">
      <w:pPr>
        <w:rPr>
          <w:rFonts w:ascii="Roboto" w:cs="Roboto" w:eastAsia="Roboto" w:hAnsi="Roboto"/>
          <w:i w:val="0"/>
          <w:iCs w:val="0"/>
          <w:color w:val="000000"/>
          <w:highlight w:val="white"/>
        </w:rPr>
      </w:pPr>
      <w:r w:rsidDel="00000000" w:rsidR="00000000" w:rsidRPr="00000000">
        <w:rPr>
          <w:rtl w:val="0"/>
        </w:rPr>
      </w:r>
    </w:p>
    <w:p w:rsidR="00000000" w:rsidDel="00000000" w:rsidP="00000000" w:rsidRDefault="00000000" w:rsidRPr="00000000" w14:paraId="000002B4">
      <w:pPr>
        <w:spacing w:line="276" w:lineRule="auto"/>
        <w:jc w:val="left"/>
        <w:rPr>
          <w:rFonts w:ascii="Roboto" w:cs="Roboto" w:eastAsia="Roboto" w:hAnsi="Roboto"/>
          <w:i w:val="0"/>
          <w:iCs w:val="0"/>
          <w:color w:val="000000"/>
          <w:sz w:val="26"/>
          <w:szCs w:val="26"/>
          <w:highlight w:val="white"/>
        </w:rPr>
      </w:pPr>
      <w:r w:rsidDel="00000000" w:rsidR="00000000" w:rsidRPr="00000000">
        <w:rPr>
          <w:i w:val="0"/>
          <w:iCs w:val="0"/>
          <w:color w:val="000000"/>
          <w:rtl w:val="0"/>
        </w:rPr>
        <w:t xml:space="preserve">Berman, R., &amp; Katona, Z. (2013). The role of search engine optimization in digital marketing strategy. Marketing Science.</w:t>
      </w:r>
      <w:r w:rsidDel="00000000" w:rsidR="00000000" w:rsidRPr="00000000">
        <w:rPr>
          <w:rtl w:val="0"/>
        </w:rPr>
      </w:r>
    </w:p>
    <w:p w:rsidR="00000000" w:rsidDel="00000000" w:rsidP="00000000" w:rsidRDefault="00000000" w:rsidRPr="00000000" w14:paraId="000002B5">
      <w:pPr>
        <w:rPr>
          <w:i w:val="0"/>
          <w:iCs w:val="0"/>
          <w:color w:val="000000"/>
          <w:highlight w:val="white"/>
        </w:rPr>
      </w:pPr>
      <w:r w:rsidDel="00000000" w:rsidR="00000000" w:rsidRPr="00000000">
        <w:rPr>
          <w:i w:val="0"/>
          <w:iCs w:val="0"/>
          <w:color w:val="000000"/>
          <w:highlight w:val="white"/>
          <w:rtl w:val="0"/>
        </w:rPr>
        <w:t xml:space="preserve"> </w:t>
      </w:r>
    </w:p>
    <w:p w:rsidR="00000000" w:rsidDel="00000000" w:rsidP="00000000" w:rsidRDefault="00000000" w:rsidRPr="00000000" w14:paraId="000002B6">
      <w:pPr>
        <w:rPr>
          <w:i w:val="0"/>
          <w:iCs w:val="0"/>
          <w:color w:val="000000"/>
          <w:highlight w:val="white"/>
        </w:rPr>
      </w:pPr>
      <w:r w:rsidDel="00000000" w:rsidR="00000000" w:rsidRPr="00000000">
        <w:rPr>
          <w:i w:val="0"/>
          <w:iCs w:val="0"/>
          <w:color w:val="000000"/>
          <w:highlight w:val="white"/>
          <w:rtl w:val="0"/>
        </w:rPr>
        <w:t xml:space="preserve">Bharadwaj, A. (2013). A resource-based perspective on information technology capability and firm performance: A review and extension. MIS Quarterly, 37(4), 977–1000. </w:t>
      </w:r>
    </w:p>
    <w:p w:rsidR="00000000" w:rsidDel="00000000" w:rsidP="00000000" w:rsidRDefault="00000000" w:rsidRPr="00000000" w14:paraId="000002B7">
      <w:pPr>
        <w:rPr>
          <w:i w:val="0"/>
          <w:iCs w:val="0"/>
          <w:color w:val="000000"/>
          <w:highlight w:val="white"/>
        </w:rPr>
      </w:pPr>
      <w:r w:rsidDel="00000000" w:rsidR="00000000" w:rsidRPr="00000000">
        <w:rPr>
          <w:rtl w:val="0"/>
        </w:rPr>
      </w:r>
    </w:p>
    <w:p w:rsidR="00000000" w:rsidDel="00000000" w:rsidP="00000000" w:rsidRDefault="00000000" w:rsidRPr="00000000" w14:paraId="000002B8">
      <w:pPr>
        <w:rPr>
          <w:i w:val="0"/>
          <w:iCs w:val="0"/>
          <w:color w:val="000000"/>
          <w:highlight w:val="white"/>
        </w:rPr>
      </w:pPr>
      <w:r w:rsidDel="00000000" w:rsidR="00000000" w:rsidRPr="00000000">
        <w:rPr>
          <w:rFonts w:ascii="Roboto" w:cs="Roboto" w:eastAsia="Roboto" w:hAnsi="Roboto"/>
          <w:i w:val="0"/>
          <w:iCs w:val="0"/>
          <w:color w:val="000000"/>
          <w:highlight w:val="white"/>
          <w:rtl w:val="0"/>
        </w:rPr>
        <w:t xml:space="preserve">Booth, A., Sutton, A., &amp; Papaioannou, D. (2016). </w:t>
      </w:r>
      <w:r w:rsidDel="00000000" w:rsidR="00000000" w:rsidRPr="00000000">
        <w:rPr>
          <w:rFonts w:ascii="Roboto" w:cs="Roboto" w:eastAsia="Roboto" w:hAnsi="Roboto"/>
          <w:color w:val="000000"/>
          <w:highlight w:val="white"/>
          <w:rtl w:val="0"/>
        </w:rPr>
        <w:t xml:space="preserve">Systematic approaches to a successful literature review</w:t>
      </w:r>
      <w:r w:rsidDel="00000000" w:rsidR="00000000" w:rsidRPr="00000000">
        <w:rPr>
          <w:rFonts w:ascii="Roboto" w:cs="Roboto" w:eastAsia="Roboto" w:hAnsi="Roboto"/>
          <w:i w:val="0"/>
          <w:iCs w:val="0"/>
          <w:color w:val="000000"/>
          <w:highlight w:val="white"/>
          <w:rtl w:val="0"/>
        </w:rPr>
        <w:t xml:space="preserve"> (2nd ed.). Sage Publications.</w:t>
      </w:r>
      <w:r w:rsidDel="00000000" w:rsidR="00000000" w:rsidRPr="00000000">
        <w:rPr>
          <w:rtl w:val="0"/>
        </w:rPr>
      </w:r>
    </w:p>
    <w:p w:rsidR="00000000" w:rsidDel="00000000" w:rsidP="00000000" w:rsidRDefault="00000000" w:rsidRPr="00000000" w14:paraId="000002B9">
      <w:pPr>
        <w:rPr>
          <w:i w:val="0"/>
          <w:iCs w:val="0"/>
          <w:color w:val="000000"/>
          <w:highlight w:val="white"/>
        </w:rPr>
      </w:pPr>
      <w:r w:rsidDel="00000000" w:rsidR="00000000" w:rsidRPr="00000000">
        <w:rPr>
          <w:rtl w:val="0"/>
        </w:rPr>
      </w:r>
    </w:p>
    <w:p w:rsidR="00000000" w:rsidDel="00000000" w:rsidP="00000000" w:rsidRDefault="00000000" w:rsidRPr="00000000" w14:paraId="000002BA">
      <w:pPr>
        <w:rPr>
          <w:i w:val="0"/>
          <w:iCs w:val="0"/>
          <w:color w:val="000000"/>
          <w:highlight w:val="white"/>
        </w:rPr>
      </w:pPr>
      <w:r w:rsidDel="00000000" w:rsidR="00000000" w:rsidRPr="00000000">
        <w:rPr>
          <w:rFonts w:ascii="Roboto" w:cs="Roboto" w:eastAsia="Roboto" w:hAnsi="Roboto"/>
          <w:i w:val="0"/>
          <w:iCs w:val="0"/>
          <w:color w:val="000000"/>
          <w:highlight w:val="white"/>
          <w:rtl w:val="0"/>
        </w:rPr>
        <w:t xml:space="preserve">Bowen, G. A. (2009). Document analysis as a qualitative research method. </w:t>
      </w:r>
      <w:r w:rsidDel="00000000" w:rsidR="00000000" w:rsidRPr="00000000">
        <w:rPr>
          <w:rFonts w:ascii="Roboto" w:cs="Roboto" w:eastAsia="Roboto" w:hAnsi="Roboto"/>
          <w:color w:val="000000"/>
          <w:highlight w:val="white"/>
          <w:rtl w:val="0"/>
        </w:rPr>
        <w:t xml:space="preserve">Qualitative Research Journal, 9</w:t>
      </w:r>
      <w:r w:rsidDel="00000000" w:rsidR="00000000" w:rsidRPr="00000000">
        <w:rPr>
          <w:rFonts w:ascii="Roboto" w:cs="Roboto" w:eastAsia="Roboto" w:hAnsi="Roboto"/>
          <w:i w:val="0"/>
          <w:iCs w:val="0"/>
          <w:color w:val="000000"/>
          <w:highlight w:val="white"/>
          <w:rtl w:val="0"/>
        </w:rPr>
        <w:t xml:space="preserve">(2), 27–40.</w:t>
      </w:r>
      <w:r w:rsidDel="00000000" w:rsidR="00000000" w:rsidRPr="00000000">
        <w:rPr>
          <w:rtl w:val="0"/>
        </w:rPr>
      </w:r>
    </w:p>
    <w:p w:rsidR="00000000" w:rsidDel="00000000" w:rsidP="00000000" w:rsidRDefault="00000000" w:rsidRPr="00000000" w14:paraId="000002BB">
      <w:pPr>
        <w:rPr>
          <w:b w:val="1"/>
          <w:bCs w:val="1"/>
          <w:i w:val="0"/>
          <w:iCs w:val="0"/>
          <w:color w:val="000000"/>
          <w:highlight w:val="white"/>
        </w:rPr>
      </w:pPr>
      <w:r w:rsidDel="00000000" w:rsidR="00000000" w:rsidRPr="00000000">
        <w:rPr>
          <w:rtl w:val="0"/>
        </w:rPr>
      </w:r>
    </w:p>
    <w:p w:rsidR="00000000" w:rsidDel="00000000" w:rsidP="00000000" w:rsidRDefault="00000000" w:rsidRPr="00000000" w14:paraId="000002BC">
      <w:pPr>
        <w:jc w:val="left"/>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Braun, V., &amp; Clarke, V. (2006). Using thematic analysis in psychology. </w:t>
      </w:r>
      <w:r w:rsidDel="00000000" w:rsidR="00000000" w:rsidRPr="00000000">
        <w:rPr>
          <w:rFonts w:ascii="Roboto" w:cs="Roboto" w:eastAsia="Roboto" w:hAnsi="Roboto"/>
          <w:color w:val="000000"/>
          <w:rtl w:val="0"/>
        </w:rPr>
        <w:t xml:space="preserve">Qualitative Research in Psychology</w:t>
      </w:r>
      <w:r w:rsidDel="00000000" w:rsidR="00000000" w:rsidRPr="00000000">
        <w:rPr>
          <w:rFonts w:ascii="Roboto" w:cs="Roboto" w:eastAsia="Roboto" w:hAnsi="Roboto"/>
          <w:i w:val="0"/>
          <w:iCs w:val="0"/>
          <w:color w:val="000000"/>
          <w:rtl w:val="0"/>
        </w:rPr>
        <w:t xml:space="preserve">, 3(2), 77–101.</w:t>
      </w:r>
    </w:p>
    <w:p w:rsidR="00000000" w:rsidDel="00000000" w:rsidP="00000000" w:rsidRDefault="00000000" w:rsidRPr="00000000" w14:paraId="000002BD">
      <w:pPr>
        <w:spacing w:after="120" w:before="240" w:lineRule="auto"/>
        <w:jc w:val="left"/>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Braun, V., &amp; Clarke, V. (2019). Reflecting on reflexive thematic analysis. </w:t>
      </w:r>
      <w:r w:rsidDel="00000000" w:rsidR="00000000" w:rsidRPr="00000000">
        <w:rPr>
          <w:rFonts w:ascii="Roboto" w:cs="Roboto" w:eastAsia="Roboto" w:hAnsi="Roboto"/>
          <w:color w:val="000000"/>
          <w:rtl w:val="0"/>
        </w:rPr>
        <w:t xml:space="preserve">Qualitative Research in Sport, Exercise and Health</w:t>
      </w:r>
      <w:r w:rsidDel="00000000" w:rsidR="00000000" w:rsidRPr="00000000">
        <w:rPr>
          <w:rFonts w:ascii="Roboto" w:cs="Roboto" w:eastAsia="Roboto" w:hAnsi="Roboto"/>
          <w:i w:val="0"/>
          <w:iCs w:val="0"/>
          <w:color w:val="000000"/>
          <w:rtl w:val="0"/>
        </w:rPr>
        <w:t xml:space="preserve">, 11(4), 589–597.</w:t>
      </w:r>
    </w:p>
    <w:p w:rsidR="00000000" w:rsidDel="00000000" w:rsidP="00000000" w:rsidRDefault="00000000" w:rsidRPr="00000000" w14:paraId="000002BE">
      <w:pPr>
        <w:spacing w:after="120" w:before="240" w:lineRule="auto"/>
        <w:jc w:val="left"/>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Brin, S., &amp; Page, L. (1998). The anatomy of a large-scale hypertextual web search engine. Computer Networks, 30(1–7), 107–117. </w:t>
      </w:r>
    </w:p>
    <w:p w:rsidR="00000000" w:rsidDel="00000000" w:rsidP="00000000" w:rsidRDefault="00000000" w:rsidRPr="00000000" w14:paraId="000002BF">
      <w:pPr>
        <w:spacing w:line="276" w:lineRule="auto"/>
        <w:jc w:val="left"/>
        <w:rPr>
          <w:rFonts w:ascii="Roboto" w:cs="Roboto" w:eastAsia="Roboto" w:hAnsi="Roboto"/>
          <w:i w:val="0"/>
          <w:iCs w:val="0"/>
          <w:color w:val="000000"/>
        </w:rPr>
      </w:pPr>
      <w:r w:rsidDel="00000000" w:rsidR="00000000" w:rsidRPr="00000000">
        <w:rPr>
          <w:i w:val="0"/>
          <w:iCs w:val="0"/>
          <w:color w:val="000000"/>
          <w:rtl w:val="0"/>
        </w:rPr>
        <w:t xml:space="preserve">Chaffey, D. (2019). Digital Marketing Excellence. Routledge.</w:t>
      </w:r>
      <w:r w:rsidDel="00000000" w:rsidR="00000000" w:rsidRPr="00000000">
        <w:rPr>
          <w:rtl w:val="0"/>
        </w:rPr>
      </w:r>
    </w:p>
    <w:p w:rsidR="00000000" w:rsidDel="00000000" w:rsidP="00000000" w:rsidRDefault="00000000" w:rsidRPr="00000000" w14:paraId="000002C0">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Chaffey, D., &amp; Ellis-Chadwick, F. (2022). </w:t>
      </w:r>
      <w:r w:rsidDel="00000000" w:rsidR="00000000" w:rsidRPr="00000000">
        <w:rPr>
          <w:rFonts w:ascii="Roboto" w:cs="Roboto" w:eastAsia="Roboto" w:hAnsi="Roboto"/>
          <w:color w:val="000000"/>
          <w:rtl w:val="0"/>
        </w:rPr>
        <w:t xml:space="preserve">Digital marketing</w:t>
      </w:r>
      <w:r w:rsidDel="00000000" w:rsidR="00000000" w:rsidRPr="00000000">
        <w:rPr>
          <w:rFonts w:ascii="Roboto" w:cs="Roboto" w:eastAsia="Roboto" w:hAnsi="Roboto"/>
          <w:i w:val="0"/>
          <w:iCs w:val="0"/>
          <w:color w:val="000000"/>
          <w:rtl w:val="0"/>
        </w:rPr>
        <w:t xml:space="preserve"> (8th ed.). Pearson Education.</w:t>
      </w:r>
    </w:p>
    <w:p w:rsidR="00000000" w:rsidDel="00000000" w:rsidP="00000000" w:rsidRDefault="00000000" w:rsidRPr="00000000" w14:paraId="000002C1">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Cioppi, M., Salvia, R., &amp; Di Cesare, A. (2019). Digital communication strategies in agri-food firms: The role of online visibility. </w:t>
      </w:r>
      <w:r w:rsidDel="00000000" w:rsidR="00000000" w:rsidRPr="00000000">
        <w:rPr>
          <w:rFonts w:ascii="Roboto" w:cs="Roboto" w:eastAsia="Roboto" w:hAnsi="Roboto"/>
          <w:color w:val="000000"/>
          <w:rtl w:val="0"/>
        </w:rPr>
        <w:t xml:space="preserve">Journal of Research in Interactive Marketing</w:t>
      </w:r>
      <w:r w:rsidDel="00000000" w:rsidR="00000000" w:rsidRPr="00000000">
        <w:rPr>
          <w:rFonts w:ascii="Roboto" w:cs="Roboto" w:eastAsia="Roboto" w:hAnsi="Roboto"/>
          <w:i w:val="0"/>
          <w:iCs w:val="0"/>
          <w:color w:val="000000"/>
          <w:rtl w:val="0"/>
        </w:rPr>
        <w:t xml:space="preserve">, 13(2), 167–187.</w:t>
      </w:r>
    </w:p>
    <w:p w:rsidR="00000000" w:rsidDel="00000000" w:rsidP="00000000" w:rsidRDefault="00000000" w:rsidRPr="00000000" w14:paraId="000002C2">
      <w:pPr>
        <w:spacing w:after="120" w:before="240" w:lineRule="auto"/>
        <w:jc w:val="left"/>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Collis, J., &amp; Hussey, R. (2014). </w:t>
      </w:r>
      <w:r w:rsidDel="00000000" w:rsidR="00000000" w:rsidRPr="00000000">
        <w:rPr>
          <w:rFonts w:ascii="Roboto" w:cs="Roboto" w:eastAsia="Roboto" w:hAnsi="Roboto"/>
          <w:color w:val="000000"/>
          <w:rtl w:val="0"/>
        </w:rPr>
        <w:t xml:space="preserve">Business research: A practical guide for undergraduate and postgraduate students</w:t>
      </w:r>
      <w:r w:rsidDel="00000000" w:rsidR="00000000" w:rsidRPr="00000000">
        <w:rPr>
          <w:rFonts w:ascii="Roboto" w:cs="Roboto" w:eastAsia="Roboto" w:hAnsi="Roboto"/>
          <w:i w:val="0"/>
          <w:iCs w:val="0"/>
          <w:color w:val="000000"/>
          <w:rtl w:val="0"/>
        </w:rPr>
        <w:t xml:space="preserve"> (4th ed.). Palgrave Macmillan. </w:t>
      </w:r>
    </w:p>
    <w:p w:rsidR="00000000" w:rsidDel="00000000" w:rsidP="00000000" w:rsidRDefault="00000000" w:rsidRPr="00000000" w14:paraId="000002C3">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Creswell, J. W. (2002). </w:t>
      </w:r>
      <w:r w:rsidDel="00000000" w:rsidR="00000000" w:rsidRPr="00000000">
        <w:rPr>
          <w:rFonts w:ascii="Roboto" w:cs="Roboto" w:eastAsia="Roboto" w:hAnsi="Roboto"/>
          <w:color w:val="000000"/>
          <w:rtl w:val="0"/>
        </w:rPr>
        <w:t xml:space="preserve">Research design: Qualitative, quantitative, and mixed methods approaches</w:t>
      </w:r>
      <w:r w:rsidDel="00000000" w:rsidR="00000000" w:rsidRPr="00000000">
        <w:rPr>
          <w:rFonts w:ascii="Roboto" w:cs="Roboto" w:eastAsia="Roboto" w:hAnsi="Roboto"/>
          <w:i w:val="0"/>
          <w:iCs w:val="0"/>
          <w:color w:val="000000"/>
          <w:rtl w:val="0"/>
        </w:rPr>
        <w:t xml:space="preserve"> (2nd ed.). Sage Publications.</w:t>
      </w:r>
    </w:p>
    <w:p w:rsidR="00000000" w:rsidDel="00000000" w:rsidP="00000000" w:rsidRDefault="00000000" w:rsidRPr="00000000" w14:paraId="000002C4">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Das, S. (2021). Search engine optimization and marketing: A holistic perspective. </w:t>
      </w:r>
      <w:r w:rsidDel="00000000" w:rsidR="00000000" w:rsidRPr="00000000">
        <w:rPr>
          <w:rFonts w:ascii="Roboto" w:cs="Roboto" w:eastAsia="Roboto" w:hAnsi="Roboto"/>
          <w:color w:val="000000"/>
          <w:rtl w:val="0"/>
        </w:rPr>
        <w:t xml:space="preserve">Journal of Digital Marketing Studies</w:t>
      </w:r>
      <w:r w:rsidDel="00000000" w:rsidR="00000000" w:rsidRPr="00000000">
        <w:rPr>
          <w:rFonts w:ascii="Roboto" w:cs="Roboto" w:eastAsia="Roboto" w:hAnsi="Roboto"/>
          <w:i w:val="0"/>
          <w:iCs w:val="0"/>
          <w:color w:val="000000"/>
          <w:rtl w:val="0"/>
        </w:rPr>
        <w:t xml:space="preserve">, 15(3), 45–67.</w:t>
      </w:r>
    </w:p>
    <w:p w:rsidR="00000000" w:rsidDel="00000000" w:rsidP="00000000" w:rsidRDefault="00000000" w:rsidRPr="00000000" w14:paraId="000002C5">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Davis, F. D. (1989). Perceived usefulness, perceived ease of use, and user acceptance of information technology. MIS Quarterly, 13(3), 319–340.</w:t>
      </w:r>
    </w:p>
    <w:p w:rsidR="00000000" w:rsidDel="00000000" w:rsidP="00000000" w:rsidRDefault="00000000" w:rsidRPr="00000000" w14:paraId="000002C6">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Denzin, N. K., &amp; Lincoln, Y. S. (2018). </w:t>
      </w:r>
      <w:r w:rsidDel="00000000" w:rsidR="00000000" w:rsidRPr="00000000">
        <w:rPr>
          <w:rFonts w:ascii="Roboto" w:cs="Roboto" w:eastAsia="Roboto" w:hAnsi="Roboto"/>
          <w:color w:val="000000"/>
          <w:rtl w:val="0"/>
        </w:rPr>
        <w:t xml:space="preserve">The Sage handbook of qualitative research</w:t>
      </w:r>
      <w:r w:rsidDel="00000000" w:rsidR="00000000" w:rsidRPr="00000000">
        <w:rPr>
          <w:rFonts w:ascii="Roboto" w:cs="Roboto" w:eastAsia="Roboto" w:hAnsi="Roboto"/>
          <w:i w:val="0"/>
          <w:iCs w:val="0"/>
          <w:color w:val="000000"/>
          <w:rtl w:val="0"/>
        </w:rPr>
        <w:t xml:space="preserve"> (5th ed.). Sage Publications.</w:t>
      </w:r>
    </w:p>
    <w:p w:rsidR="00000000" w:rsidDel="00000000" w:rsidP="00000000" w:rsidRDefault="00000000" w:rsidRPr="00000000" w14:paraId="000002C7">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Enge, E., Spencer, S., Stricchiola, J., &amp; Fishkin, R. (2015). The art of SEO (3rd ed.). O'Reilly Media.</w:t>
      </w:r>
    </w:p>
    <w:p w:rsidR="00000000" w:rsidDel="00000000" w:rsidP="00000000" w:rsidRDefault="00000000" w:rsidRPr="00000000" w14:paraId="000002C8">
      <w:pPr>
        <w:spacing w:line="276" w:lineRule="auto"/>
        <w:jc w:val="left"/>
        <w:rPr>
          <w:i w:val="0"/>
          <w:iCs w:val="0"/>
          <w:color w:val="000000"/>
        </w:rPr>
      </w:pPr>
      <w:r w:rsidDel="00000000" w:rsidR="00000000" w:rsidRPr="00000000">
        <w:rPr>
          <w:i w:val="0"/>
          <w:iCs w:val="0"/>
          <w:color w:val="000000"/>
          <w:rtl w:val="0"/>
        </w:rPr>
        <w:t xml:space="preserve">Enge (2020) and Fishkin (2021) industry research reports on zero-click search.</w:t>
      </w:r>
    </w:p>
    <w:p w:rsidR="00000000" w:rsidDel="00000000" w:rsidP="00000000" w:rsidRDefault="00000000" w:rsidRPr="00000000" w14:paraId="000002C9">
      <w:pPr>
        <w:spacing w:line="276" w:lineRule="auto"/>
        <w:jc w:val="left"/>
        <w:rPr>
          <w:i w:val="0"/>
          <w:iCs w:val="0"/>
          <w:color w:val="000000"/>
        </w:rPr>
      </w:pPr>
      <w:r w:rsidDel="00000000" w:rsidR="00000000" w:rsidRPr="00000000">
        <w:rPr>
          <w:rtl w:val="0"/>
        </w:rPr>
      </w:r>
    </w:p>
    <w:p w:rsidR="00000000" w:rsidDel="00000000" w:rsidP="00000000" w:rsidRDefault="00000000" w:rsidRPr="00000000" w14:paraId="000002CA">
      <w:pPr>
        <w:spacing w:line="276" w:lineRule="auto"/>
        <w:jc w:val="left"/>
        <w:rPr>
          <w:i w:val="0"/>
          <w:iCs w:val="0"/>
          <w:color w:val="000000"/>
        </w:rPr>
      </w:pPr>
      <w:r w:rsidDel="00000000" w:rsidR="00000000" w:rsidRPr="00000000">
        <w:rPr>
          <w:i w:val="0"/>
          <w:iCs w:val="0"/>
          <w:color w:val="000000"/>
          <w:rtl w:val="0"/>
        </w:rPr>
        <w:t xml:space="preserve">Garrett, J. J. (2011). The Elements of User Experience.</w:t>
      </w:r>
    </w:p>
    <w:p w:rsidR="00000000" w:rsidDel="00000000" w:rsidP="00000000" w:rsidRDefault="00000000" w:rsidRPr="00000000" w14:paraId="000002CB">
      <w:pPr>
        <w:spacing w:line="276" w:lineRule="auto"/>
        <w:jc w:val="left"/>
        <w:rPr>
          <w:i w:val="0"/>
          <w:iCs w:val="0"/>
          <w:color w:val="000000"/>
        </w:rPr>
      </w:pPr>
      <w:r w:rsidDel="00000000" w:rsidR="00000000" w:rsidRPr="00000000">
        <w:rPr>
          <w:rtl w:val="0"/>
        </w:rPr>
      </w:r>
    </w:p>
    <w:p w:rsidR="00000000" w:rsidDel="00000000" w:rsidP="00000000" w:rsidRDefault="00000000" w:rsidRPr="00000000" w14:paraId="000002CC">
      <w:pPr>
        <w:spacing w:line="276" w:lineRule="auto"/>
        <w:jc w:val="left"/>
        <w:rPr>
          <w:rFonts w:ascii="Roboto" w:cs="Roboto" w:eastAsia="Roboto" w:hAnsi="Roboto"/>
          <w:i w:val="0"/>
          <w:iCs w:val="0"/>
          <w:color w:val="000000"/>
          <w:sz w:val="26"/>
          <w:szCs w:val="26"/>
        </w:rPr>
      </w:pPr>
      <w:r w:rsidDel="00000000" w:rsidR="00000000" w:rsidRPr="00000000">
        <w:rPr>
          <w:i w:val="0"/>
          <w:iCs w:val="0"/>
          <w:color w:val="000000"/>
          <w:rtl w:val="0"/>
        </w:rPr>
        <w:t xml:space="preserve">Giomelakis, D., &amp; Veglis, A. (2016). Search engine optimization in digital journalism: Semantic search. Digital Journalism.</w:t>
      </w:r>
      <w:r w:rsidDel="00000000" w:rsidR="00000000" w:rsidRPr="00000000">
        <w:rPr>
          <w:rtl w:val="0"/>
        </w:rPr>
      </w:r>
    </w:p>
    <w:p w:rsidR="00000000" w:rsidDel="00000000" w:rsidP="00000000" w:rsidRDefault="00000000" w:rsidRPr="00000000" w14:paraId="000002CD">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Glaser, B. G., &amp; Strauss, A. L. (1967). </w:t>
      </w:r>
      <w:r w:rsidDel="00000000" w:rsidR="00000000" w:rsidRPr="00000000">
        <w:rPr>
          <w:rFonts w:ascii="Roboto" w:cs="Roboto" w:eastAsia="Roboto" w:hAnsi="Roboto"/>
          <w:color w:val="000000"/>
          <w:rtl w:val="0"/>
        </w:rPr>
        <w:t xml:space="preserve">The discovery of grounded theory: Strategies for qualitative research</w:t>
      </w:r>
      <w:r w:rsidDel="00000000" w:rsidR="00000000" w:rsidRPr="00000000">
        <w:rPr>
          <w:rFonts w:ascii="Roboto" w:cs="Roboto" w:eastAsia="Roboto" w:hAnsi="Roboto"/>
          <w:i w:val="0"/>
          <w:iCs w:val="0"/>
          <w:color w:val="000000"/>
          <w:rtl w:val="0"/>
        </w:rPr>
        <w:t xml:space="preserve">. Aldine Publishing Company.</w:t>
      </w:r>
    </w:p>
    <w:p w:rsidR="00000000" w:rsidDel="00000000" w:rsidP="00000000" w:rsidRDefault="00000000" w:rsidRPr="00000000" w14:paraId="000002CE">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Guba, E. G., &amp; Lincoln, Y. S. (1994). Competing paradigms in qualitative research. </w:t>
      </w:r>
    </w:p>
    <w:p w:rsidR="00000000" w:rsidDel="00000000" w:rsidP="00000000" w:rsidRDefault="00000000" w:rsidRPr="00000000" w14:paraId="000002CF">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N. K. Denzin &amp; Y. S. Lincoln (Eds.), </w:t>
      </w:r>
      <w:r w:rsidDel="00000000" w:rsidR="00000000" w:rsidRPr="00000000">
        <w:rPr>
          <w:rFonts w:ascii="Roboto" w:cs="Roboto" w:eastAsia="Roboto" w:hAnsi="Roboto"/>
          <w:color w:val="000000"/>
          <w:rtl w:val="0"/>
        </w:rPr>
        <w:t xml:space="preserve">Handbook of qualitative research</w:t>
      </w:r>
      <w:r w:rsidDel="00000000" w:rsidR="00000000" w:rsidRPr="00000000">
        <w:rPr>
          <w:rFonts w:ascii="Roboto" w:cs="Roboto" w:eastAsia="Roboto" w:hAnsi="Roboto"/>
          <w:i w:val="0"/>
          <w:iCs w:val="0"/>
          <w:color w:val="000000"/>
          <w:rtl w:val="0"/>
        </w:rPr>
        <w:t xml:space="preserve"> (pp. 105–117). Sage Publications.</w:t>
      </w:r>
    </w:p>
    <w:p w:rsidR="00000000" w:rsidDel="00000000" w:rsidP="00000000" w:rsidRDefault="00000000" w:rsidRPr="00000000" w14:paraId="000002D0">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Hassan, S. (2020). Digital micro-moments: Understanding consumer intent in online search. </w:t>
      </w:r>
      <w:r w:rsidDel="00000000" w:rsidR="00000000" w:rsidRPr="00000000">
        <w:rPr>
          <w:rFonts w:ascii="Roboto" w:cs="Roboto" w:eastAsia="Roboto" w:hAnsi="Roboto"/>
          <w:color w:val="000000"/>
          <w:rtl w:val="0"/>
        </w:rPr>
        <w:t xml:space="preserve">Journal of Interactive Marketing</w:t>
      </w:r>
      <w:r w:rsidDel="00000000" w:rsidR="00000000" w:rsidRPr="00000000">
        <w:rPr>
          <w:rFonts w:ascii="Roboto" w:cs="Roboto" w:eastAsia="Roboto" w:hAnsi="Roboto"/>
          <w:i w:val="0"/>
          <w:iCs w:val="0"/>
          <w:color w:val="000000"/>
          <w:rtl w:val="0"/>
        </w:rPr>
        <w:t xml:space="preserve">, 50, 67–82.</w:t>
      </w:r>
    </w:p>
    <w:p w:rsidR="00000000" w:rsidDel="00000000" w:rsidP="00000000" w:rsidRDefault="00000000" w:rsidRPr="00000000" w14:paraId="000002D1">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Hummel, J., &amp; Braun, T. (2019). Semantic search and structured content optimisation. </w:t>
      </w:r>
      <w:r w:rsidDel="00000000" w:rsidR="00000000" w:rsidRPr="00000000">
        <w:rPr>
          <w:rFonts w:ascii="Roboto" w:cs="Roboto" w:eastAsia="Roboto" w:hAnsi="Roboto"/>
          <w:color w:val="000000"/>
          <w:rtl w:val="0"/>
        </w:rPr>
        <w:t xml:space="preserve">Journal of Digital Information Systems</w:t>
      </w:r>
      <w:r w:rsidDel="00000000" w:rsidR="00000000" w:rsidRPr="00000000">
        <w:rPr>
          <w:rFonts w:ascii="Roboto" w:cs="Roboto" w:eastAsia="Roboto" w:hAnsi="Roboto"/>
          <w:i w:val="0"/>
          <w:iCs w:val="0"/>
          <w:color w:val="000000"/>
          <w:rtl w:val="0"/>
        </w:rPr>
        <w:t xml:space="preserve">, 7(3), 44–59.</w:t>
      </w:r>
    </w:p>
    <w:p w:rsidR="00000000" w:rsidDel="00000000" w:rsidP="00000000" w:rsidRDefault="00000000" w:rsidRPr="00000000" w14:paraId="000002D2">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Israel, M., &amp; Hay, I. (2006). </w:t>
      </w:r>
      <w:r w:rsidDel="00000000" w:rsidR="00000000" w:rsidRPr="00000000">
        <w:rPr>
          <w:rFonts w:ascii="Roboto" w:cs="Roboto" w:eastAsia="Roboto" w:hAnsi="Roboto"/>
          <w:color w:val="000000"/>
          <w:rtl w:val="0"/>
        </w:rPr>
        <w:t xml:space="preserve">Research ethics for social scientists: Between ethical conduct and regulatory compliance</w:t>
      </w:r>
      <w:r w:rsidDel="00000000" w:rsidR="00000000" w:rsidRPr="00000000">
        <w:rPr>
          <w:rFonts w:ascii="Roboto" w:cs="Roboto" w:eastAsia="Roboto" w:hAnsi="Roboto"/>
          <w:i w:val="0"/>
          <w:iCs w:val="0"/>
          <w:color w:val="000000"/>
          <w:rtl w:val="0"/>
        </w:rPr>
        <w:t xml:space="preserve">. Sage Publications.</w:t>
      </w:r>
    </w:p>
    <w:p w:rsidR="00000000" w:rsidDel="00000000" w:rsidP="00000000" w:rsidRDefault="00000000" w:rsidRPr="00000000" w14:paraId="000002D3">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John, G. (2012). </w:t>
      </w:r>
      <w:r w:rsidDel="00000000" w:rsidR="00000000" w:rsidRPr="00000000">
        <w:rPr>
          <w:rFonts w:ascii="Roboto" w:cs="Roboto" w:eastAsia="Roboto" w:hAnsi="Roboto"/>
          <w:color w:val="000000"/>
          <w:rtl w:val="0"/>
        </w:rPr>
        <w:t xml:space="preserve">Sage secondary data analysis</w:t>
      </w:r>
      <w:r w:rsidDel="00000000" w:rsidR="00000000" w:rsidRPr="00000000">
        <w:rPr>
          <w:rFonts w:ascii="Roboto" w:cs="Roboto" w:eastAsia="Roboto" w:hAnsi="Roboto"/>
          <w:i w:val="0"/>
          <w:iCs w:val="0"/>
          <w:color w:val="000000"/>
          <w:rtl w:val="0"/>
        </w:rPr>
        <w:t xml:space="preserve">. Sage Publications.</w:t>
      </w:r>
    </w:p>
    <w:p w:rsidR="00000000" w:rsidDel="00000000" w:rsidP="00000000" w:rsidRDefault="00000000" w:rsidRPr="00000000" w14:paraId="000002D4">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Johnston, M. P. (2014). Secondary data analysis: A method of which the time has come. </w:t>
      </w:r>
      <w:r w:rsidDel="00000000" w:rsidR="00000000" w:rsidRPr="00000000">
        <w:rPr>
          <w:rFonts w:ascii="Roboto" w:cs="Roboto" w:eastAsia="Roboto" w:hAnsi="Roboto"/>
          <w:color w:val="000000"/>
          <w:rtl w:val="0"/>
        </w:rPr>
        <w:t xml:space="preserve">Qualitative and Quantitative Methods in Libraries, 3</w:t>
      </w:r>
      <w:r w:rsidDel="00000000" w:rsidR="00000000" w:rsidRPr="00000000">
        <w:rPr>
          <w:rFonts w:ascii="Roboto" w:cs="Roboto" w:eastAsia="Roboto" w:hAnsi="Roboto"/>
          <w:i w:val="0"/>
          <w:iCs w:val="0"/>
          <w:color w:val="000000"/>
          <w:rtl w:val="0"/>
        </w:rPr>
        <w:t xml:space="preserve">(3), 619–626.</w:t>
      </w:r>
    </w:p>
    <w:p w:rsidR="00000000" w:rsidDel="00000000" w:rsidP="00000000" w:rsidRDefault="00000000" w:rsidRPr="00000000" w14:paraId="000002D5">
      <w:pPr>
        <w:spacing w:line="276" w:lineRule="auto"/>
        <w:jc w:val="left"/>
        <w:rPr>
          <w:i w:val="0"/>
          <w:iCs w:val="0"/>
          <w:color w:val="000000"/>
        </w:rPr>
      </w:pPr>
      <w:r w:rsidDel="00000000" w:rsidR="00000000" w:rsidRPr="00000000">
        <w:rPr>
          <w:i w:val="0"/>
          <w:iCs w:val="0"/>
          <w:color w:val="000000"/>
          <w:rtl w:val="0"/>
        </w:rPr>
        <w:t xml:space="preserve">Kingsnorth, S. (2022). Digital Marketing Strategy: An Integrated Approach. Kogan Page.</w:t>
      </w:r>
    </w:p>
    <w:p w:rsidR="00000000" w:rsidDel="00000000" w:rsidP="00000000" w:rsidRDefault="00000000" w:rsidRPr="00000000" w14:paraId="000002D6">
      <w:pPr>
        <w:spacing w:line="276" w:lineRule="auto"/>
        <w:jc w:val="left"/>
        <w:rPr>
          <w:i w:val="0"/>
          <w:iCs w:val="0"/>
          <w:color w:val="000000"/>
        </w:rPr>
      </w:pPr>
      <w:r w:rsidDel="00000000" w:rsidR="00000000" w:rsidRPr="00000000">
        <w:rPr>
          <w:rtl w:val="0"/>
        </w:rPr>
      </w:r>
    </w:p>
    <w:p w:rsidR="00000000" w:rsidDel="00000000" w:rsidP="00000000" w:rsidRDefault="00000000" w:rsidRPr="00000000" w14:paraId="000002D7">
      <w:pPr>
        <w:spacing w:line="276" w:lineRule="auto"/>
        <w:jc w:val="left"/>
        <w:rPr>
          <w:i w:val="0"/>
          <w:iCs w:val="0"/>
          <w:color w:val="000000"/>
        </w:rPr>
      </w:pPr>
      <w:r w:rsidDel="00000000" w:rsidR="00000000" w:rsidRPr="00000000">
        <w:rPr>
          <w:i w:val="0"/>
          <w:iCs w:val="0"/>
          <w:color w:val="000000"/>
          <w:rtl w:val="0"/>
        </w:rPr>
        <w:t xml:space="preserve">Wirtz, J. (2021). Services Marketing. (Customer Journey + UX).</w:t>
      </w:r>
    </w:p>
    <w:p w:rsidR="00000000" w:rsidDel="00000000" w:rsidP="00000000" w:rsidRDefault="00000000" w:rsidRPr="00000000" w14:paraId="000002D8">
      <w:pPr>
        <w:spacing w:line="276" w:lineRule="auto"/>
        <w:jc w:val="left"/>
        <w:rPr>
          <w:i w:val="0"/>
          <w:iCs w:val="0"/>
          <w:color w:val="000000"/>
        </w:rPr>
      </w:pPr>
      <w:r w:rsidDel="00000000" w:rsidR="00000000" w:rsidRPr="00000000">
        <w:rPr>
          <w:rtl w:val="0"/>
        </w:rPr>
      </w:r>
    </w:p>
    <w:p w:rsidR="00000000" w:rsidDel="00000000" w:rsidP="00000000" w:rsidRDefault="00000000" w:rsidRPr="00000000" w14:paraId="000002D9">
      <w:pPr>
        <w:spacing w:line="276" w:lineRule="auto"/>
        <w:jc w:val="left"/>
        <w:rPr>
          <w:i w:val="0"/>
          <w:iCs w:val="0"/>
          <w:color w:val="000000"/>
        </w:rPr>
      </w:pPr>
      <w:r w:rsidDel="00000000" w:rsidR="00000000" w:rsidRPr="00000000">
        <w:rPr>
          <w:rFonts w:ascii="Roboto" w:cs="Roboto" w:eastAsia="Roboto" w:hAnsi="Roboto"/>
          <w:i w:val="0"/>
          <w:iCs w:val="0"/>
          <w:color w:val="000000"/>
          <w:highlight w:val="white"/>
          <w:rtl w:val="0"/>
        </w:rPr>
        <w:t xml:space="preserve">Klerkx, L., Jakku, E., &amp; Labarthe, P. (2019). A review of digital agriculture research. Agricultural Systems.</w:t>
      </w:r>
      <w:r w:rsidDel="00000000" w:rsidR="00000000" w:rsidRPr="00000000">
        <w:rPr>
          <w:rtl w:val="0"/>
        </w:rPr>
      </w:r>
    </w:p>
    <w:p w:rsidR="00000000" w:rsidDel="00000000" w:rsidP="00000000" w:rsidRDefault="00000000" w:rsidRPr="00000000" w14:paraId="000002DA">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Kotler, P., Kartajaya, H., &amp; Setiawan, I. (2021). Marketing 5.0: Technology for humanity. Wiley.</w:t>
      </w:r>
    </w:p>
    <w:p w:rsidR="00000000" w:rsidDel="00000000" w:rsidP="00000000" w:rsidRDefault="00000000" w:rsidRPr="00000000" w14:paraId="000002DB">
      <w:pPr>
        <w:spacing w:line="276" w:lineRule="auto"/>
        <w:jc w:val="left"/>
        <w:rPr>
          <w:i w:val="0"/>
          <w:iCs w:val="0"/>
          <w:color w:val="000000"/>
        </w:rPr>
      </w:pPr>
      <w:r w:rsidDel="00000000" w:rsidR="00000000" w:rsidRPr="00000000">
        <w:rPr>
          <w:i w:val="0"/>
          <w:iCs w:val="0"/>
          <w:color w:val="000000"/>
          <w:rtl w:val="0"/>
        </w:rPr>
        <w:t xml:space="preserve">Kritzinger, W., &amp; Weideman, M. (2013). A proposed methodology for improving search engine optimisation. The Electronic Journal of Information Systems Evaluation.</w:t>
      </w:r>
    </w:p>
    <w:p w:rsidR="00000000" w:rsidDel="00000000" w:rsidP="00000000" w:rsidRDefault="00000000" w:rsidRPr="00000000" w14:paraId="000002DC">
      <w:pPr>
        <w:spacing w:line="276" w:lineRule="auto"/>
        <w:jc w:val="left"/>
        <w:rPr>
          <w:i w:val="0"/>
          <w:iCs w:val="0"/>
          <w:color w:val="000000"/>
        </w:rPr>
      </w:pPr>
      <w:r w:rsidDel="00000000" w:rsidR="00000000" w:rsidRPr="00000000">
        <w:rPr>
          <w:rtl w:val="0"/>
        </w:rPr>
      </w:r>
    </w:p>
    <w:p w:rsidR="00000000" w:rsidDel="00000000" w:rsidP="00000000" w:rsidRDefault="00000000" w:rsidRPr="00000000" w14:paraId="000002DD">
      <w:pPr>
        <w:spacing w:line="276" w:lineRule="auto"/>
        <w:jc w:val="left"/>
        <w:rPr>
          <w:i w:val="0"/>
          <w:iCs w:val="0"/>
          <w:color w:val="000000"/>
          <w:sz w:val="26"/>
          <w:szCs w:val="26"/>
        </w:rPr>
      </w:pPr>
      <w:r w:rsidDel="00000000" w:rsidR="00000000" w:rsidRPr="00000000">
        <w:rPr>
          <w:i w:val="0"/>
          <w:iCs w:val="0"/>
          <w:color w:val="000000"/>
          <w:rtl w:val="0"/>
        </w:rPr>
        <w:t xml:space="preserve">Ledford, J. L. (2015). Search Engine Optimization Bible. Wiley.</w:t>
      </w:r>
      <w:r w:rsidDel="00000000" w:rsidR="00000000" w:rsidRPr="00000000">
        <w:rPr>
          <w:rtl w:val="0"/>
        </w:rPr>
      </w:r>
    </w:p>
    <w:p w:rsidR="00000000" w:rsidDel="00000000" w:rsidP="00000000" w:rsidRDefault="00000000" w:rsidRPr="00000000" w14:paraId="000002DE">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Lincoln, Y. S., &amp; Guba, E. G. (1985). </w:t>
      </w:r>
      <w:r w:rsidDel="00000000" w:rsidR="00000000" w:rsidRPr="00000000">
        <w:rPr>
          <w:rFonts w:ascii="Roboto" w:cs="Roboto" w:eastAsia="Roboto" w:hAnsi="Roboto"/>
          <w:color w:val="000000"/>
          <w:rtl w:val="0"/>
        </w:rPr>
        <w:t xml:space="preserve">Naturalistic inquiry</w:t>
      </w:r>
      <w:r w:rsidDel="00000000" w:rsidR="00000000" w:rsidRPr="00000000">
        <w:rPr>
          <w:rFonts w:ascii="Roboto" w:cs="Roboto" w:eastAsia="Roboto" w:hAnsi="Roboto"/>
          <w:i w:val="0"/>
          <w:iCs w:val="0"/>
          <w:color w:val="000000"/>
          <w:rtl w:val="0"/>
        </w:rPr>
        <w:t xml:space="preserve">. Sage Publications.</w:t>
      </w:r>
    </w:p>
    <w:p w:rsidR="00000000" w:rsidDel="00000000" w:rsidP="00000000" w:rsidRDefault="00000000" w:rsidRPr="00000000" w14:paraId="000002DF">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López-Nicolás, C., &amp; Meroño-Cerdán, A. L. (2011). Strategic knowledge management, innovation and performance. International Journal of Information Management, 31(6), 502–509.</w:t>
      </w:r>
    </w:p>
    <w:p w:rsidR="00000000" w:rsidDel="00000000" w:rsidP="00000000" w:rsidRDefault="00000000" w:rsidRPr="00000000" w14:paraId="000002E0">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Mancini, P., Marchini, A., &amp; Simeone, M. (2017). Which are the sustainable attributes affecting the real consumption behaviour? Consumer understanding and choices. </w:t>
      </w:r>
      <w:r w:rsidDel="00000000" w:rsidR="00000000" w:rsidRPr="00000000">
        <w:rPr>
          <w:rFonts w:ascii="Roboto" w:cs="Roboto" w:eastAsia="Roboto" w:hAnsi="Roboto"/>
          <w:color w:val="000000"/>
          <w:rtl w:val="0"/>
        </w:rPr>
        <w:t xml:space="preserve">British Food Journal, 119</w:t>
      </w:r>
      <w:r w:rsidDel="00000000" w:rsidR="00000000" w:rsidRPr="00000000">
        <w:rPr>
          <w:rFonts w:ascii="Roboto" w:cs="Roboto" w:eastAsia="Roboto" w:hAnsi="Roboto"/>
          <w:i w:val="0"/>
          <w:iCs w:val="0"/>
          <w:color w:val="000000"/>
          <w:rtl w:val="0"/>
        </w:rPr>
        <w:t xml:space="preserve">(8), 1839–1853.</w:t>
      </w:r>
    </w:p>
    <w:p w:rsidR="00000000" w:rsidDel="00000000" w:rsidP="00000000" w:rsidRDefault="00000000" w:rsidRPr="00000000" w14:paraId="000002E1">
      <w:pPr>
        <w:spacing w:line="276" w:lineRule="auto"/>
        <w:jc w:val="left"/>
        <w:rPr>
          <w:rFonts w:ascii="Roboto" w:cs="Roboto" w:eastAsia="Roboto" w:hAnsi="Roboto"/>
          <w:i w:val="0"/>
          <w:iCs w:val="0"/>
          <w:color w:val="000000"/>
        </w:rPr>
      </w:pPr>
      <w:r w:rsidDel="00000000" w:rsidR="00000000" w:rsidRPr="00000000">
        <w:rPr>
          <w:rFonts w:ascii="Roboto" w:cs="Roboto" w:eastAsia="Roboto" w:hAnsi="Roboto"/>
          <w:i w:val="0"/>
          <w:iCs w:val="0"/>
          <w:color w:val="000000"/>
          <w:highlight w:val="white"/>
          <w:rtl w:val="0"/>
        </w:rPr>
        <w:t xml:space="preserve">Matarazzo, M., et al. (2021). Digital transformation and SMEs: A capability perspective. Industrial Marketing Management.</w:t>
      </w:r>
      <w:r w:rsidDel="00000000" w:rsidR="00000000" w:rsidRPr="00000000">
        <w:rPr>
          <w:rtl w:val="0"/>
        </w:rPr>
      </w:r>
    </w:p>
    <w:p w:rsidR="00000000" w:rsidDel="00000000" w:rsidP="00000000" w:rsidRDefault="00000000" w:rsidRPr="00000000" w14:paraId="000002E2">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Mogalakwe, M. (2006). The use of documentary research methods in social research. </w:t>
      </w:r>
      <w:r w:rsidDel="00000000" w:rsidR="00000000" w:rsidRPr="00000000">
        <w:rPr>
          <w:rFonts w:ascii="Roboto" w:cs="Roboto" w:eastAsia="Roboto" w:hAnsi="Roboto"/>
          <w:color w:val="000000"/>
          <w:rtl w:val="0"/>
        </w:rPr>
        <w:t xml:space="preserve">African Sociological Review, 10</w:t>
      </w:r>
      <w:r w:rsidDel="00000000" w:rsidR="00000000" w:rsidRPr="00000000">
        <w:rPr>
          <w:rFonts w:ascii="Roboto" w:cs="Roboto" w:eastAsia="Roboto" w:hAnsi="Roboto"/>
          <w:i w:val="0"/>
          <w:iCs w:val="0"/>
          <w:color w:val="000000"/>
          <w:rtl w:val="0"/>
        </w:rPr>
        <w:t xml:space="preserve">(1), 221–230.</w:t>
      </w:r>
    </w:p>
    <w:p w:rsidR="00000000" w:rsidDel="00000000" w:rsidP="00000000" w:rsidRDefault="00000000" w:rsidRPr="00000000" w14:paraId="000002E3">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Palinkas, L. A., Horwitz, S. M., Green, C. A., Wisdom, J. P., Duan, N., &amp; Hoagwood, K. (2015). Purposeful sampling for qualitative data collection and analysis in implementation research. </w:t>
      </w:r>
      <w:r w:rsidDel="00000000" w:rsidR="00000000" w:rsidRPr="00000000">
        <w:rPr>
          <w:rFonts w:ascii="Roboto" w:cs="Roboto" w:eastAsia="Roboto" w:hAnsi="Roboto"/>
          <w:color w:val="000000"/>
          <w:rtl w:val="0"/>
        </w:rPr>
        <w:t xml:space="preserve">Administration and Policy in Mental Health and Mental Health Services Research, 42</w:t>
      </w:r>
      <w:r w:rsidDel="00000000" w:rsidR="00000000" w:rsidRPr="00000000">
        <w:rPr>
          <w:rFonts w:ascii="Roboto" w:cs="Roboto" w:eastAsia="Roboto" w:hAnsi="Roboto"/>
          <w:i w:val="0"/>
          <w:iCs w:val="0"/>
          <w:color w:val="000000"/>
          <w:rtl w:val="0"/>
        </w:rPr>
        <w:t xml:space="preserve">(5), 533–544.</w:t>
      </w:r>
    </w:p>
    <w:p w:rsidR="00000000" w:rsidDel="00000000" w:rsidP="00000000" w:rsidRDefault="00000000" w:rsidRPr="00000000" w14:paraId="000002E4">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Pohjanen, R. (2019). </w:t>
      </w:r>
      <w:r w:rsidDel="00000000" w:rsidR="00000000" w:rsidRPr="00000000">
        <w:rPr>
          <w:rFonts w:ascii="Roboto" w:cs="Roboto" w:eastAsia="Roboto" w:hAnsi="Roboto"/>
          <w:color w:val="000000"/>
          <w:rtl w:val="0"/>
        </w:rPr>
        <w:t xml:space="preserve">The benefits of search engine optimization in Google for businesses</w:t>
      </w:r>
      <w:r w:rsidDel="00000000" w:rsidR="00000000" w:rsidRPr="00000000">
        <w:rPr>
          <w:rFonts w:ascii="Roboto" w:cs="Roboto" w:eastAsia="Roboto" w:hAnsi="Roboto"/>
          <w:i w:val="0"/>
          <w:iCs w:val="0"/>
          <w:color w:val="000000"/>
          <w:rtl w:val="0"/>
        </w:rPr>
        <w:t xml:space="preserve">. Oulu University of Applied Sciences.</w:t>
      </w:r>
    </w:p>
    <w:p w:rsidR="00000000" w:rsidDel="00000000" w:rsidP="00000000" w:rsidRDefault="00000000" w:rsidRPr="00000000" w14:paraId="000002E5">
      <w:pPr>
        <w:spacing w:line="276" w:lineRule="auto"/>
        <w:jc w:val="left"/>
        <w:rPr>
          <w:rFonts w:ascii="Roboto" w:cs="Roboto" w:eastAsia="Roboto" w:hAnsi="Roboto"/>
          <w:i w:val="0"/>
          <w:iCs w:val="0"/>
          <w:color w:val="000000"/>
        </w:rPr>
      </w:pPr>
      <w:r w:rsidDel="00000000" w:rsidR="00000000" w:rsidRPr="00000000">
        <w:rPr>
          <w:rFonts w:ascii="Roboto" w:cs="Roboto" w:eastAsia="Roboto" w:hAnsi="Roboto"/>
          <w:i w:val="0"/>
          <w:iCs w:val="0"/>
          <w:color w:val="000000"/>
          <w:highlight w:val="white"/>
          <w:rtl w:val="0"/>
        </w:rPr>
        <w:t xml:space="preserve">Rogers, E. (2003). Diffusion of Innovations.</w:t>
      </w:r>
      <w:r w:rsidDel="00000000" w:rsidR="00000000" w:rsidRPr="00000000">
        <w:rPr>
          <w:rtl w:val="0"/>
        </w:rPr>
      </w:r>
    </w:p>
    <w:p w:rsidR="00000000" w:rsidDel="00000000" w:rsidP="00000000" w:rsidRDefault="00000000" w:rsidRPr="00000000" w14:paraId="000002E6">
      <w:pPr>
        <w:spacing w:line="276" w:lineRule="auto"/>
        <w:jc w:val="left"/>
        <w:rPr>
          <w:rFonts w:ascii="Roboto" w:cs="Roboto" w:eastAsia="Roboto" w:hAnsi="Roboto"/>
          <w:i w:val="0"/>
          <w:iCs w:val="0"/>
          <w:color w:val="000000"/>
        </w:rPr>
      </w:pPr>
      <w:r w:rsidDel="00000000" w:rsidR="00000000" w:rsidRPr="00000000">
        <w:rPr>
          <w:i w:val="0"/>
          <w:iCs w:val="0"/>
          <w:color w:val="000000"/>
          <w:rtl w:val="0"/>
        </w:rPr>
        <w:t xml:space="preserve">Rogers, R. (2020). Dealing with bias in search engine results: Zero-click environments. Journal of Digital Social Research.</w:t>
      </w:r>
      <w:r w:rsidDel="00000000" w:rsidR="00000000" w:rsidRPr="00000000">
        <w:rPr>
          <w:rtl w:val="0"/>
        </w:rPr>
      </w:r>
    </w:p>
    <w:p w:rsidR="00000000" w:rsidDel="00000000" w:rsidP="00000000" w:rsidRDefault="00000000" w:rsidRPr="00000000" w14:paraId="000002E7">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Rotz, S., Fraser, E. D., &amp; Martin, R. C. (2019). Situating vertical farming within smart-food systems. </w:t>
      </w:r>
      <w:r w:rsidDel="00000000" w:rsidR="00000000" w:rsidRPr="00000000">
        <w:rPr>
          <w:rFonts w:ascii="Roboto" w:cs="Roboto" w:eastAsia="Roboto" w:hAnsi="Roboto"/>
          <w:color w:val="000000"/>
          <w:rtl w:val="0"/>
        </w:rPr>
        <w:t xml:space="preserve">Discover Sustainability</w:t>
      </w:r>
      <w:r w:rsidDel="00000000" w:rsidR="00000000" w:rsidRPr="00000000">
        <w:rPr>
          <w:rFonts w:ascii="Roboto" w:cs="Roboto" w:eastAsia="Roboto" w:hAnsi="Roboto"/>
          <w:i w:val="0"/>
          <w:iCs w:val="0"/>
          <w:color w:val="000000"/>
          <w:rtl w:val="0"/>
        </w:rPr>
        <w:t xml:space="preserve">, 3(1), 1–10.</w:t>
      </w:r>
    </w:p>
    <w:p w:rsidR="00000000" w:rsidDel="00000000" w:rsidP="00000000" w:rsidRDefault="00000000" w:rsidRPr="00000000" w14:paraId="000002E8">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Saunders, M., Lewis, P., &amp; Thornhill, A. (2023). </w:t>
      </w:r>
      <w:r w:rsidDel="00000000" w:rsidR="00000000" w:rsidRPr="00000000">
        <w:rPr>
          <w:rFonts w:ascii="Roboto" w:cs="Roboto" w:eastAsia="Roboto" w:hAnsi="Roboto"/>
          <w:color w:val="000000"/>
          <w:rtl w:val="0"/>
        </w:rPr>
        <w:t xml:space="preserve">Research methods for business students</w:t>
      </w:r>
      <w:r w:rsidDel="00000000" w:rsidR="00000000" w:rsidRPr="00000000">
        <w:rPr>
          <w:rFonts w:ascii="Roboto" w:cs="Roboto" w:eastAsia="Roboto" w:hAnsi="Roboto"/>
          <w:i w:val="0"/>
          <w:iCs w:val="0"/>
          <w:color w:val="000000"/>
          <w:rtl w:val="0"/>
        </w:rPr>
        <w:t xml:space="preserve"> (9th ed.). Pearson Education.</w:t>
      </w:r>
    </w:p>
    <w:p w:rsidR="00000000" w:rsidDel="00000000" w:rsidP="00000000" w:rsidRDefault="00000000" w:rsidRPr="00000000" w14:paraId="000002E9">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Shahzad, A., Hassan, M. F., Arshad, A., Sand, S., &amp; Riaz, Z. (2020). The new trend for search engine optimization: Tools and techniques. </w:t>
      </w:r>
      <w:r w:rsidDel="00000000" w:rsidR="00000000" w:rsidRPr="00000000">
        <w:rPr>
          <w:rFonts w:ascii="Roboto" w:cs="Roboto" w:eastAsia="Roboto" w:hAnsi="Roboto"/>
          <w:color w:val="000000"/>
          <w:rtl w:val="0"/>
        </w:rPr>
        <w:t xml:space="preserve">International Journal of Advanced Computer Science and Applications</w:t>
      </w:r>
      <w:r w:rsidDel="00000000" w:rsidR="00000000" w:rsidRPr="00000000">
        <w:rPr>
          <w:rFonts w:ascii="Roboto" w:cs="Roboto" w:eastAsia="Roboto" w:hAnsi="Roboto"/>
          <w:i w:val="0"/>
          <w:iCs w:val="0"/>
          <w:color w:val="000000"/>
          <w:rtl w:val="0"/>
        </w:rPr>
        <w:t xml:space="preserve">, 11(5), 167–177.</w:t>
      </w:r>
    </w:p>
    <w:p w:rsidR="00000000" w:rsidDel="00000000" w:rsidP="00000000" w:rsidRDefault="00000000" w:rsidRPr="00000000" w14:paraId="000002EA">
      <w:pPr>
        <w:spacing w:line="276" w:lineRule="auto"/>
        <w:jc w:val="left"/>
        <w:rPr>
          <w:i w:val="0"/>
          <w:iCs w:val="0"/>
          <w:color w:val="000000"/>
        </w:rPr>
      </w:pPr>
      <w:r w:rsidDel="00000000" w:rsidR="00000000" w:rsidRPr="00000000">
        <w:rPr>
          <w:i w:val="0"/>
          <w:iCs w:val="0"/>
          <w:color w:val="000000"/>
          <w:rtl w:val="0"/>
        </w:rPr>
        <w:t xml:space="preserve">Strauss, J., &amp; Frost, R. (2014). E-Marketing. Pearson.</w:t>
      </w:r>
    </w:p>
    <w:p w:rsidR="00000000" w:rsidDel="00000000" w:rsidP="00000000" w:rsidRDefault="00000000" w:rsidRPr="00000000" w14:paraId="000002EB">
      <w:pPr>
        <w:spacing w:line="276" w:lineRule="auto"/>
        <w:jc w:val="left"/>
        <w:rPr>
          <w:i w:val="0"/>
          <w:iCs w:val="0"/>
          <w:color w:val="000000"/>
        </w:rPr>
      </w:pPr>
      <w:r w:rsidDel="00000000" w:rsidR="00000000" w:rsidRPr="00000000">
        <w:rPr>
          <w:rtl w:val="0"/>
        </w:rPr>
      </w:r>
    </w:p>
    <w:p w:rsidR="00000000" w:rsidDel="00000000" w:rsidP="00000000" w:rsidRDefault="00000000" w:rsidRPr="00000000" w14:paraId="000002EC">
      <w:pPr>
        <w:spacing w:line="276" w:lineRule="auto"/>
        <w:jc w:val="left"/>
        <w:rPr>
          <w:rFonts w:ascii="Roboto" w:cs="Roboto" w:eastAsia="Roboto" w:hAnsi="Roboto"/>
          <w:i w:val="0"/>
          <w:iCs w:val="0"/>
          <w:color w:val="000000"/>
        </w:rPr>
      </w:pPr>
      <w:r w:rsidDel="00000000" w:rsidR="00000000" w:rsidRPr="00000000">
        <w:rPr>
          <w:i w:val="0"/>
          <w:iCs w:val="0"/>
          <w:color w:val="000000"/>
          <w:rtl w:val="0"/>
        </w:rPr>
        <w:t xml:space="preserve">Sullivan, D. (Google) papers on featured snippets and answer systems (industry white papers — cite as grey literature).</w:t>
      </w:r>
      <w:r w:rsidDel="00000000" w:rsidR="00000000" w:rsidRPr="00000000">
        <w:rPr>
          <w:rtl w:val="0"/>
        </w:rPr>
      </w:r>
    </w:p>
    <w:p w:rsidR="00000000" w:rsidDel="00000000" w:rsidP="00000000" w:rsidRDefault="00000000" w:rsidRPr="00000000" w14:paraId="000002ED">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Suri, N., &amp; Thakur, A. (2023). Optimising for answer engines: A study of user behaviour in zero-click environments. </w:t>
      </w:r>
      <w:r w:rsidDel="00000000" w:rsidR="00000000" w:rsidRPr="00000000">
        <w:rPr>
          <w:rFonts w:ascii="Roboto" w:cs="Roboto" w:eastAsia="Roboto" w:hAnsi="Roboto"/>
          <w:color w:val="000000"/>
          <w:rtl w:val="0"/>
        </w:rPr>
        <w:t xml:space="preserve">SSRN Electronic Journal</w:t>
      </w:r>
      <w:r w:rsidDel="00000000" w:rsidR="00000000" w:rsidRPr="00000000">
        <w:rPr>
          <w:rFonts w:ascii="Roboto" w:cs="Roboto" w:eastAsia="Roboto" w:hAnsi="Roboto"/>
          <w:i w:val="0"/>
          <w:iCs w:val="0"/>
          <w:color w:val="000000"/>
          <w:rtl w:val="0"/>
        </w:rPr>
        <w:t xml:space="preserve">, 1–28.</w:t>
      </w:r>
    </w:p>
    <w:p w:rsidR="00000000" w:rsidDel="00000000" w:rsidP="00000000" w:rsidRDefault="00000000" w:rsidRPr="00000000" w14:paraId="000002EE">
      <w:pPr>
        <w:spacing w:line="276" w:lineRule="auto"/>
        <w:jc w:val="left"/>
        <w:rPr>
          <w:rFonts w:ascii="Roboto" w:cs="Roboto" w:eastAsia="Roboto" w:hAnsi="Roboto"/>
          <w:i w:val="0"/>
          <w:iCs w:val="0"/>
          <w:color w:val="000000"/>
          <w:highlight w:val="white"/>
        </w:rPr>
      </w:pPr>
      <w:r w:rsidDel="00000000" w:rsidR="00000000" w:rsidRPr="00000000">
        <w:rPr>
          <w:rFonts w:ascii="Roboto" w:cs="Roboto" w:eastAsia="Roboto" w:hAnsi="Roboto"/>
          <w:i w:val="0"/>
          <w:iCs w:val="0"/>
          <w:color w:val="000000"/>
          <w:highlight w:val="white"/>
          <w:rtl w:val="0"/>
        </w:rPr>
        <w:t xml:space="preserve">Teece, D. (2007). Explicating dynamic capabilities. Strategic Management Journal.</w:t>
      </w:r>
    </w:p>
    <w:p w:rsidR="00000000" w:rsidDel="00000000" w:rsidP="00000000" w:rsidRDefault="00000000" w:rsidRPr="00000000" w14:paraId="000002EF">
      <w:pPr>
        <w:spacing w:line="276" w:lineRule="auto"/>
        <w:jc w:val="left"/>
        <w:rPr>
          <w:rFonts w:ascii="Roboto" w:cs="Roboto" w:eastAsia="Roboto" w:hAnsi="Roboto"/>
          <w:i w:val="0"/>
          <w:iCs w:val="0"/>
          <w:color w:val="000000"/>
          <w:highlight w:val="white"/>
        </w:rPr>
      </w:pPr>
      <w:r w:rsidDel="00000000" w:rsidR="00000000" w:rsidRPr="00000000">
        <w:rPr>
          <w:rtl w:val="0"/>
        </w:rPr>
      </w:r>
    </w:p>
    <w:p w:rsidR="00000000" w:rsidDel="00000000" w:rsidP="00000000" w:rsidRDefault="00000000" w:rsidRPr="00000000" w14:paraId="000002F0">
      <w:pPr>
        <w:spacing w:line="276" w:lineRule="auto"/>
        <w:jc w:val="left"/>
        <w:rPr>
          <w:i w:val="0"/>
          <w:iCs w:val="0"/>
          <w:color w:val="000000"/>
        </w:rPr>
      </w:pPr>
      <w:r w:rsidDel="00000000" w:rsidR="00000000" w:rsidRPr="00000000">
        <w:rPr>
          <w:i w:val="0"/>
          <w:iCs w:val="0"/>
          <w:color w:val="000000"/>
          <w:rtl w:val="0"/>
        </w:rPr>
        <w:t xml:space="preserve">Tober, M. (2017). Featured Snippets and Voice Search: A study of answer engine behaviours. Searchmetrics Research Cloud.</w:t>
      </w:r>
    </w:p>
    <w:p w:rsidR="00000000" w:rsidDel="00000000" w:rsidP="00000000" w:rsidRDefault="00000000" w:rsidRPr="00000000" w14:paraId="000002F1">
      <w:pPr>
        <w:spacing w:line="276" w:lineRule="auto"/>
        <w:jc w:val="left"/>
        <w:rPr>
          <w:i w:val="0"/>
          <w:iCs w:val="0"/>
          <w:color w:val="000000"/>
        </w:rPr>
      </w:pPr>
      <w:r w:rsidDel="00000000" w:rsidR="00000000" w:rsidRPr="00000000">
        <w:rPr>
          <w:rtl w:val="0"/>
        </w:rPr>
      </w:r>
    </w:p>
    <w:p w:rsidR="00000000" w:rsidDel="00000000" w:rsidP="00000000" w:rsidRDefault="00000000" w:rsidRPr="00000000" w14:paraId="000002F2">
      <w:pPr>
        <w:spacing w:line="276" w:lineRule="auto"/>
        <w:jc w:val="left"/>
        <w:rPr>
          <w:i w:val="0"/>
          <w:iCs w:val="0"/>
          <w:color w:val="000000"/>
        </w:rPr>
      </w:pPr>
      <w:r w:rsidDel="00000000" w:rsidR="00000000" w:rsidRPr="00000000">
        <w:rPr>
          <w:rFonts w:ascii="Roboto" w:cs="Roboto" w:eastAsia="Roboto" w:hAnsi="Roboto"/>
          <w:i w:val="0"/>
          <w:iCs w:val="0"/>
          <w:color w:val="000000"/>
          <w:highlight w:val="white"/>
          <w:rtl w:val="0"/>
        </w:rPr>
        <w:t xml:space="preserve">Venkatesh et al. (2003). UTAUT Model — important for adoption barriers.</w:t>
      </w:r>
      <w:r w:rsidDel="00000000" w:rsidR="00000000" w:rsidRPr="00000000">
        <w:rPr>
          <w:rtl w:val="0"/>
        </w:rPr>
      </w:r>
    </w:p>
    <w:p w:rsidR="00000000" w:rsidDel="00000000" w:rsidP="00000000" w:rsidRDefault="00000000" w:rsidRPr="00000000" w14:paraId="000002F3">
      <w:pPr>
        <w:spacing w:after="120" w:before="240" w:lineRule="auto"/>
        <w:rPr>
          <w:rFonts w:ascii="Roboto" w:cs="Roboto" w:eastAsia="Roboto" w:hAnsi="Roboto"/>
          <w:i w:val="0"/>
          <w:iCs w:val="0"/>
          <w:color w:val="000000"/>
        </w:rPr>
      </w:pPr>
      <w:r w:rsidDel="00000000" w:rsidR="00000000" w:rsidRPr="00000000">
        <w:rPr>
          <w:rFonts w:ascii="Roboto" w:cs="Roboto" w:eastAsia="Roboto" w:hAnsi="Roboto"/>
          <w:i w:val="0"/>
          <w:iCs w:val="0"/>
          <w:color w:val="000000"/>
          <w:rtl w:val="0"/>
        </w:rPr>
        <w:t xml:space="preserve">Zainal, Z. (2007). Case study as a research method. </w:t>
      </w:r>
      <w:r w:rsidDel="00000000" w:rsidR="00000000" w:rsidRPr="00000000">
        <w:rPr>
          <w:rFonts w:ascii="Roboto" w:cs="Roboto" w:eastAsia="Roboto" w:hAnsi="Roboto"/>
          <w:color w:val="000000"/>
          <w:rtl w:val="0"/>
        </w:rPr>
        <w:t xml:space="preserve">Jurnal Kemanusiaan</w:t>
      </w:r>
      <w:r w:rsidDel="00000000" w:rsidR="00000000" w:rsidRPr="00000000">
        <w:rPr>
          <w:rFonts w:ascii="Roboto" w:cs="Roboto" w:eastAsia="Roboto" w:hAnsi="Roboto"/>
          <w:i w:val="0"/>
          <w:iCs w:val="0"/>
          <w:color w:val="000000"/>
          <w:rtl w:val="0"/>
        </w:rPr>
        <w:t xml:space="preserve">, 9, 1–6.</w:t>
      </w:r>
    </w:p>
    <w:p w:rsidR="00000000" w:rsidDel="00000000" w:rsidP="00000000" w:rsidRDefault="00000000" w:rsidRPr="00000000" w14:paraId="000002F4">
      <w:pPr>
        <w:spacing w:line="276" w:lineRule="auto"/>
        <w:jc w:val="left"/>
        <w:rPr>
          <w:rFonts w:ascii="Roboto" w:cs="Roboto" w:eastAsia="Roboto" w:hAnsi="Roboto"/>
          <w:i w:val="0"/>
          <w:iCs w:val="0"/>
          <w:color w:val="000000"/>
        </w:rPr>
      </w:pPr>
      <w:r w:rsidDel="00000000" w:rsidR="00000000" w:rsidRPr="00000000">
        <w:rPr>
          <w:rFonts w:ascii="Roboto" w:cs="Roboto" w:eastAsia="Roboto" w:hAnsi="Roboto"/>
          <w:i w:val="0"/>
          <w:iCs w:val="0"/>
          <w:color w:val="000000"/>
          <w:highlight w:val="white"/>
          <w:rtl w:val="0"/>
        </w:rPr>
        <w:t xml:space="preserve">Zhu, K., &amp; Kraemer, K. (2005). Post-adoption digital transformation in SMEs. Communications of the ACM.</w:t>
      </w:r>
      <w:r w:rsidDel="00000000" w:rsidR="00000000" w:rsidRPr="00000000">
        <w:rPr>
          <w:rtl w:val="0"/>
        </w:rPr>
      </w:r>
    </w:p>
    <w:p w:rsidR="00000000" w:rsidDel="00000000" w:rsidP="00000000" w:rsidRDefault="00000000" w:rsidRPr="00000000" w14:paraId="000002F5">
      <w:pPr>
        <w:rPr>
          <w:rFonts w:ascii="Roboto" w:cs="Roboto" w:eastAsia="Roboto" w:hAnsi="Roboto"/>
          <w:i w:val="0"/>
          <w:iCs w:val="0"/>
          <w:color w:val="000000"/>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right"/>
      <w:rPr>
        <w:rFonts w:ascii="Arial" w:cs="Arial" w:eastAsia="Arial" w:hAnsi="Arial"/>
        <w:b w:val="0"/>
        <w:bCs w:val="0"/>
        <w:i w:val="1"/>
        <w:iCs w:val="1"/>
        <w:smallCaps w:val="0"/>
        <w:strike w:val="0"/>
        <w:color w:val="4472c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both"/>
      <w:rPr>
        <w:rFonts w:ascii="Arial" w:cs="Arial" w:eastAsia="Arial" w:hAnsi="Arial"/>
        <w:b w:val="0"/>
        <w:bCs w:val="0"/>
        <w:i w:val="1"/>
        <w:iCs w:val="1"/>
        <w:smallCaps w:val="0"/>
        <w:strike w:val="0"/>
        <w:color w:val="4472c4"/>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rPr>
        <w:b w:val="1"/>
        <w:bCs w:val="1"/>
        <w:i w:val="0"/>
        <w:iCs w:val="0"/>
        <w:color w:val="000000"/>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i w:val="1"/>
        <w:iCs w:val="1"/>
        <w:color w:val="4472c4"/>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spacing w:after="0" w:before="0" w:lineRule="auto"/>
      <w:ind w:left="0" w:right="936" w:firstLine="0"/>
      <w:jc w:val="left"/>
    </w:pPr>
    <w:rPr>
      <w:rFonts w:ascii="Arial" w:cs="Arial" w:eastAsia="Arial" w:hAnsi="Arial"/>
      <w:b w:val="0"/>
      <w:bCs w:val="0"/>
      <w:i w:val="0"/>
      <w:iCs w:val="0"/>
      <w:smallCaps w:val="1"/>
      <w:color w:val="000000"/>
      <w:sz w:val="28"/>
      <w:szCs w:val="28"/>
    </w:rPr>
  </w:style>
  <w:style w:type="paragraph" w:styleId="Heading2">
    <w:name w:val="heading 2"/>
    <w:basedOn w:val="Normal"/>
    <w:next w:val="Normal"/>
    <w:pPr>
      <w:keepNext w:val="1"/>
      <w:spacing w:before="40" w:lineRule="auto"/>
      <w:ind w:left="720" w:hanging="720"/>
      <w:jc w:val="left"/>
    </w:pPr>
    <w:rPr>
      <w:rFonts w:ascii="Calibri" w:cs="Calibri" w:eastAsia="Calibri" w:hAnsi="Calibri"/>
      <w:i w:val="0"/>
      <w:iCs w:val="0"/>
      <w:color w:val="2f5496"/>
      <w:sz w:val="26"/>
      <w:szCs w:val="26"/>
    </w:rPr>
  </w:style>
  <w:style w:type="paragraph" w:styleId="Heading3">
    <w:name w:val="heading 3"/>
    <w:basedOn w:val="Normal"/>
    <w:next w:val="Normal"/>
    <w:pPr>
      <w:keepNext w:val="1"/>
      <w:spacing w:before="40" w:lineRule="auto"/>
      <w:ind w:left="954" w:hanging="720"/>
    </w:pPr>
    <w:rPr>
      <w:rFonts w:ascii="Calibri" w:cs="Calibri" w:eastAsia="Calibri" w:hAnsi="Calibri"/>
      <w:i w:val="0"/>
      <w:iCs w:val="0"/>
      <w:color w:val="1f3763"/>
    </w:rPr>
  </w:style>
  <w:style w:type="paragraph" w:styleId="Heading4">
    <w:name w:val="heading 4"/>
    <w:basedOn w:val="Normal"/>
    <w:next w:val="Normal"/>
    <w:pPr>
      <w:keepLines w:val="1"/>
      <w:spacing w:before="100" w:lineRule="auto"/>
      <w:ind w:left="1080" w:hanging="1080"/>
    </w:pPr>
    <w:rPr/>
  </w:style>
  <w:style w:type="paragraph" w:styleId="Heading5">
    <w:name w:val="heading 5"/>
    <w:basedOn w:val="Normal"/>
    <w:next w:val="Normal"/>
    <w:pPr>
      <w:keepLines w:val="1"/>
      <w:ind w:left="1440" w:hanging="1440"/>
    </w:pPr>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pBdr>
        <w:bottom w:color="4472c4" w:space="4" w:sz="4" w:val="single"/>
      </w:pBdr>
      <w:spacing w:after="60" w:before="240" w:lineRule="auto"/>
      <w:ind w:left="360" w:right="936" w:hanging="360"/>
    </w:pPr>
    <w:rPr>
      <w:rFonts w:ascii="Century Gothic" w:cs="Century Gothic" w:eastAsia="Century Gothic" w:hAnsi="Century Gothic"/>
      <w:b w:val="0"/>
      <w:bCs w:val="0"/>
      <w:i w:val="1"/>
      <w:iCs w:val="1"/>
      <w:smallCaps w:val="1"/>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semiHidden w:val="1"/>
    <w:unhideWhenUsed w:val="1"/>
    <w:qFormat w:val="1"/>
    <w:rsid w:val="00CD22A8"/>
    <w:pPr>
      <w:keepNext w:val="1"/>
      <w:keepLines w:val="1"/>
      <w:spacing w:before="40"/>
      <w:outlineLvl w:val="6"/>
    </w:pPr>
    <w:rPr>
      <w:rFonts w:asciiTheme="majorHAnsi" w:cstheme="majorBidi" w:eastAsiaTheme="majorEastAsia" w:hAnsiTheme="majorHAnsi"/>
      <w:i w:val="0"/>
      <w:iCs w:val="1"/>
      <w:color w:val="1f3763" w:themeColor="accent1" w:themeShade="00007F"/>
    </w:rPr>
  </w:style>
  <w:style w:type="paragraph" w:styleId="Heading8">
    <w:name w:val="heading 8"/>
    <w:basedOn w:val="Normal"/>
    <w:next w:val="Normal"/>
    <w:link w:val="Heading8Char"/>
    <w:semiHidden w:val="1"/>
    <w:unhideWhenUsed w:val="1"/>
    <w:qFormat w:val="1"/>
    <w:rsid w:val="00CD22A8"/>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semiHidden w:val="1"/>
    <w:unhideWhenUsed w:val="1"/>
    <w:qFormat w:val="1"/>
    <w:rsid w:val="00CD22A8"/>
    <w:pPr>
      <w:keepNext w:val="1"/>
      <w:keepLines w:val="1"/>
      <w:spacing w:before="40"/>
      <w:outlineLvl w:val="8"/>
    </w:pPr>
    <w:rPr>
      <w:rFonts w:asciiTheme="majorHAnsi" w:cstheme="majorBidi" w:eastAsiaTheme="majorEastAsia" w:hAnsiTheme="majorHAnsi"/>
      <w:i w:val="0"/>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aption">
    <w:name w:val="caption"/>
    <w:aliases w:val="Caption 1"/>
    <w:basedOn w:val="Normal"/>
    <w:next w:val="Normal"/>
    <w:autoRedefine w:val="1"/>
    <w:unhideWhenUsed w:val="1"/>
    <w:qFormat w:val="1"/>
    <w:rsid w:val="003F0E37"/>
    <w:pPr>
      <w:jc w:val="center"/>
    </w:pPr>
    <w:rPr>
      <w:b w:val="1"/>
      <w:bCs w:val="1"/>
      <w:color w:val="2f5496" w:themeColor="accent1" w:themeShade="0000BF"/>
      <w:szCs w:val="16"/>
    </w:rPr>
  </w:style>
  <w:style w:type="character" w:styleId="Heading2Char" w:customStyle="1">
    <w:name w:val="Heading 2 Char"/>
    <w:basedOn w:val="DefaultParagraphFont"/>
    <w:link w:val="Heading2"/>
    <w:uiPriority w:val="9"/>
    <w:rsid w:val="007F4DED"/>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4F640A"/>
    <w:rPr>
      <w:rFonts w:asciiTheme="majorHAnsi" w:cstheme="majorBidi" w:eastAsiaTheme="majorEastAsia" w:hAnsiTheme="majorHAnsi"/>
      <w:color w:val="1f3763"/>
      <w:sz w:val="24"/>
      <w:szCs w:val="24"/>
    </w:rPr>
  </w:style>
  <w:style w:type="character" w:styleId="Heading1Char" w:customStyle="1">
    <w:name w:val="Heading 1 Char"/>
    <w:basedOn w:val="DefaultParagraphFont"/>
    <w:link w:val="Heading1"/>
    <w:rsid w:val="00BB1554"/>
    <w:rPr>
      <w:rFonts w:ascii="Arial" w:cs="Times New Roman" w:eastAsia="Times New Roman" w:hAnsi="Arial"/>
      <w:iCs w:val="1"/>
      <w:caps w:val="1"/>
      <w:kern w:val="28"/>
      <w:sz w:val="28"/>
      <w:szCs w:val="56"/>
    </w:rPr>
  </w:style>
  <w:style w:type="character" w:styleId="Heading4Char" w:customStyle="1">
    <w:name w:val="Heading 4 Char"/>
    <w:basedOn w:val="DefaultParagraphFont"/>
    <w:link w:val="Heading4"/>
    <w:uiPriority w:val="9"/>
    <w:rsid w:val="00CD22A8"/>
    <w:rPr>
      <w:rFonts w:ascii="Arial" w:eastAsia="Times New Roman" w:hAnsi="Arial" w:cstheme="majorBidi"/>
      <w:i w:val="1"/>
      <w:iCs w:val="1"/>
      <w:color w:val="4472c4" w:themeColor="accent1"/>
      <w:sz w:val="24"/>
      <w:szCs w:val="20"/>
    </w:rPr>
  </w:style>
  <w:style w:type="character" w:styleId="Heading5Char" w:customStyle="1">
    <w:name w:val="Heading 5 Char"/>
    <w:basedOn w:val="DefaultParagraphFont"/>
    <w:link w:val="Heading5"/>
    <w:rsid w:val="00CD22A8"/>
    <w:rPr>
      <w:rFonts w:ascii="Arial" w:hAnsi="Arial" w:cstheme="majorBidi" w:eastAsiaTheme="majorEastAsia"/>
      <w:i w:val="1"/>
      <w:color w:val="4472c4" w:themeColor="accent1"/>
      <w:sz w:val="24"/>
      <w:szCs w:val="20"/>
    </w:rPr>
  </w:style>
  <w:style w:type="character" w:styleId="Heading6Char" w:customStyle="1">
    <w:name w:val="Heading 6 Char"/>
    <w:basedOn w:val="DefaultParagraphFont"/>
    <w:link w:val="Heading6"/>
    <w:rsid w:val="00CD22A8"/>
    <w:rPr>
      <w:rFonts w:asciiTheme="majorHAnsi" w:cstheme="majorBidi" w:eastAsiaTheme="majorEastAsia" w:hAnsiTheme="majorHAnsi"/>
      <w:color w:val="1f3763" w:themeColor="accent1" w:themeShade="00007F"/>
      <w:szCs w:val="20"/>
    </w:rPr>
  </w:style>
  <w:style w:type="character" w:styleId="Heading7Char" w:customStyle="1">
    <w:name w:val="Heading 7 Char"/>
    <w:basedOn w:val="DefaultParagraphFont"/>
    <w:link w:val="Heading7"/>
    <w:semiHidden w:val="1"/>
    <w:rsid w:val="00CD22A8"/>
    <w:rPr>
      <w:rFonts w:asciiTheme="majorHAnsi" w:cstheme="majorBidi" w:eastAsiaTheme="majorEastAsia" w:hAnsiTheme="majorHAnsi"/>
      <w:i w:val="1"/>
      <w:iCs w:val="1"/>
      <w:color w:val="1f3763" w:themeColor="accent1" w:themeShade="00007F"/>
      <w:szCs w:val="20"/>
    </w:rPr>
  </w:style>
  <w:style w:type="character" w:styleId="Heading8Char" w:customStyle="1">
    <w:name w:val="Heading 8 Char"/>
    <w:basedOn w:val="DefaultParagraphFont"/>
    <w:link w:val="Heading8"/>
    <w:semiHidden w:val="1"/>
    <w:rsid w:val="00CD22A8"/>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semiHidden w:val="1"/>
    <w:rsid w:val="00CD22A8"/>
    <w:rPr>
      <w:rFonts w:asciiTheme="majorHAnsi" w:cstheme="majorBidi" w:eastAsiaTheme="majorEastAsia" w:hAnsiTheme="majorHAnsi"/>
      <w:i w:val="1"/>
      <w:iCs w:val="1"/>
      <w:color w:val="272727" w:themeColor="text1" w:themeTint="0000D8"/>
      <w:sz w:val="21"/>
      <w:szCs w:val="21"/>
    </w:rPr>
  </w:style>
  <w:style w:type="character" w:styleId="TitleChar" w:customStyle="1">
    <w:name w:val="Title Char"/>
    <w:basedOn w:val="DefaultParagraphFont"/>
    <w:link w:val="Title"/>
    <w:uiPriority w:val="10"/>
    <w:rsid w:val="00CD22A8"/>
    <w:rPr>
      <w:rFonts w:ascii="Century Gothic" w:cs="Times New Roman" w:eastAsia="Times New Roman" w:hAnsi="Century Gothic"/>
      <w:iCs w:val="1"/>
      <w:caps w:val="1"/>
      <w:kern w:val="28"/>
      <w:sz w:val="48"/>
      <w:szCs w:val="32"/>
      <w:lang w:val="en-US"/>
    </w:rPr>
  </w:style>
  <w:style w:type="paragraph" w:styleId="IntenseQuote">
    <w:name w:val="Intense Quote"/>
    <w:basedOn w:val="Normal"/>
    <w:next w:val="Normal"/>
    <w:link w:val="IntenseQuoteChar"/>
    <w:uiPriority w:val="30"/>
    <w:qFormat w:val="1"/>
    <w:rsid w:val="00CD22A8"/>
    <w:pPr>
      <w:pBdr>
        <w:bottom w:color="4472c4" w:space="4" w:sz="4" w:themeColor="accent1" w:val="single"/>
      </w:pBdr>
      <w:spacing w:after="280" w:before="200"/>
      <w:ind w:left="936" w:right="936"/>
    </w:pPr>
    <w:rPr>
      <w:rFonts w:ascii="Calibri" w:hAnsi="Calibri"/>
      <w:b w:val="1"/>
      <w:bCs w:val="1"/>
      <w:i w:val="0"/>
      <w:iCs w:val="1"/>
      <w:szCs w:val="24"/>
    </w:rPr>
  </w:style>
  <w:style w:type="character" w:styleId="IntenseQuoteChar" w:customStyle="1">
    <w:name w:val="Intense Quote Char"/>
    <w:basedOn w:val="DefaultParagraphFont"/>
    <w:link w:val="IntenseQuote"/>
    <w:uiPriority w:val="30"/>
    <w:rsid w:val="00CD22A8"/>
    <w:rPr>
      <w:rFonts w:ascii="Calibri" w:cs="Times New Roman" w:eastAsia="Times New Roman" w:hAnsi="Calibri"/>
      <w:b w:val="1"/>
      <w:bCs w:val="1"/>
      <w:i w:val="1"/>
      <w:iCs w:val="1"/>
      <w:color w:val="4472c4" w:themeColor="accent1"/>
      <w:szCs w:val="24"/>
    </w:rPr>
  </w:style>
  <w:style w:type="paragraph" w:styleId="BoldNormal" w:customStyle="1">
    <w:name w:val="Bold Normal"/>
    <w:basedOn w:val="Normal"/>
    <w:rsid w:val="00CD22A8"/>
    <w:pPr>
      <w:spacing w:after="120" w:line="300" w:lineRule="atLeast"/>
    </w:pPr>
    <w:rPr>
      <w:b w:val="1"/>
    </w:rPr>
  </w:style>
  <w:style w:type="paragraph" w:styleId="ColorfulList-Accent11" w:customStyle="1">
    <w:name w:val="Colorful List - Accent 11"/>
    <w:basedOn w:val="Normal"/>
    <w:uiPriority w:val="34"/>
    <w:qFormat w:val="1"/>
    <w:rsid w:val="00CD22A8"/>
    <w:pPr>
      <w:ind w:left="720"/>
      <w:contextualSpacing w:val="1"/>
    </w:pPr>
  </w:style>
  <w:style w:type="paragraph" w:styleId="NormalWeb">
    <w:name w:val="Normal (Web)"/>
    <w:basedOn w:val="Normal"/>
    <w:uiPriority w:val="99"/>
    <w:unhideWhenUsed w:val="1"/>
    <w:rsid w:val="00CD22A8"/>
    <w:pPr>
      <w:spacing w:afterAutospacing="1" w:before="100" w:beforeAutospacing="1"/>
    </w:pPr>
  </w:style>
  <w:style w:type="character" w:styleId="Hyperlink">
    <w:name w:val="Hyperlink"/>
    <w:uiPriority w:val="99"/>
    <w:unhideWhenUsed w:val="1"/>
    <w:rsid w:val="00CD22A8"/>
    <w:rPr>
      <w:color w:val="0000ff"/>
      <w:u w:val="single"/>
    </w:rPr>
  </w:style>
  <w:style w:type="table" w:styleId="TableGrid">
    <w:name w:val="Table Grid"/>
    <w:basedOn w:val="TableNormal"/>
    <w:uiPriority w:val="39"/>
    <w:rsid w:val="00CD22A8"/>
    <w:pPr>
      <w:spacing w:after="100" w:line="360" w:lineRule="auto"/>
      <w:ind w:left="482"/>
    </w:pPr>
    <w:rPr>
      <w:rFonts w:ascii="Century Gothic" w:cs="Times New Roman" w:eastAsia="Times New Roman" w:hAnsi="Century Gothic"/>
      <w:sz w:val="20"/>
      <w:szCs w:val="2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Number">
    <w:name w:val="List Number"/>
    <w:basedOn w:val="Normal"/>
    <w:rsid w:val="00CD22A8"/>
    <w:pPr>
      <w:numPr>
        <w:numId w:val="2"/>
      </w:numPr>
      <w:spacing w:after="120"/>
    </w:pPr>
    <w:rPr>
      <w:rFonts w:cs="Arial"/>
      <w:szCs w:val="22"/>
    </w:rPr>
  </w:style>
  <w:style w:type="paragraph" w:styleId="BodyText">
    <w:name w:val="Body Text"/>
    <w:basedOn w:val="Normal"/>
    <w:link w:val="BodyTextChar"/>
    <w:rsid w:val="00CD22A8"/>
    <w:pPr>
      <w:spacing w:after="120"/>
    </w:pPr>
    <w:rPr>
      <w:szCs w:val="22"/>
    </w:rPr>
  </w:style>
  <w:style w:type="character" w:styleId="BodyTextChar" w:customStyle="1">
    <w:name w:val="Body Text Char"/>
    <w:basedOn w:val="DefaultParagraphFont"/>
    <w:link w:val="BodyText"/>
    <w:rsid w:val="00CD22A8"/>
    <w:rPr>
      <w:rFonts w:ascii="Arial" w:cs="Times New Roman" w:eastAsia="Times New Roman" w:hAnsi="Arial"/>
    </w:rPr>
  </w:style>
  <w:style w:type="paragraph" w:styleId="StyleBodyTextBoldCentered" w:customStyle="1">
    <w:name w:val="Style Body Text + Bold Centered"/>
    <w:basedOn w:val="BodyText"/>
    <w:rsid w:val="00CD22A8"/>
    <w:pPr>
      <w:jc w:val="center"/>
    </w:pPr>
    <w:rPr>
      <w:b w:val="1"/>
      <w:bCs w:val="1"/>
      <w:szCs w:val="20"/>
    </w:rPr>
  </w:style>
  <w:style w:type="character" w:styleId="lbl1" w:customStyle="1">
    <w:name w:val="lbl1"/>
    <w:rsid w:val="00CD22A8"/>
    <w:rPr>
      <w:color w:val="666666"/>
    </w:rPr>
  </w:style>
  <w:style w:type="character" w:styleId="val2" w:customStyle="1">
    <w:name w:val="val2"/>
    <w:basedOn w:val="DefaultParagraphFont"/>
    <w:rsid w:val="00CD22A8"/>
  </w:style>
  <w:style w:type="character" w:styleId="apple-converted-space" w:customStyle="1">
    <w:name w:val="apple-converted-space"/>
    <w:rsid w:val="00CD22A8"/>
  </w:style>
  <w:style w:type="character" w:styleId="Emphasis">
    <w:name w:val="Emphasis"/>
    <w:uiPriority w:val="20"/>
    <w:qFormat w:val="1"/>
    <w:rsid w:val="00CD22A8"/>
    <w:rPr>
      <w:i w:val="1"/>
      <w:iCs w:val="1"/>
    </w:rPr>
  </w:style>
  <w:style w:type="paragraph" w:styleId="Header">
    <w:name w:val="header"/>
    <w:basedOn w:val="Normal"/>
    <w:link w:val="HeaderChar"/>
    <w:uiPriority w:val="99"/>
    <w:rsid w:val="00CD22A8"/>
    <w:pPr>
      <w:tabs>
        <w:tab w:val="center" w:pos="4513"/>
        <w:tab w:val="right" w:pos="9026"/>
      </w:tabs>
    </w:pPr>
  </w:style>
  <w:style w:type="character" w:styleId="HeaderChar" w:customStyle="1">
    <w:name w:val="Header Char"/>
    <w:basedOn w:val="DefaultParagraphFont"/>
    <w:link w:val="Header"/>
    <w:uiPriority w:val="99"/>
    <w:rsid w:val="00CD22A8"/>
    <w:rPr>
      <w:rFonts w:ascii="Arial" w:cs="Times New Roman" w:eastAsia="Times New Roman" w:hAnsi="Arial"/>
      <w:szCs w:val="20"/>
    </w:rPr>
  </w:style>
  <w:style w:type="paragraph" w:styleId="Footer">
    <w:name w:val="footer"/>
    <w:basedOn w:val="Normal"/>
    <w:link w:val="FooterChar"/>
    <w:uiPriority w:val="99"/>
    <w:rsid w:val="00CD22A8"/>
    <w:pPr>
      <w:tabs>
        <w:tab w:val="center" w:pos="4513"/>
        <w:tab w:val="right" w:pos="9026"/>
      </w:tabs>
    </w:pPr>
  </w:style>
  <w:style w:type="character" w:styleId="FooterChar" w:customStyle="1">
    <w:name w:val="Footer Char"/>
    <w:basedOn w:val="DefaultParagraphFont"/>
    <w:link w:val="Footer"/>
    <w:uiPriority w:val="99"/>
    <w:rsid w:val="00CD22A8"/>
    <w:rPr>
      <w:rFonts w:ascii="Arial" w:cs="Times New Roman" w:eastAsia="Times New Roman" w:hAnsi="Arial"/>
      <w:szCs w:val="20"/>
    </w:rPr>
  </w:style>
  <w:style w:type="character" w:styleId="SubtitleChar" w:customStyle="1">
    <w:name w:val="Subtitle Char"/>
    <w:basedOn w:val="DefaultParagraphFont"/>
    <w:link w:val="Subtitle"/>
    <w:uiPriority w:val="11"/>
    <w:rsid w:val="00CD22A8"/>
    <w:rPr>
      <w:rFonts w:ascii="Century Gothic" w:cs="Times New Roman" w:eastAsia="Times New Roman" w:hAnsi="Century Gothic"/>
      <w:caps w:val="1"/>
      <w:kern w:val="28"/>
      <w:sz w:val="32"/>
      <w:szCs w:val="32"/>
      <w:lang w:eastAsia="en-GB"/>
    </w:rPr>
  </w:style>
  <w:style w:type="paragraph" w:styleId="TOC2">
    <w:name w:val="toc 2"/>
    <w:basedOn w:val="Normal"/>
    <w:next w:val="Normal"/>
    <w:autoRedefine w:val="1"/>
    <w:uiPriority w:val="39"/>
    <w:rsid w:val="00CD22A8"/>
    <w:pPr>
      <w:tabs>
        <w:tab w:val="left" w:pos="880"/>
        <w:tab w:val="right" w:leader="dot" w:pos="9174"/>
      </w:tabs>
      <w:ind w:left="220"/>
      <w:jc w:val="left"/>
    </w:pPr>
  </w:style>
  <w:style w:type="paragraph" w:styleId="TOC1">
    <w:name w:val="toc 1"/>
    <w:basedOn w:val="Normal"/>
    <w:next w:val="Normal"/>
    <w:autoRedefine w:val="1"/>
    <w:uiPriority w:val="39"/>
    <w:rsid w:val="00CD22A8"/>
    <w:pPr>
      <w:tabs>
        <w:tab w:val="right" w:leader="dot" w:pos="9174"/>
      </w:tabs>
      <w:spacing w:after="120" w:before="120"/>
      <w:jc w:val="left"/>
    </w:pPr>
    <w:rPr>
      <w:bCs w:val="1"/>
    </w:rPr>
  </w:style>
  <w:style w:type="paragraph" w:styleId="TOCHeading">
    <w:name w:val="TOC Heading"/>
    <w:basedOn w:val="Heading1"/>
    <w:next w:val="Normal"/>
    <w:uiPriority w:val="39"/>
    <w:unhideWhenUsed w:val="1"/>
    <w:qFormat w:val="1"/>
    <w:rsid w:val="00CD22A8"/>
    <w:pPr>
      <w:keepLines w:val="1"/>
      <w:numPr>
        <w:numId w:val="4"/>
      </w:numPr>
      <w:spacing w:before="480" w:line="276" w:lineRule="auto"/>
      <w:outlineLvl w:val="9"/>
    </w:pPr>
    <w:rPr>
      <w:rFonts w:ascii="Cambria" w:eastAsia="MS Gothic" w:hAnsi="Cambria"/>
      <w:caps w:val="0"/>
      <w:color w:val="365f91"/>
      <w:lang w:eastAsia="ja-JP"/>
    </w:rPr>
  </w:style>
  <w:style w:type="paragraph" w:styleId="BalloonText">
    <w:name w:val="Balloon Text"/>
    <w:basedOn w:val="Normal"/>
    <w:link w:val="BalloonTextChar"/>
    <w:uiPriority w:val="99"/>
    <w:rsid w:val="00CD22A8"/>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rsid w:val="00CD22A8"/>
    <w:rPr>
      <w:rFonts w:ascii="Tahoma" w:cs="Tahoma" w:eastAsia="Times New Roman" w:hAnsi="Tahoma"/>
      <w:sz w:val="16"/>
      <w:szCs w:val="16"/>
    </w:rPr>
  </w:style>
  <w:style w:type="paragraph" w:styleId="Bibliography">
    <w:name w:val="Bibliography"/>
    <w:basedOn w:val="Normal"/>
    <w:next w:val="Normal"/>
    <w:uiPriority w:val="37"/>
    <w:unhideWhenUsed w:val="1"/>
    <w:rsid w:val="00CD22A8"/>
  </w:style>
  <w:style w:type="paragraph" w:styleId="ListParagraph">
    <w:name w:val="List Paragraph"/>
    <w:basedOn w:val="Normal"/>
    <w:uiPriority w:val="34"/>
    <w:qFormat w:val="1"/>
    <w:rsid w:val="00CD22A8"/>
    <w:pPr>
      <w:ind w:left="720"/>
      <w:contextualSpacing w:val="1"/>
    </w:pPr>
  </w:style>
  <w:style w:type="character" w:styleId="st" w:customStyle="1">
    <w:name w:val="st"/>
    <w:basedOn w:val="DefaultParagraphFont"/>
    <w:rsid w:val="00CD22A8"/>
  </w:style>
  <w:style w:type="paragraph" w:styleId="Default" w:customStyle="1">
    <w:name w:val="Default"/>
    <w:rsid w:val="00CD22A8"/>
    <w:pPr>
      <w:autoSpaceDE w:val="0"/>
      <w:autoSpaceDN w:val="0"/>
      <w:adjustRightInd w:val="0"/>
      <w:spacing w:after="100" w:line="360" w:lineRule="auto"/>
      <w:ind w:left="482"/>
    </w:pPr>
    <w:rPr>
      <w:rFonts w:ascii="Century Gothic" w:cs="Times New Roman" w:hAnsi="Century Gothic"/>
      <w:color w:val="000000"/>
      <w:sz w:val="20"/>
      <w:szCs w:val="20"/>
      <w:lang w:val="en-US"/>
    </w:rPr>
  </w:style>
  <w:style w:type="character" w:styleId="cit" w:customStyle="1">
    <w:name w:val="cit"/>
    <w:basedOn w:val="DefaultParagraphFont"/>
    <w:rsid w:val="00CD22A8"/>
  </w:style>
  <w:style w:type="character" w:styleId="HTMLCite">
    <w:name w:val="HTML Cite"/>
    <w:basedOn w:val="DefaultParagraphFont"/>
    <w:uiPriority w:val="99"/>
    <w:unhideWhenUsed w:val="1"/>
    <w:rsid w:val="00CD22A8"/>
    <w:rPr>
      <w:i w:val="1"/>
      <w:iCs w:val="1"/>
    </w:rPr>
  </w:style>
  <w:style w:type="paragraph" w:styleId="volissue" w:customStyle="1">
    <w:name w:val="volissue"/>
    <w:basedOn w:val="Normal"/>
    <w:rsid w:val="00CD22A8"/>
    <w:pPr>
      <w:spacing w:afterAutospacing="1" w:before="100" w:beforeAutospacing="1" w:line="240" w:lineRule="auto"/>
    </w:pPr>
  </w:style>
  <w:style w:type="character" w:styleId="exldetailsdisplayval" w:customStyle="1">
    <w:name w:val="exldetailsdisplayval"/>
    <w:basedOn w:val="DefaultParagraphFont"/>
    <w:rsid w:val="00CD22A8"/>
  </w:style>
  <w:style w:type="character" w:styleId="searchword" w:customStyle="1">
    <w:name w:val="searchword"/>
    <w:basedOn w:val="DefaultParagraphFont"/>
    <w:rsid w:val="00CD22A8"/>
  </w:style>
  <w:style w:type="character" w:styleId="SubtleEmphasis">
    <w:name w:val="Subtle Emphasis"/>
    <w:basedOn w:val="DefaultParagraphFont"/>
    <w:uiPriority w:val="19"/>
    <w:qFormat w:val="1"/>
    <w:rsid w:val="00CD22A8"/>
    <w:rPr>
      <w:rFonts w:ascii="Times New Roman" w:hAnsi="Times New Roman"/>
      <w:i w:val="1"/>
      <w:iCs w:val="1"/>
      <w:color w:val="auto"/>
      <w:sz w:val="32"/>
    </w:rPr>
  </w:style>
  <w:style w:type="paragraph" w:styleId="xmsonormal" w:customStyle="1">
    <w:name w:val="x_msonormal"/>
    <w:basedOn w:val="Normal"/>
    <w:rsid w:val="00CD22A8"/>
    <w:pPr>
      <w:spacing w:afterAutospacing="1" w:before="100" w:beforeAutospacing="1" w:line="240" w:lineRule="auto"/>
    </w:pPr>
  </w:style>
  <w:style w:type="character" w:styleId="st1" w:customStyle="1">
    <w:name w:val="st1"/>
    <w:basedOn w:val="DefaultParagraphFont"/>
    <w:rsid w:val="00CD22A8"/>
  </w:style>
  <w:style w:type="character" w:styleId="highlight" w:customStyle="1">
    <w:name w:val="highlight"/>
    <w:basedOn w:val="DefaultParagraphFont"/>
    <w:rsid w:val="00CD22A8"/>
  </w:style>
  <w:style w:type="character" w:styleId="SubtleReference">
    <w:name w:val="Subtle Reference"/>
    <w:basedOn w:val="DefaultParagraphFont"/>
    <w:uiPriority w:val="31"/>
    <w:qFormat w:val="1"/>
    <w:rsid w:val="00CD22A8"/>
    <w:rPr>
      <w:rFonts w:ascii="Century Gothic" w:hAnsi="Century Gothic"/>
      <w:b w:val="0"/>
      <w:smallCaps w:val="1"/>
      <w:color w:val="ffc000" w:themeColor="accent4"/>
      <w:sz w:val="32"/>
      <w:u w:val="single"/>
    </w:rPr>
  </w:style>
  <w:style w:type="character" w:styleId="IntenseReference">
    <w:name w:val="Intense Reference"/>
    <w:basedOn w:val="DefaultParagraphFont"/>
    <w:uiPriority w:val="32"/>
    <w:qFormat w:val="1"/>
    <w:rsid w:val="00CD22A8"/>
    <w:rPr>
      <w:b w:val="1"/>
      <w:bCs w:val="1"/>
      <w:smallCaps w:val="1"/>
      <w:color w:val="ed7d31" w:themeColor="accent2"/>
      <w:spacing w:val="5"/>
      <w:u w:val="single"/>
    </w:rPr>
  </w:style>
  <w:style w:type="character" w:styleId="IntenseEmphasis">
    <w:name w:val="Intense Emphasis"/>
    <w:basedOn w:val="DefaultParagraphFont"/>
    <w:uiPriority w:val="21"/>
    <w:qFormat w:val="1"/>
    <w:rsid w:val="00CD22A8"/>
    <w:rPr>
      <w:b w:val="1"/>
      <w:bCs w:val="1"/>
      <w:i w:val="1"/>
      <w:iCs w:val="1"/>
      <w:color w:val="4472c4" w:themeColor="accent1"/>
    </w:rPr>
  </w:style>
  <w:style w:type="paragraph" w:styleId="Quote">
    <w:name w:val="Quote"/>
    <w:basedOn w:val="Normal"/>
    <w:next w:val="Normal"/>
    <w:link w:val="QuoteChar"/>
    <w:autoRedefine w:val="1"/>
    <w:uiPriority w:val="29"/>
    <w:qFormat w:val="1"/>
    <w:rsid w:val="00CD22A8"/>
    <w:pPr>
      <w:spacing w:before="100" w:beforeAutospacing="1"/>
      <w:ind w:firstLine="720"/>
    </w:pPr>
    <w:rPr>
      <w:i w:val="0"/>
      <w:iCs w:val="1"/>
      <w:szCs w:val="16"/>
      <w:bdr w:color="auto" w:frame="1" w:space="0" w:sz="0" w:val="none"/>
    </w:rPr>
  </w:style>
  <w:style w:type="character" w:styleId="QuoteChar" w:customStyle="1">
    <w:name w:val="Quote Char"/>
    <w:basedOn w:val="DefaultParagraphFont"/>
    <w:link w:val="Quote"/>
    <w:uiPriority w:val="29"/>
    <w:rsid w:val="00CD22A8"/>
    <w:rPr>
      <w:rFonts w:ascii="Arial" w:cs="Times New Roman" w:eastAsia="Times New Roman" w:hAnsi="Arial"/>
      <w:i w:val="1"/>
      <w:iCs w:val="1"/>
      <w:szCs w:val="16"/>
      <w:bdr w:color="auto" w:frame="1" w:space="0" w:sz="0" w:val="none"/>
    </w:rPr>
  </w:style>
  <w:style w:type="paragraph" w:styleId="BlockText">
    <w:name w:val="Block Text"/>
    <w:basedOn w:val="Normal"/>
    <w:rsid w:val="00CD22A8"/>
    <w:pPr>
      <w:spacing w:line="240" w:lineRule="auto"/>
      <w:ind w:left="720" w:right="1826" w:hanging="720"/>
    </w:pPr>
  </w:style>
  <w:style w:type="character" w:styleId="bidi" w:customStyle="1">
    <w:name w:val="bidi"/>
    <w:rsid w:val="00CD22A8"/>
  </w:style>
  <w:style w:type="character" w:styleId="name" w:customStyle="1">
    <w:name w:val="name"/>
    <w:basedOn w:val="DefaultParagraphFont"/>
    <w:rsid w:val="00CD22A8"/>
  </w:style>
  <w:style w:type="character" w:styleId="slug-pub-date" w:customStyle="1">
    <w:name w:val="slug-pub-date"/>
    <w:basedOn w:val="DefaultParagraphFont"/>
    <w:rsid w:val="00CD22A8"/>
  </w:style>
  <w:style w:type="character" w:styleId="slug-vol" w:customStyle="1">
    <w:name w:val="slug-vol"/>
    <w:basedOn w:val="DefaultParagraphFont"/>
    <w:rsid w:val="00CD22A8"/>
  </w:style>
  <w:style w:type="character" w:styleId="slug-issue" w:customStyle="1">
    <w:name w:val="slug-issue"/>
    <w:basedOn w:val="DefaultParagraphFont"/>
    <w:rsid w:val="00CD22A8"/>
  </w:style>
  <w:style w:type="character" w:styleId="slug-pages" w:customStyle="1">
    <w:name w:val="slug-pages"/>
    <w:basedOn w:val="DefaultParagraphFont"/>
    <w:rsid w:val="00CD22A8"/>
  </w:style>
  <w:style w:type="character" w:styleId="title-text" w:customStyle="1">
    <w:name w:val="title-text"/>
    <w:basedOn w:val="DefaultParagraphFont"/>
    <w:rsid w:val="00CD22A8"/>
  </w:style>
  <w:style w:type="character" w:styleId="radio-button-label-text" w:customStyle="1">
    <w:name w:val="radio-button-label-text"/>
    <w:basedOn w:val="DefaultParagraphFont"/>
    <w:rsid w:val="00CD22A8"/>
  </w:style>
  <w:style w:type="paragraph" w:styleId="z-BottomofForm">
    <w:name w:val="HTML Bottom of Form"/>
    <w:basedOn w:val="Normal"/>
    <w:next w:val="Normal"/>
    <w:link w:val="z-BottomofFormChar"/>
    <w:hidden w:val="1"/>
    <w:uiPriority w:val="99"/>
    <w:unhideWhenUsed w:val="1"/>
    <w:rsid w:val="00CD22A8"/>
    <w:pPr>
      <w:pBdr>
        <w:top w:color="auto" w:space="1" w:sz="6" w:val="single"/>
      </w:pBdr>
      <w:jc w:val="center"/>
    </w:pPr>
    <w:rPr>
      <w:rFonts w:cs="Arial"/>
      <w:vanish w:val="1"/>
      <w:sz w:val="16"/>
      <w:szCs w:val="16"/>
    </w:rPr>
  </w:style>
  <w:style w:type="character" w:styleId="z-BottomofFormChar" w:customStyle="1">
    <w:name w:val="z-Bottom of Form Char"/>
    <w:basedOn w:val="DefaultParagraphFont"/>
    <w:link w:val="z-BottomofForm"/>
    <w:uiPriority w:val="99"/>
    <w:rsid w:val="00CD22A8"/>
    <w:rPr>
      <w:rFonts w:ascii="Arial" w:cs="Arial" w:eastAsia="Times New Roman" w:hAnsi="Arial"/>
      <w:vanish w:val="1"/>
      <w:sz w:val="16"/>
      <w:szCs w:val="16"/>
    </w:rPr>
  </w:style>
  <w:style w:type="character" w:styleId="CommentReference">
    <w:name w:val="annotation reference"/>
    <w:basedOn w:val="DefaultParagraphFont"/>
    <w:uiPriority w:val="99"/>
    <w:unhideWhenUsed w:val="1"/>
    <w:rsid w:val="00CD22A8"/>
    <w:rPr>
      <w:sz w:val="16"/>
      <w:szCs w:val="16"/>
    </w:rPr>
  </w:style>
  <w:style w:type="paragraph" w:styleId="CommentText">
    <w:name w:val="annotation text"/>
    <w:basedOn w:val="Normal"/>
    <w:link w:val="CommentTextChar"/>
    <w:uiPriority w:val="99"/>
    <w:unhideWhenUsed w:val="1"/>
    <w:rsid w:val="00CD22A8"/>
    <w:pPr>
      <w:spacing w:line="240" w:lineRule="auto"/>
    </w:pPr>
  </w:style>
  <w:style w:type="character" w:styleId="CommentTextChar" w:customStyle="1">
    <w:name w:val="Comment Text Char"/>
    <w:basedOn w:val="DefaultParagraphFont"/>
    <w:link w:val="CommentText"/>
    <w:uiPriority w:val="99"/>
    <w:rsid w:val="00CD22A8"/>
    <w:rPr>
      <w:rFonts w:ascii="Arial" w:cs="Times New Roman" w:eastAsia="Times New Roman" w:hAnsi="Arial"/>
      <w:szCs w:val="20"/>
    </w:rPr>
  </w:style>
  <w:style w:type="paragraph" w:styleId="CommentSubject">
    <w:name w:val="annotation subject"/>
    <w:basedOn w:val="CommentText"/>
    <w:next w:val="CommentText"/>
    <w:link w:val="CommentSubjectChar"/>
    <w:uiPriority w:val="99"/>
    <w:unhideWhenUsed w:val="1"/>
    <w:rsid w:val="00CD22A8"/>
    <w:rPr>
      <w:b w:val="1"/>
      <w:bCs w:val="1"/>
    </w:rPr>
  </w:style>
  <w:style w:type="character" w:styleId="CommentSubjectChar" w:customStyle="1">
    <w:name w:val="Comment Subject Char"/>
    <w:basedOn w:val="CommentTextChar"/>
    <w:link w:val="CommentSubject"/>
    <w:uiPriority w:val="99"/>
    <w:rsid w:val="00CD22A8"/>
    <w:rPr>
      <w:rFonts w:ascii="Arial" w:cs="Times New Roman" w:eastAsia="Times New Roman" w:hAnsi="Arial"/>
      <w:b w:val="1"/>
      <w:bCs w:val="1"/>
      <w:szCs w:val="20"/>
    </w:rPr>
  </w:style>
  <w:style w:type="character" w:styleId="user-generated" w:customStyle="1">
    <w:name w:val="user-generated"/>
    <w:basedOn w:val="DefaultParagraphFont"/>
    <w:rsid w:val="00CD22A8"/>
  </w:style>
  <w:style w:type="paragraph" w:styleId="z-TopofForm">
    <w:name w:val="HTML Top of Form"/>
    <w:basedOn w:val="Normal"/>
    <w:next w:val="Normal"/>
    <w:link w:val="z-TopofFormChar"/>
    <w:hidden w:val="1"/>
    <w:uiPriority w:val="99"/>
    <w:unhideWhenUsed w:val="1"/>
    <w:rsid w:val="00CD22A8"/>
    <w:pPr>
      <w:pBdr>
        <w:bottom w:color="auto" w:space="1" w:sz="6" w:val="single"/>
      </w:pBdr>
      <w:jc w:val="center"/>
    </w:pPr>
    <w:rPr>
      <w:rFonts w:cs="Arial"/>
      <w:vanish w:val="1"/>
      <w:sz w:val="16"/>
      <w:szCs w:val="16"/>
    </w:rPr>
  </w:style>
  <w:style w:type="character" w:styleId="z-TopofFormChar" w:customStyle="1">
    <w:name w:val="z-Top of Form Char"/>
    <w:basedOn w:val="DefaultParagraphFont"/>
    <w:link w:val="z-TopofForm"/>
    <w:uiPriority w:val="99"/>
    <w:rsid w:val="00CD22A8"/>
    <w:rPr>
      <w:rFonts w:ascii="Arial" w:cs="Arial" w:eastAsia="Times New Roman" w:hAnsi="Arial"/>
      <w:vanish w:val="1"/>
      <w:sz w:val="16"/>
      <w:szCs w:val="16"/>
    </w:rPr>
  </w:style>
  <w:style w:type="character" w:styleId="question-number" w:customStyle="1">
    <w:name w:val="question-number"/>
    <w:basedOn w:val="DefaultParagraphFont"/>
    <w:rsid w:val="00CD22A8"/>
  </w:style>
  <w:style w:type="table" w:styleId="LightShading">
    <w:name w:val="Light Shading"/>
    <w:basedOn w:val="TableNormal"/>
    <w:uiPriority w:val="60"/>
    <w:rsid w:val="00CD22A8"/>
    <w:pPr>
      <w:spacing w:after="100" w:line="360" w:lineRule="auto"/>
      <w:ind w:left="482"/>
    </w:pPr>
    <w:rPr>
      <w:rFonts w:ascii="Century Gothic" w:hAnsi="Century Gothic"/>
      <w:color w:val="000000" w:themeColor="text1" w:themeShade="0000BF"/>
      <w:lang w:val="en-US"/>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
    <w:name w:val="Light Grid"/>
    <w:basedOn w:val="TableNormal"/>
    <w:uiPriority w:val="62"/>
    <w:rsid w:val="00CD22A8"/>
    <w:pPr>
      <w:spacing w:after="100" w:line="360" w:lineRule="auto"/>
      <w:ind w:left="482"/>
    </w:pPr>
    <w:rPr>
      <w:rFonts w:ascii="Century Gothic" w:hAnsi="Century Gothic"/>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character" w:styleId="Strong">
    <w:name w:val="Strong"/>
    <w:basedOn w:val="DefaultParagraphFont"/>
    <w:uiPriority w:val="22"/>
    <w:qFormat w:val="1"/>
    <w:rsid w:val="00CD22A8"/>
    <w:rPr>
      <w:b w:val="1"/>
      <w:bCs w:val="1"/>
    </w:rPr>
  </w:style>
  <w:style w:type="character" w:styleId="page-num" w:customStyle="1">
    <w:name w:val="page-num"/>
    <w:basedOn w:val="DefaultParagraphFont"/>
    <w:rsid w:val="00CD22A8"/>
  </w:style>
  <w:style w:type="character" w:styleId="FollowedHyperlink">
    <w:name w:val="FollowedHyperlink"/>
    <w:basedOn w:val="DefaultParagraphFont"/>
    <w:uiPriority w:val="99"/>
    <w:unhideWhenUsed w:val="1"/>
    <w:rsid w:val="00CD22A8"/>
    <w:rPr>
      <w:color w:val="800080"/>
      <w:u w:val="single"/>
    </w:rPr>
  </w:style>
  <w:style w:type="character" w:styleId="icon-wrapper" w:customStyle="1">
    <w:name w:val="icon-wrapper"/>
    <w:basedOn w:val="DefaultParagraphFont"/>
    <w:rsid w:val="00CD22A8"/>
  </w:style>
  <w:style w:type="character" w:styleId="icon" w:customStyle="1">
    <w:name w:val="icon"/>
    <w:basedOn w:val="DefaultParagraphFont"/>
    <w:rsid w:val="00CD22A8"/>
  </w:style>
  <w:style w:type="character" w:styleId="hide" w:customStyle="1">
    <w:name w:val="hide"/>
    <w:basedOn w:val="DefaultParagraphFont"/>
    <w:rsid w:val="00CD22A8"/>
  </w:style>
  <w:style w:type="character" w:styleId="q-num" w:customStyle="1">
    <w:name w:val="q-num"/>
    <w:basedOn w:val="DefaultParagraphFont"/>
    <w:rsid w:val="00CD22A8"/>
  </w:style>
  <w:style w:type="character" w:styleId="q-icon" w:customStyle="1">
    <w:name w:val="q-icon"/>
    <w:basedOn w:val="DefaultParagraphFont"/>
    <w:rsid w:val="00CD22A8"/>
  </w:style>
  <w:style w:type="character" w:styleId="q-req" w:customStyle="1">
    <w:name w:val="q-req"/>
    <w:basedOn w:val="DefaultParagraphFont"/>
    <w:rsid w:val="00CD22A8"/>
  </w:style>
  <w:style w:type="paragraph" w:styleId="TableofFigures">
    <w:name w:val="table of figures"/>
    <w:basedOn w:val="Normal"/>
    <w:next w:val="Normal"/>
    <w:uiPriority w:val="99"/>
    <w:unhideWhenUsed w:val="1"/>
    <w:rsid w:val="00CD22A8"/>
    <w:pPr>
      <w:ind w:left="480" w:hanging="480"/>
    </w:pPr>
    <w:rPr>
      <w:bCs w:val="1"/>
    </w:rPr>
  </w:style>
  <w:style w:type="table" w:styleId="MediumGrid3-Accent2">
    <w:name w:val="Medium Grid 3 Accent 2"/>
    <w:basedOn w:val="TableNormal"/>
    <w:uiPriority w:val="69"/>
    <w:rsid w:val="00CD22A8"/>
    <w:pPr>
      <w:spacing w:after="100" w:line="360" w:lineRule="auto"/>
      <w:ind w:left="482"/>
    </w:pPr>
    <w:rPr>
      <w:rFonts w:ascii="Century Gothic" w:cs="Times New Roman" w:eastAsia="Times New Roman" w:hAnsi="Century Gothic"/>
      <w:sz w:val="20"/>
      <w:szCs w:val="20"/>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character" w:styleId="author" w:customStyle="1">
    <w:name w:val="author"/>
    <w:basedOn w:val="DefaultParagraphFont"/>
    <w:rsid w:val="00CD22A8"/>
  </w:style>
  <w:style w:type="character" w:styleId="pubyear" w:customStyle="1">
    <w:name w:val="pubyear"/>
    <w:basedOn w:val="DefaultParagraphFont"/>
    <w:rsid w:val="00CD22A8"/>
  </w:style>
  <w:style w:type="character" w:styleId="booktitle" w:customStyle="1">
    <w:name w:val="booktitle"/>
    <w:basedOn w:val="DefaultParagraphFont"/>
    <w:rsid w:val="00CD22A8"/>
  </w:style>
  <w:style w:type="paragraph" w:styleId="PlainText">
    <w:name w:val="Plain Text"/>
    <w:basedOn w:val="Normal"/>
    <w:link w:val="PlainTextChar"/>
    <w:uiPriority w:val="99"/>
    <w:semiHidden w:val="1"/>
    <w:unhideWhenUsed w:val="1"/>
    <w:rsid w:val="00CD22A8"/>
    <w:pPr>
      <w:spacing w:line="240" w:lineRule="auto"/>
    </w:pPr>
    <w:rPr>
      <w:rFonts w:ascii="Consolas" w:hAnsi="Consolas"/>
      <w:sz w:val="21"/>
      <w:szCs w:val="21"/>
    </w:rPr>
  </w:style>
  <w:style w:type="character" w:styleId="PlainTextChar" w:customStyle="1">
    <w:name w:val="Plain Text Char"/>
    <w:basedOn w:val="DefaultParagraphFont"/>
    <w:link w:val="PlainText"/>
    <w:uiPriority w:val="99"/>
    <w:semiHidden w:val="1"/>
    <w:rsid w:val="00CD22A8"/>
    <w:rPr>
      <w:rFonts w:ascii="Consolas" w:cs="Times New Roman" w:eastAsia="Times New Roman" w:hAnsi="Consolas"/>
      <w:sz w:val="21"/>
      <w:szCs w:val="21"/>
    </w:rPr>
  </w:style>
  <w:style w:type="character" w:styleId="cit-title" w:customStyle="1">
    <w:name w:val="cit-title"/>
    <w:basedOn w:val="DefaultParagraphFont"/>
    <w:rsid w:val="00CD22A8"/>
  </w:style>
  <w:style w:type="character" w:styleId="cit-print-date" w:customStyle="1">
    <w:name w:val="cit-print-date"/>
    <w:basedOn w:val="DefaultParagraphFont"/>
    <w:rsid w:val="00CD22A8"/>
  </w:style>
  <w:style w:type="character" w:styleId="cit-sep" w:customStyle="1">
    <w:name w:val="cit-sep"/>
    <w:basedOn w:val="DefaultParagraphFont"/>
    <w:rsid w:val="00CD22A8"/>
  </w:style>
  <w:style w:type="character" w:styleId="cit-vol" w:customStyle="1">
    <w:name w:val="cit-vol"/>
    <w:basedOn w:val="DefaultParagraphFont"/>
    <w:rsid w:val="00CD22A8"/>
  </w:style>
  <w:style w:type="character" w:styleId="cit-issue" w:customStyle="1">
    <w:name w:val="cit-issue"/>
    <w:basedOn w:val="DefaultParagraphFont"/>
    <w:rsid w:val="00CD22A8"/>
  </w:style>
  <w:style w:type="character" w:styleId="cit-first-page" w:customStyle="1">
    <w:name w:val="cit-first-page"/>
    <w:basedOn w:val="DefaultParagraphFont"/>
    <w:rsid w:val="00CD22A8"/>
  </w:style>
  <w:style w:type="character" w:styleId="cit-last-page" w:customStyle="1">
    <w:name w:val="cit-last-page"/>
    <w:basedOn w:val="DefaultParagraphFont"/>
    <w:rsid w:val="00CD22A8"/>
  </w:style>
  <w:style w:type="character" w:styleId="tgc" w:customStyle="1">
    <w:name w:val="_tgc"/>
    <w:basedOn w:val="DefaultParagraphFont"/>
    <w:rsid w:val="00CD22A8"/>
  </w:style>
  <w:style w:type="character" w:styleId="d8e" w:customStyle="1">
    <w:name w:val="_d8e"/>
    <w:basedOn w:val="DefaultParagraphFont"/>
    <w:rsid w:val="00CD22A8"/>
  </w:style>
  <w:style w:type="paragraph" w:styleId="NoSpacing">
    <w:name w:val="No Spacing"/>
    <w:link w:val="NoSpacingChar"/>
    <w:uiPriority w:val="1"/>
    <w:qFormat w:val="1"/>
    <w:rsid w:val="00CD22A8"/>
    <w:pPr>
      <w:spacing w:after="100" w:line="360" w:lineRule="auto"/>
      <w:ind w:left="482"/>
    </w:pPr>
    <w:rPr>
      <w:rFonts w:ascii="Century Gothic" w:hAnsi="Century Gothic"/>
      <w:color w:val="44546a" w:themeColor="text2"/>
      <w:sz w:val="20"/>
      <w:szCs w:val="20"/>
      <w:lang w:val="en-US"/>
    </w:rPr>
  </w:style>
  <w:style w:type="character" w:styleId="NoSpacingChar" w:customStyle="1">
    <w:name w:val="No Spacing Char"/>
    <w:basedOn w:val="DefaultParagraphFont"/>
    <w:link w:val="NoSpacing"/>
    <w:uiPriority w:val="1"/>
    <w:rsid w:val="00CD22A8"/>
    <w:rPr>
      <w:rFonts w:ascii="Century Gothic" w:hAnsi="Century Gothic"/>
      <w:color w:val="44546a" w:themeColor="text2"/>
      <w:sz w:val="20"/>
      <w:szCs w:val="20"/>
      <w:lang w:val="en-US"/>
    </w:rPr>
  </w:style>
  <w:style w:type="paragraph" w:styleId="TOC3">
    <w:name w:val="toc 3"/>
    <w:basedOn w:val="Normal"/>
    <w:next w:val="Normal"/>
    <w:autoRedefine w:val="1"/>
    <w:uiPriority w:val="39"/>
    <w:unhideWhenUsed w:val="1"/>
    <w:rsid w:val="00CD22A8"/>
    <w:pPr>
      <w:ind w:left="440"/>
      <w:jc w:val="left"/>
    </w:pPr>
    <w:rPr>
      <w:iCs w:val="1"/>
    </w:rPr>
  </w:style>
  <w:style w:type="character" w:styleId="mw-headline" w:customStyle="1">
    <w:name w:val="mw-headline"/>
    <w:basedOn w:val="DefaultParagraphFont"/>
    <w:rsid w:val="00CD22A8"/>
  </w:style>
  <w:style w:type="character" w:styleId="mw-editsection" w:customStyle="1">
    <w:name w:val="mw-editsection"/>
    <w:basedOn w:val="DefaultParagraphFont"/>
    <w:rsid w:val="00CD22A8"/>
  </w:style>
  <w:style w:type="character" w:styleId="mw-editsection-bracket" w:customStyle="1">
    <w:name w:val="mw-editsection-bracket"/>
    <w:basedOn w:val="DefaultParagraphFont"/>
    <w:rsid w:val="00CD22A8"/>
  </w:style>
  <w:style w:type="character" w:styleId="mwe-math-mathml-inline" w:customStyle="1">
    <w:name w:val="mwe-math-mathml-inline"/>
    <w:basedOn w:val="DefaultParagraphFont"/>
    <w:rsid w:val="00CD22A8"/>
  </w:style>
  <w:style w:type="paragraph" w:styleId="selectionshareable" w:customStyle="1">
    <w:name w:val="selectionshareable"/>
    <w:basedOn w:val="Normal"/>
    <w:rsid w:val="00CD22A8"/>
    <w:pPr>
      <w:spacing w:afterAutospacing="1" w:before="100" w:beforeAutospacing="1" w:line="240" w:lineRule="auto"/>
    </w:pPr>
    <w:rPr>
      <w:rFonts w:ascii="Times New Roman" w:hAnsi="Times New Roman"/>
      <w:lang w:eastAsia="en-GB"/>
    </w:rPr>
  </w:style>
  <w:style w:type="character" w:styleId="s1" w:customStyle="1">
    <w:name w:val="s1"/>
    <w:basedOn w:val="DefaultParagraphFont"/>
    <w:rsid w:val="00CD22A8"/>
  </w:style>
  <w:style w:type="paragraph" w:styleId="byline" w:customStyle="1">
    <w:name w:val="byline"/>
    <w:basedOn w:val="Normal"/>
    <w:rsid w:val="00CD22A8"/>
    <w:pPr>
      <w:spacing w:afterAutospacing="1" w:before="100" w:beforeAutospacing="1" w:line="240" w:lineRule="auto"/>
    </w:pPr>
    <w:rPr>
      <w:rFonts w:ascii="Times New Roman" w:hAnsi="Times New Roman"/>
      <w:lang w:eastAsia="en-GB"/>
    </w:rPr>
  </w:style>
  <w:style w:type="paragraph" w:styleId="TOC4">
    <w:name w:val="toc 4"/>
    <w:basedOn w:val="Normal"/>
    <w:next w:val="Normal"/>
    <w:autoRedefine w:val="1"/>
    <w:uiPriority w:val="39"/>
    <w:unhideWhenUsed w:val="1"/>
    <w:rsid w:val="00CD22A8"/>
    <w:pPr>
      <w:ind w:left="660"/>
      <w:jc w:val="left"/>
    </w:pPr>
    <w:rPr>
      <w:szCs w:val="18"/>
    </w:rPr>
  </w:style>
  <w:style w:type="paragraph" w:styleId="TOC5">
    <w:name w:val="toc 5"/>
    <w:basedOn w:val="Normal"/>
    <w:next w:val="Normal"/>
    <w:autoRedefine w:val="1"/>
    <w:uiPriority w:val="39"/>
    <w:unhideWhenUsed w:val="1"/>
    <w:rsid w:val="00CD22A8"/>
    <w:pPr>
      <w:ind w:left="880"/>
      <w:jc w:val="left"/>
    </w:pPr>
    <w:rPr>
      <w:szCs w:val="18"/>
    </w:rPr>
  </w:style>
  <w:style w:type="paragraph" w:styleId="TOC6">
    <w:name w:val="toc 6"/>
    <w:basedOn w:val="Normal"/>
    <w:next w:val="Normal"/>
    <w:autoRedefine w:val="1"/>
    <w:uiPriority w:val="39"/>
    <w:unhideWhenUsed w:val="1"/>
    <w:rsid w:val="00CD22A8"/>
    <w:pPr>
      <w:ind w:left="1100"/>
      <w:jc w:val="left"/>
    </w:pPr>
    <w:rPr>
      <w:szCs w:val="18"/>
    </w:rPr>
  </w:style>
  <w:style w:type="paragraph" w:styleId="TOC7">
    <w:name w:val="toc 7"/>
    <w:basedOn w:val="Normal"/>
    <w:next w:val="Normal"/>
    <w:autoRedefine w:val="1"/>
    <w:uiPriority w:val="39"/>
    <w:unhideWhenUsed w:val="1"/>
    <w:rsid w:val="00CD22A8"/>
    <w:pPr>
      <w:ind w:left="1320"/>
      <w:jc w:val="left"/>
    </w:pPr>
    <w:rPr>
      <w:rFonts w:asciiTheme="minorHAnsi" w:hAnsiTheme="minorHAnsi"/>
      <w:sz w:val="18"/>
      <w:szCs w:val="18"/>
    </w:rPr>
  </w:style>
  <w:style w:type="paragraph" w:styleId="TOC8">
    <w:name w:val="toc 8"/>
    <w:basedOn w:val="Normal"/>
    <w:next w:val="Normal"/>
    <w:autoRedefine w:val="1"/>
    <w:uiPriority w:val="39"/>
    <w:unhideWhenUsed w:val="1"/>
    <w:rsid w:val="00CD22A8"/>
    <w:pPr>
      <w:ind w:left="1540"/>
      <w:jc w:val="left"/>
    </w:pPr>
    <w:rPr>
      <w:rFonts w:asciiTheme="minorHAnsi" w:hAnsiTheme="minorHAnsi"/>
      <w:sz w:val="18"/>
      <w:szCs w:val="18"/>
    </w:rPr>
  </w:style>
  <w:style w:type="paragraph" w:styleId="TOC9">
    <w:name w:val="toc 9"/>
    <w:basedOn w:val="Normal"/>
    <w:next w:val="Normal"/>
    <w:autoRedefine w:val="1"/>
    <w:uiPriority w:val="39"/>
    <w:unhideWhenUsed w:val="1"/>
    <w:rsid w:val="00CD22A8"/>
    <w:pPr>
      <w:ind w:left="1760"/>
      <w:jc w:val="left"/>
    </w:pPr>
    <w:rPr>
      <w:rFonts w:asciiTheme="minorHAnsi" w:hAnsiTheme="minorHAnsi"/>
      <w:sz w:val="18"/>
      <w:szCs w:val="18"/>
    </w:rPr>
  </w:style>
  <w:style w:type="paragraph" w:styleId="subhead" w:customStyle="1">
    <w:name w:val="subhead"/>
    <w:basedOn w:val="Normal"/>
    <w:rsid w:val="00CD22A8"/>
    <w:pPr>
      <w:spacing w:afterAutospacing="1" w:before="100" w:beforeAutospacing="1" w:line="240" w:lineRule="auto"/>
    </w:pPr>
    <w:rPr>
      <w:rFonts w:ascii="Times New Roman" w:hAnsi="Times New Roman"/>
      <w:lang w:eastAsia="en-GB"/>
    </w:rPr>
  </w:style>
  <w:style w:type="character" w:styleId="photo-caption" w:customStyle="1">
    <w:name w:val="photo-caption"/>
    <w:basedOn w:val="DefaultParagraphFont"/>
    <w:rsid w:val="00CD22A8"/>
  </w:style>
  <w:style w:type="character" w:styleId="meta-prep" w:customStyle="1">
    <w:name w:val="meta-prep"/>
    <w:basedOn w:val="DefaultParagraphFont"/>
    <w:rsid w:val="00CD22A8"/>
  </w:style>
  <w:style w:type="character" w:styleId="comments-link" w:customStyle="1">
    <w:name w:val="comments-link"/>
    <w:basedOn w:val="DefaultParagraphFont"/>
    <w:rsid w:val="00CD22A8"/>
  </w:style>
  <w:style w:type="character" w:styleId="mdash" w:customStyle="1">
    <w:name w:val="mdash"/>
    <w:basedOn w:val="DefaultParagraphFont"/>
    <w:rsid w:val="00CD22A8"/>
  </w:style>
  <w:style w:type="paragraph" w:styleId="wp-caption-text" w:customStyle="1">
    <w:name w:val="wp-caption-text"/>
    <w:basedOn w:val="Normal"/>
    <w:rsid w:val="00CD22A8"/>
    <w:pPr>
      <w:spacing w:afterAutospacing="1" w:before="100" w:beforeAutospacing="1" w:line="240" w:lineRule="auto"/>
    </w:pPr>
    <w:rPr>
      <w:rFonts w:ascii="Times New Roman" w:hAnsi="Times New Roman"/>
      <w:lang w:eastAsia="en-GB"/>
    </w:rPr>
  </w:style>
  <w:style w:type="table" w:styleId="GridTable5Dark-Accent11" w:customStyle="1">
    <w:name w:val="Grid Table 5 Dark - Accent 11"/>
    <w:basedOn w:val="TableNormal"/>
    <w:uiPriority w:val="50"/>
    <w:rsid w:val="00CD22A8"/>
    <w:pPr>
      <w:spacing w:after="0" w:line="240" w:lineRule="auto"/>
      <w:ind w:left="482"/>
    </w:pPr>
    <w:rPr>
      <w:rFonts w:ascii="Century Gothic" w:cs="Times New Roman" w:eastAsia="Times New Roman" w:hAnsi="Century Gothic"/>
      <w:sz w:val="20"/>
      <w:szCs w:val="20"/>
      <w:lang w:val="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paragraph" w:styleId="Salutation">
    <w:name w:val="Salutation"/>
    <w:basedOn w:val="Normal"/>
    <w:next w:val="Normal"/>
    <w:link w:val="SalutationChar"/>
    <w:uiPriority w:val="99"/>
    <w:rsid w:val="00CD22A8"/>
  </w:style>
  <w:style w:type="character" w:styleId="SalutationChar" w:customStyle="1">
    <w:name w:val="Salutation Char"/>
    <w:basedOn w:val="DefaultParagraphFont"/>
    <w:link w:val="Salutation"/>
    <w:uiPriority w:val="99"/>
    <w:rsid w:val="00CD22A8"/>
    <w:rPr>
      <w:rFonts w:ascii="Arial" w:cs="Times New Roman" w:eastAsia="Times New Roman" w:hAnsi="Arial"/>
      <w:szCs w:val="20"/>
    </w:rPr>
  </w:style>
  <w:style w:type="table" w:styleId="GridTable4-Accent11" w:customStyle="1">
    <w:name w:val="Grid Table 4 - Accent 11"/>
    <w:basedOn w:val="TableNormal"/>
    <w:uiPriority w:val="49"/>
    <w:rsid w:val="00CD22A8"/>
    <w:pPr>
      <w:spacing w:after="0" w:line="240" w:lineRule="auto"/>
      <w:ind w:left="482"/>
    </w:pPr>
    <w:rPr>
      <w:rFonts w:ascii="Century Gothic" w:cs="Times New Roman" w:eastAsia="Times New Roman" w:hAnsi="Century Gothic"/>
      <w:sz w:val="20"/>
      <w:szCs w:val="20"/>
      <w:lang w:val="en-US"/>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ListNumber3">
    <w:name w:val="List Number 3"/>
    <w:basedOn w:val="Normal"/>
    <w:semiHidden w:val="1"/>
    <w:unhideWhenUsed w:val="1"/>
    <w:rsid w:val="00CD22A8"/>
    <w:pPr>
      <w:numPr>
        <w:numId w:val="3"/>
      </w:numPr>
      <w:contextualSpacing w:val="1"/>
    </w:pPr>
  </w:style>
  <w:style w:type="table" w:styleId="ListTable5Dark-Accent11" w:customStyle="1">
    <w:name w:val="List Table 5 Dark - Accent 11"/>
    <w:basedOn w:val="TableNormal"/>
    <w:uiPriority w:val="50"/>
    <w:rsid w:val="00CD22A8"/>
    <w:pPr>
      <w:spacing w:after="0" w:line="240" w:lineRule="auto"/>
      <w:ind w:left="482"/>
    </w:pPr>
    <w:rPr>
      <w:rFonts w:ascii="Century Gothic" w:cs="Times New Roman" w:eastAsia="Times New Roman" w:hAnsi="Century Gothic"/>
      <w:color w:val="ffffff" w:themeColor="background1"/>
      <w:sz w:val="20"/>
      <w:szCs w:val="20"/>
      <w:lang w:val="en-US"/>
    </w:rPr>
    <w:tblPr>
      <w:tblStyleRowBandSize w:val="1"/>
      <w:tblStyleColBandSize w:val="1"/>
      <w:tblBorders>
        <w:top w:color="4472c4" w:space="0" w:sz="24" w:themeColor="accent1" w:val="single"/>
        <w:left w:color="4472c4" w:space="0" w:sz="24" w:themeColor="accent1" w:val="single"/>
        <w:bottom w:color="4472c4" w:space="0" w:sz="24" w:themeColor="accent1" w:val="single"/>
        <w:right w:color="4472c4" w:space="0" w:sz="24" w:themeColor="accent1" w:val="single"/>
      </w:tblBorders>
    </w:tblPr>
    <w:tcPr>
      <w:shd w:color="auto" w:fill="4472c4"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character" w:styleId="PlaceholderText">
    <w:name w:val="Placeholder Text"/>
    <w:basedOn w:val="DefaultParagraphFont"/>
    <w:uiPriority w:val="99"/>
    <w:semiHidden w:val="1"/>
    <w:rsid w:val="00CD22A8"/>
    <w:rPr>
      <w:color w:val="808080"/>
    </w:rPr>
  </w:style>
  <w:style w:type="paragraph" w:styleId="Quote2" w:customStyle="1">
    <w:name w:val="Quote 2"/>
    <w:basedOn w:val="Normal"/>
    <w:link w:val="Quote2Char"/>
    <w:qFormat w:val="1"/>
    <w:rsid w:val="00CD22A8"/>
    <w:pPr>
      <w:ind w:left="720"/>
    </w:pPr>
    <w:rPr>
      <w:i w:val="0"/>
    </w:rPr>
  </w:style>
  <w:style w:type="character" w:styleId="Quote2Char" w:customStyle="1">
    <w:name w:val="Quote 2 Char"/>
    <w:basedOn w:val="DefaultParagraphFont"/>
    <w:link w:val="Quote2"/>
    <w:rsid w:val="00CD22A8"/>
    <w:rPr>
      <w:rFonts w:ascii="Arial" w:cs="Times New Roman" w:eastAsia="Times New Roman" w:hAnsi="Arial"/>
      <w:i w:val="1"/>
      <w:szCs w:val="20"/>
    </w:rPr>
  </w:style>
  <w:style w:type="paragraph" w:styleId="Isa2" w:customStyle="1">
    <w:name w:val="Isa 2"/>
    <w:basedOn w:val="Normal"/>
    <w:link w:val="Isa2Char"/>
    <w:qFormat w:val="1"/>
    <w:rsid w:val="00CD22A8"/>
    <w:pPr>
      <w:ind w:left="720" w:firstLine="720"/>
      <w:jc w:val="left"/>
    </w:pPr>
  </w:style>
  <w:style w:type="character" w:styleId="Isa2Char" w:customStyle="1">
    <w:name w:val="Isa 2 Char"/>
    <w:basedOn w:val="DefaultParagraphFont"/>
    <w:link w:val="Isa2"/>
    <w:rsid w:val="00CD22A8"/>
    <w:rPr>
      <w:rFonts w:ascii="Arial" w:cs="Times New Roman" w:eastAsia="Times New Roman" w:hAnsi="Arial"/>
      <w:szCs w:val="20"/>
    </w:rPr>
  </w:style>
  <w:style w:type="table" w:styleId="ListTable5Dark-Accent21" w:customStyle="1">
    <w:name w:val="List Table 5 Dark - Accent 21"/>
    <w:basedOn w:val="TableNormal"/>
    <w:uiPriority w:val="50"/>
    <w:rsid w:val="00CD22A8"/>
    <w:pPr>
      <w:spacing w:after="0" w:line="240" w:lineRule="auto"/>
      <w:ind w:left="482"/>
    </w:pPr>
    <w:rPr>
      <w:rFonts w:ascii="Century Gothic" w:cs="Times New Roman" w:eastAsia="Times New Roman" w:hAnsi="Century Gothic"/>
      <w:color w:val="ffffff" w:themeColor="background1"/>
      <w:sz w:val="20"/>
      <w:szCs w:val="20"/>
      <w:lang w:val="en-US"/>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51" w:customStyle="1">
    <w:name w:val="List Table 5 Dark - Accent 51"/>
    <w:basedOn w:val="TableNormal"/>
    <w:uiPriority w:val="50"/>
    <w:rsid w:val="00CD22A8"/>
    <w:pPr>
      <w:spacing w:after="0" w:line="240" w:lineRule="auto"/>
      <w:ind w:left="482"/>
    </w:pPr>
    <w:rPr>
      <w:rFonts w:ascii="Century Gothic" w:cs="Times New Roman" w:eastAsia="Times New Roman" w:hAnsi="Century Gothic"/>
      <w:color w:val="ffffff" w:themeColor="background1"/>
      <w:sz w:val="20"/>
      <w:szCs w:val="20"/>
    </w:rPr>
    <w:tblPr>
      <w:tblStyleRowBandSize w:val="1"/>
      <w:tblStyleColBandSize w:val="1"/>
      <w:tblBorders>
        <w:top w:color="5b9bd5" w:space="0" w:sz="24" w:themeColor="accent5" w:val="single"/>
        <w:left w:color="5b9bd5" w:space="0" w:sz="24" w:themeColor="accent5" w:val="single"/>
        <w:bottom w:color="5b9bd5" w:space="0" w:sz="24" w:themeColor="accent5" w:val="single"/>
        <w:right w:color="5b9bd5" w:space="0" w:sz="24" w:themeColor="accent5" w:val="single"/>
      </w:tblBorders>
    </w:tblPr>
    <w:tcPr>
      <w:shd w:color="auto" w:fill="5b9bd5"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31" w:customStyle="1">
    <w:name w:val="List Table 5 Dark - Accent 31"/>
    <w:basedOn w:val="TableNormal"/>
    <w:uiPriority w:val="50"/>
    <w:rsid w:val="00CD22A8"/>
    <w:pPr>
      <w:spacing w:after="0" w:line="240" w:lineRule="auto"/>
      <w:ind w:left="482"/>
    </w:pPr>
    <w:rPr>
      <w:rFonts w:ascii="Century Gothic" w:cs="Times New Roman" w:eastAsia="Times New Roman" w:hAnsi="Century Gothic"/>
      <w:color w:val="ffffff" w:themeColor="background1"/>
      <w:sz w:val="20"/>
      <w:szCs w:val="20"/>
      <w:lang w:val="en-US"/>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41" w:customStyle="1">
    <w:name w:val="List Table 5 Dark - Accent 41"/>
    <w:basedOn w:val="TableNormal"/>
    <w:uiPriority w:val="50"/>
    <w:rsid w:val="00CD22A8"/>
    <w:pPr>
      <w:spacing w:after="0" w:line="240" w:lineRule="auto"/>
      <w:ind w:left="482"/>
    </w:pPr>
    <w:rPr>
      <w:rFonts w:ascii="Century Gothic" w:cs="Times New Roman" w:eastAsia="Times New Roman" w:hAnsi="Century Gothic"/>
      <w:color w:val="ffffff" w:themeColor="background1"/>
      <w:sz w:val="20"/>
      <w:szCs w:val="20"/>
      <w:lang w:val="en-US"/>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TableGridLight1" w:customStyle="1">
    <w:name w:val="Table Grid Light1"/>
    <w:basedOn w:val="TableNormal"/>
    <w:uiPriority w:val="40"/>
    <w:rsid w:val="00CD22A8"/>
    <w:pPr>
      <w:spacing w:after="0" w:line="240" w:lineRule="auto"/>
      <w:ind w:left="482"/>
    </w:pPr>
    <w:rPr>
      <w:rFonts w:ascii="Century Gothic" w:cs="Times New Roman" w:eastAsia="Times New Roman" w:hAnsi="Century Gothic"/>
      <w:sz w:val="20"/>
      <w:szCs w:val="20"/>
      <w:lang w:val="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1" w:customStyle="1">
    <w:name w:val="Plain Table 11"/>
    <w:basedOn w:val="TableNormal"/>
    <w:uiPriority w:val="41"/>
    <w:rsid w:val="00CD22A8"/>
    <w:pPr>
      <w:spacing w:after="0" w:line="240" w:lineRule="auto"/>
      <w:ind w:left="482"/>
    </w:pPr>
    <w:rPr>
      <w:rFonts w:ascii="Century Gothic" w:cs="Times New Roman" w:eastAsia="Times New Roman" w:hAnsi="Century Gothic"/>
      <w:sz w:val="20"/>
      <w:szCs w:val="20"/>
      <w:lang w:val="en-US"/>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1" w:customStyle="1">
    <w:name w:val="Plain Table 21"/>
    <w:basedOn w:val="TableNormal"/>
    <w:uiPriority w:val="42"/>
    <w:rsid w:val="00CD22A8"/>
    <w:pPr>
      <w:spacing w:after="0" w:line="240" w:lineRule="auto"/>
      <w:ind w:left="482"/>
    </w:pPr>
    <w:rPr>
      <w:rFonts w:ascii="Century Gothic" w:cs="Times New Roman" w:eastAsia="Times New Roman" w:hAnsi="Century Gothic"/>
      <w:sz w:val="20"/>
      <w:szCs w:val="20"/>
      <w:lang w:val="en-US"/>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GridTable1Light-Accent31" w:customStyle="1">
    <w:name w:val="Grid Table 1 Light - Accent 31"/>
    <w:basedOn w:val="TableNormal"/>
    <w:uiPriority w:val="46"/>
    <w:rsid w:val="00CD22A8"/>
    <w:pPr>
      <w:spacing w:after="0" w:line="240" w:lineRule="auto"/>
      <w:ind w:left="482"/>
    </w:pPr>
    <w:rPr>
      <w:rFonts w:ascii="Century Gothic" w:cs="Times New Roman" w:eastAsia="Times New Roman" w:hAnsi="Century Gothic"/>
      <w:sz w:val="20"/>
      <w:szCs w:val="20"/>
      <w:lang w:val="en-US"/>
    </w:r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GridTable1Light1" w:customStyle="1">
    <w:name w:val="Grid Table 1 Light1"/>
    <w:basedOn w:val="TableNormal"/>
    <w:uiPriority w:val="46"/>
    <w:rsid w:val="00CD22A8"/>
    <w:pPr>
      <w:spacing w:after="0" w:line="240" w:lineRule="auto"/>
      <w:ind w:left="482"/>
    </w:pPr>
    <w:rPr>
      <w:rFonts w:ascii="Century Gothic" w:cs="Times New Roman" w:eastAsia="Times New Roman" w:hAnsi="Century Gothic"/>
      <w:color w:val="808080" w:themeColor="background1" w:themeShade="000080"/>
      <w:sz w:val="20"/>
      <w:szCs w:val="20"/>
      <w:lang w:val="en-US"/>
    </w:rPr>
    <w:tblPr>
      <w:tblStyleRowBandSize w:val="1"/>
      <w:tblStyleColBandSize w:val="1"/>
      <w:tblBorders>
        <w:top w:color="808080" w:space="0" w:sz="4" w:themeColor="background1" w:themeShade="000080" w:val="single"/>
        <w:left w:color="808080" w:space="0" w:sz="4" w:themeColor="background1" w:themeShade="000080" w:val="single"/>
        <w:bottom w:color="808080" w:space="0" w:sz="4" w:themeColor="background1" w:themeShade="000080" w:val="single"/>
        <w:right w:color="808080" w:space="0" w:sz="4" w:themeColor="background1" w:themeShade="000080" w:val="single"/>
        <w:insideH w:color="808080" w:space="0" w:sz="4" w:themeColor="background1" w:themeShade="000080" w:val="single"/>
        <w:insideV w:color="808080" w:space="0" w:sz="4" w:themeColor="background1" w:themeShade="000080" w:val="single"/>
      </w:tblBorders>
    </w:tblPr>
    <w:tcPr>
      <w:shd w:color="auto" w:fill="auto" w:val="clear"/>
      <w:vAlign w:val="center"/>
    </w:tc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character" w:styleId="UnresolvedMention1" w:customStyle="1">
    <w:name w:val="Unresolved Mention1"/>
    <w:basedOn w:val="DefaultParagraphFont"/>
    <w:uiPriority w:val="99"/>
    <w:semiHidden w:val="1"/>
    <w:unhideWhenUsed w:val="1"/>
    <w:rsid w:val="00CD22A8"/>
    <w:rPr>
      <w:color w:val="808080"/>
      <w:shd w:color="auto" w:fill="e6e6e6" w:val="clear"/>
    </w:rPr>
  </w:style>
  <w:style w:type="character" w:styleId="introduction" w:customStyle="1">
    <w:name w:val="introduction"/>
    <w:basedOn w:val="DefaultParagraphFont"/>
    <w:rsid w:val="00CD22A8"/>
  </w:style>
  <w:style w:type="character" w:styleId="with-caret" w:customStyle="1">
    <w:name w:val="with-caret"/>
    <w:basedOn w:val="DefaultParagraphFont"/>
    <w:rsid w:val="00CD22A8"/>
  </w:style>
  <w:style w:type="paragraph" w:styleId="c11-mastheadeyebrow" w:customStyle="1">
    <w:name w:val="c11-masthead__eyebrow"/>
    <w:basedOn w:val="Normal"/>
    <w:rsid w:val="00CD22A8"/>
    <w:pPr>
      <w:spacing w:afterAutospacing="1" w:before="100" w:beforeAutospacing="1" w:line="240" w:lineRule="auto"/>
      <w:jc w:val="left"/>
    </w:pPr>
    <w:rPr>
      <w:rFonts w:ascii="Times New Roman" w:hAnsi="Times New Roman"/>
      <w:szCs w:val="24"/>
    </w:rPr>
  </w:style>
  <w:style w:type="character" w:styleId="mw-cite-backlink" w:customStyle="1">
    <w:name w:val="mw-cite-backlink"/>
    <w:basedOn w:val="DefaultParagraphFont"/>
    <w:rsid w:val="00CD22A8"/>
  </w:style>
  <w:style w:type="character" w:styleId="cite-accessibility-label" w:customStyle="1">
    <w:name w:val="cite-accessibility-label"/>
    <w:basedOn w:val="DefaultParagraphFont"/>
    <w:rsid w:val="00CD22A8"/>
  </w:style>
  <w:style w:type="character" w:styleId="reference-text" w:customStyle="1">
    <w:name w:val="reference-text"/>
    <w:basedOn w:val="DefaultParagraphFont"/>
    <w:rsid w:val="00CD22A8"/>
  </w:style>
  <w:style w:type="character" w:styleId="reference-accessdate" w:customStyle="1">
    <w:name w:val="reference-accessdate"/>
    <w:basedOn w:val="DefaultParagraphFont"/>
    <w:rsid w:val="00CD22A8"/>
  </w:style>
  <w:style w:type="character" w:styleId="nowrap" w:customStyle="1">
    <w:name w:val="nowrap"/>
    <w:basedOn w:val="DefaultParagraphFont"/>
    <w:rsid w:val="00CD22A8"/>
  </w:style>
  <w:style w:type="table" w:styleId="GridTable4-Accent51" w:customStyle="1">
    <w:name w:val="Grid Table 4 - Accent 51"/>
    <w:basedOn w:val="TableNormal"/>
    <w:uiPriority w:val="49"/>
    <w:rsid w:val="00CD22A8"/>
    <w:pPr>
      <w:spacing w:after="0" w:line="240" w:lineRule="auto"/>
    </w:pPr>
    <w:rPr>
      <w:lang w:val="es-CO"/>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GridTable5Dark-Accent51" w:customStyle="1">
    <w:name w:val="Grid Table 5 Dark - Accent 51"/>
    <w:basedOn w:val="TableNormal"/>
    <w:uiPriority w:val="50"/>
    <w:rsid w:val="00CD22A8"/>
    <w:pPr>
      <w:spacing w:after="0" w:line="240" w:lineRule="auto"/>
    </w:pPr>
    <w:rPr>
      <w:lang w:val="es-CO"/>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5" w:val="clear"/>
      </w:tcPr>
    </w:tblStylePr>
    <w:tblStylePr w:type="band1Vert">
      <w:tblPr/>
      <w:tcPr>
        <w:shd w:color="auto" w:fill="bdd6ee" w:themeFill="accent5" w:themeFillTint="000066" w:val="clear"/>
      </w:tcPr>
    </w:tblStylePr>
    <w:tblStylePr w:type="band1Horz">
      <w:tblPr/>
      <w:tcPr>
        <w:shd w:color="auto" w:fill="bdd6ee" w:themeFill="accent5" w:themeFillTint="000066" w:val="clear"/>
      </w:tcPr>
    </w:tblStylePr>
  </w:style>
  <w:style w:type="character" w:styleId="hlite" w:customStyle="1">
    <w:name w:val="hlite"/>
    <w:basedOn w:val="DefaultParagraphFont"/>
    <w:rsid w:val="00CD22A8"/>
  </w:style>
  <w:style w:type="table" w:styleId="GridTable1Light-Accent61" w:customStyle="1">
    <w:name w:val="Grid Table 1 Light - Accent 61"/>
    <w:basedOn w:val="TableNormal"/>
    <w:uiPriority w:val="46"/>
    <w:rsid w:val="00CD22A8"/>
    <w:pPr>
      <w:spacing w:after="0" w:line="240" w:lineRule="auto"/>
      <w:ind w:left="482"/>
    </w:pPr>
    <w:rPr>
      <w:rFonts w:ascii="Century Gothic" w:cs="Times New Roman" w:eastAsia="Times New Roman" w:hAnsi="Century Gothic"/>
      <w:sz w:val="20"/>
      <w:szCs w:val="20"/>
    </w:r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paragraph" w:styleId="msonormal0" w:customStyle="1">
    <w:name w:val="msonormal"/>
    <w:basedOn w:val="Normal"/>
    <w:rsid w:val="00CD22A8"/>
    <w:pPr>
      <w:spacing w:afterAutospacing="1" w:before="100" w:beforeAutospacing="1" w:line="240" w:lineRule="auto"/>
      <w:jc w:val="left"/>
    </w:pPr>
    <w:rPr>
      <w:rFonts w:ascii="Times New Roman" w:hAnsi="Times New Roman" w:eastAsiaTheme="minorEastAsia"/>
      <w:szCs w:val="24"/>
      <w:lang w:eastAsia="en-GB"/>
    </w:rPr>
  </w:style>
  <w:style w:type="table" w:styleId="GridTable1Light">
    <w:name w:val="Grid Table 1 Light"/>
    <w:basedOn w:val="TableNormal"/>
    <w:uiPriority w:val="46"/>
    <w:rsid w:val="00CD22A8"/>
    <w:pPr>
      <w:spacing w:after="0" w:line="240" w:lineRule="auto"/>
      <w:ind w:left="482"/>
    </w:pPr>
    <w:rPr>
      <w:rFonts w:ascii="Century Gothic" w:cs="Times New Roman" w:eastAsia="Times New Roman" w:hAnsi="Century Gothic"/>
      <w:sz w:val="20"/>
      <w:szCs w:val="20"/>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character" w:styleId="gwt-inlinelabel" w:customStyle="1">
    <w:name w:val="gwt-inlinelabel"/>
    <w:basedOn w:val="DefaultParagraphFont"/>
    <w:rsid w:val="00CD22A8"/>
  </w:style>
  <w:style w:type="character" w:styleId="HTMLPreformattedChar" w:customStyle="1">
    <w:name w:val="HTML Preformatted Char"/>
    <w:basedOn w:val="DefaultParagraphFont"/>
    <w:link w:val="HTMLPreformatted"/>
    <w:uiPriority w:val="99"/>
    <w:semiHidden w:val="1"/>
    <w:rsid w:val="00CD22A8"/>
    <w:rPr>
      <w:rFonts w:ascii="Courier New" w:cs="Courier New" w:hAnsi="Courier New"/>
      <w:lang w:eastAsia="en-GB"/>
    </w:rPr>
  </w:style>
  <w:style w:type="paragraph" w:styleId="HTMLPreformatted">
    <w:name w:val="HTML Preformatted"/>
    <w:basedOn w:val="Normal"/>
    <w:link w:val="HTMLPreformattedChar"/>
    <w:uiPriority w:val="99"/>
    <w:semiHidden w:val="1"/>
    <w:unhideWhenUsed w:val="1"/>
    <w:rsid w:val="00CD2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cs="Courier New" w:hAnsi="Courier New" w:eastAsiaTheme="minorHAnsi"/>
      <w:szCs w:val="22"/>
      <w:lang w:eastAsia="en-GB"/>
    </w:rPr>
  </w:style>
  <w:style w:type="character" w:styleId="HTMLPreformattedChar1" w:customStyle="1">
    <w:name w:val="HTML Preformatted Char1"/>
    <w:basedOn w:val="DefaultParagraphFont"/>
    <w:uiPriority w:val="99"/>
    <w:semiHidden w:val="1"/>
    <w:rsid w:val="00CD22A8"/>
    <w:rPr>
      <w:rFonts w:ascii="Consolas" w:cs="Times New Roman" w:eastAsia="Times New Roman" w:hAnsi="Consolas"/>
      <w:sz w:val="20"/>
      <w:szCs w:val="20"/>
    </w:rPr>
  </w:style>
  <w:style w:type="character" w:styleId="gnkrckgcasb" w:customStyle="1">
    <w:name w:val="gnkrckgcasb"/>
    <w:basedOn w:val="DefaultParagraphFont"/>
    <w:rsid w:val="00CD22A8"/>
  </w:style>
  <w:style w:type="paragraph" w:styleId="kr" w:customStyle="1">
    <w:name w:val="kr"/>
    <w:basedOn w:val="Normal"/>
    <w:rsid w:val="00CD22A8"/>
    <w:pPr>
      <w:spacing w:afterAutospacing="1" w:before="100" w:beforeAutospacing="1" w:line="240" w:lineRule="auto"/>
      <w:jc w:val="left"/>
    </w:pPr>
    <w:rPr>
      <w:rFonts w:ascii="Times New Roman" w:hAnsi="Times New Roman" w:cstheme="minorBidi" w:eastAsiaTheme="minorHAnsi"/>
      <w:szCs w:val="24"/>
      <w:lang w:eastAsia="en-GB"/>
    </w:rPr>
  </w:style>
  <w:style w:type="character" w:styleId="BookTitle0">
    <w:name w:val="Book Title"/>
    <w:basedOn w:val="DefaultParagraphFont"/>
    <w:uiPriority w:val="33"/>
    <w:qFormat w:val="1"/>
    <w:rsid w:val="00CD22A8"/>
    <w:rPr>
      <w:b w:val="1"/>
      <w:bCs w:val="1"/>
      <w:i w:val="1"/>
      <w:iCs w:val="1"/>
      <w:spacing w:val="5"/>
    </w:rPr>
  </w:style>
  <w:style w:type="paragraph" w:styleId="ISAPHDFINAL" w:customStyle="1">
    <w:name w:val="ISA PHD FINAL"/>
    <w:basedOn w:val="Normal"/>
    <w:link w:val="ISAPHDFINALChar"/>
    <w:qFormat w:val="1"/>
    <w:rsid w:val="00CD22A8"/>
    <w:pPr>
      <w:pBdr>
        <w:bottom w:color="44546a" w:space="4" w:sz="4" w:themeColor="text2" w:val="single"/>
      </w:pBdr>
      <w:ind w:left="576" w:hanging="576"/>
      <w:textboxTightWrap w:val="firstAndLastLine"/>
    </w:pPr>
    <w:rPr>
      <w:rFonts w:cstheme="majorBidi" w:eastAsiaTheme="majorEastAsia"/>
      <w:iCs w:val="1"/>
      <w:color w:val="2f5496" w:themeColor="accent1" w:themeShade="0000BF"/>
      <w:sz w:val="26"/>
      <w:lang w:val="x-none"/>
    </w:rPr>
  </w:style>
  <w:style w:type="character" w:styleId="ISAPHDFINALChar" w:customStyle="1">
    <w:name w:val="ISA PHD FINAL Char"/>
    <w:basedOn w:val="Heading2Char"/>
    <w:link w:val="ISAPHDFINAL"/>
    <w:rsid w:val="00CD22A8"/>
    <w:rPr>
      <w:rFonts w:ascii="Arial" w:hAnsi="Arial" w:cstheme="majorBidi" w:eastAsiaTheme="majorEastAsia"/>
      <w:iCs w:val="1"/>
      <w:color w:val="2f5496" w:themeColor="accent1" w:themeShade="0000BF"/>
      <w:sz w:val="26"/>
      <w:szCs w:val="20"/>
      <w:lang w:val="x-none"/>
    </w:rPr>
  </w:style>
  <w:style w:type="paragraph" w:styleId="FootnoteText">
    <w:name w:val="footnote text"/>
    <w:basedOn w:val="Normal"/>
    <w:link w:val="FootnoteTextChar"/>
    <w:uiPriority w:val="99"/>
    <w:semiHidden w:val="1"/>
    <w:unhideWhenUsed w:val="1"/>
    <w:rsid w:val="00CD22A8"/>
    <w:pPr>
      <w:spacing w:line="240" w:lineRule="auto"/>
    </w:pPr>
    <w:rPr>
      <w:rFonts w:cstheme="minorBidi" w:eastAsiaTheme="minorHAnsi"/>
      <w:sz w:val="20"/>
    </w:rPr>
  </w:style>
  <w:style w:type="character" w:styleId="FootnoteTextChar" w:customStyle="1">
    <w:name w:val="Footnote Text Char"/>
    <w:basedOn w:val="DefaultParagraphFont"/>
    <w:link w:val="FootnoteText"/>
    <w:uiPriority w:val="99"/>
    <w:semiHidden w:val="1"/>
    <w:rsid w:val="00CD22A8"/>
    <w:rPr>
      <w:rFonts w:ascii="Arial" w:hAnsi="Arial"/>
      <w:sz w:val="20"/>
      <w:szCs w:val="20"/>
    </w:rPr>
  </w:style>
  <w:style w:type="character" w:styleId="FootnoteReference">
    <w:name w:val="footnote reference"/>
    <w:basedOn w:val="DefaultParagraphFont"/>
    <w:uiPriority w:val="99"/>
    <w:semiHidden w:val="1"/>
    <w:unhideWhenUsed w:val="1"/>
    <w:rsid w:val="00CD22A8"/>
    <w:rPr>
      <w:vertAlign w:val="superscript"/>
    </w:rPr>
  </w:style>
  <w:style w:type="table" w:styleId="ListTable5Dark-Accent5">
    <w:name w:val="List Table 5 Dark Accent 5"/>
    <w:basedOn w:val="TableNormal"/>
    <w:uiPriority w:val="50"/>
    <w:rsid w:val="00CD22A8"/>
    <w:pPr>
      <w:spacing w:after="0" w:line="240" w:lineRule="auto"/>
      <w:ind w:left="482"/>
    </w:pPr>
    <w:rPr>
      <w:rFonts w:ascii="Century Gothic" w:cs="Times New Roman" w:eastAsia="Times New Roman" w:hAnsi="Century Gothic"/>
      <w:color w:val="ffffff" w:themeColor="background1"/>
      <w:sz w:val="20"/>
      <w:szCs w:val="20"/>
    </w:rPr>
    <w:tblPr>
      <w:tblStyleRowBandSize w:val="1"/>
      <w:tblStyleColBandSize w:val="1"/>
      <w:tblBorders>
        <w:top w:color="5b9bd5" w:space="0" w:sz="24" w:themeColor="accent5" w:val="single"/>
        <w:left w:color="5b9bd5" w:space="0" w:sz="24" w:themeColor="accent5" w:val="single"/>
        <w:bottom w:color="5b9bd5" w:space="0" w:sz="24" w:themeColor="accent5" w:val="single"/>
        <w:right w:color="5b9bd5" w:space="0" w:sz="24" w:themeColor="accent5" w:val="single"/>
      </w:tblBorders>
    </w:tblPr>
    <w:tcPr>
      <w:shd w:color="auto" w:fill="5b9bd5"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GridTable4-Accent5">
    <w:name w:val="Grid Table 4 Accent 5"/>
    <w:basedOn w:val="TableNormal"/>
    <w:uiPriority w:val="49"/>
    <w:rsid w:val="00CD22A8"/>
    <w:pPr>
      <w:spacing w:after="0" w:line="240" w:lineRule="auto"/>
    </w:pPr>
    <w:rPr>
      <w:lang w:val="es-CO"/>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eGridLight">
    <w:name w:val="Grid Table Light"/>
    <w:basedOn w:val="TableNormal"/>
    <w:uiPriority w:val="40"/>
    <w:rsid w:val="00CD22A8"/>
    <w:pPr>
      <w:spacing w:after="0" w:line="240" w:lineRule="auto"/>
      <w:ind w:left="482"/>
    </w:pPr>
    <w:rPr>
      <w:rFonts w:ascii="Century Gothic" w:cs="Times New Roman" w:eastAsia="Times New Roman" w:hAnsi="Century Gothic"/>
      <w:sz w:val="20"/>
      <w:szCs w:val="20"/>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5Dark-Accent5">
    <w:name w:val="Grid Table 5 Dark Accent 5"/>
    <w:basedOn w:val="TableNormal"/>
    <w:uiPriority w:val="50"/>
    <w:rsid w:val="00CD22A8"/>
    <w:pPr>
      <w:spacing w:after="0" w:line="240" w:lineRule="auto"/>
    </w:pPr>
    <w:rPr>
      <w:lang w:val="es-CO"/>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5" w:val="clear"/>
      </w:tcPr>
    </w:tblStylePr>
    <w:tblStylePr w:type="band1Vert">
      <w:tblPr/>
      <w:tcPr>
        <w:shd w:color="auto" w:fill="bdd6ee" w:themeFill="accent5" w:themeFillTint="000066" w:val="clear"/>
      </w:tcPr>
    </w:tblStylePr>
    <w:tblStylePr w:type="band1Horz">
      <w:tblPr/>
      <w:tcPr>
        <w:shd w:color="auto" w:fill="bdd6ee" w:themeFill="accent5" w:themeFillTint="000066" w:val="clear"/>
      </w:tcPr>
    </w:tblStylePr>
  </w:style>
  <w:style w:type="table" w:styleId="ListTable5Dark-Accent1">
    <w:name w:val="List Table 5 Dark Accent 1"/>
    <w:basedOn w:val="TableNormal"/>
    <w:uiPriority w:val="50"/>
    <w:rsid w:val="00CD22A8"/>
    <w:pPr>
      <w:spacing w:after="0" w:line="240" w:lineRule="auto"/>
      <w:ind w:left="482"/>
    </w:pPr>
    <w:rPr>
      <w:rFonts w:ascii="Century Gothic" w:cs="Times New Roman" w:eastAsia="Times New Roman" w:hAnsi="Century Gothic"/>
      <w:color w:val="ffffff" w:themeColor="background1"/>
      <w:sz w:val="20"/>
      <w:szCs w:val="20"/>
    </w:rPr>
    <w:tblPr>
      <w:tblStyleRowBandSize w:val="1"/>
      <w:tblStyleColBandSize w:val="1"/>
      <w:tblBorders>
        <w:top w:color="4472c4" w:space="0" w:sz="24" w:themeColor="accent1" w:val="single"/>
        <w:left w:color="4472c4" w:space="0" w:sz="24" w:themeColor="accent1" w:val="single"/>
        <w:bottom w:color="4472c4" w:space="0" w:sz="24" w:themeColor="accent1" w:val="single"/>
        <w:right w:color="4472c4" w:space="0" w:sz="24" w:themeColor="accent1" w:val="single"/>
      </w:tblBorders>
    </w:tblPr>
    <w:tcPr>
      <w:shd w:color="auto" w:fill="4472c4"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GridTable1Light-Accent6">
    <w:name w:val="Grid Table 1 Light Accent 6"/>
    <w:basedOn w:val="TableNormal"/>
    <w:uiPriority w:val="46"/>
    <w:rsid w:val="00CD22A8"/>
    <w:pPr>
      <w:spacing w:after="0" w:line="240" w:lineRule="auto"/>
      <w:ind w:left="482"/>
    </w:pPr>
    <w:rPr>
      <w:rFonts w:ascii="Century Gothic" w:cs="Times New Roman" w:eastAsia="Times New Roman" w:hAnsi="Century Gothic"/>
      <w:sz w:val="20"/>
      <w:szCs w:val="20"/>
    </w:r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character" w:styleId="HTMLCode">
    <w:name w:val="HTML Code"/>
    <w:basedOn w:val="DefaultParagraphFont"/>
    <w:uiPriority w:val="99"/>
    <w:semiHidden w:val="1"/>
    <w:unhideWhenUsed w:val="1"/>
    <w:rsid w:val="00CD22A8"/>
    <w:rPr>
      <w:rFonts w:ascii="Courier New" w:cs="Courier New" w:eastAsia="Times New Roman" w:hAnsi="Courier New"/>
      <w:sz w:val="20"/>
      <w:szCs w:val="20"/>
    </w:rPr>
  </w:style>
  <w:style w:type="character" w:styleId="UnresolvedMention2" w:customStyle="1">
    <w:name w:val="Unresolved Mention2"/>
    <w:basedOn w:val="DefaultParagraphFont"/>
    <w:uiPriority w:val="99"/>
    <w:semiHidden w:val="1"/>
    <w:unhideWhenUsed w:val="1"/>
    <w:rsid w:val="00CD22A8"/>
    <w:rPr>
      <w:color w:val="605e5c"/>
      <w:shd w:color="auto" w:fill="e1dfdd" w:val="clear"/>
    </w:rPr>
  </w:style>
  <w:style w:type="table" w:styleId="GridTable4-Accent6">
    <w:name w:val="Grid Table 4 Accent 6"/>
    <w:basedOn w:val="TableNormal"/>
    <w:uiPriority w:val="49"/>
    <w:rsid w:val="00CD22A8"/>
    <w:pPr>
      <w:spacing w:after="0" w:line="240" w:lineRule="auto"/>
      <w:ind w:left="482"/>
    </w:pPr>
    <w:rPr>
      <w:rFonts w:ascii="Century Gothic" w:cs="Times New Roman" w:eastAsia="Times New Roman" w:hAnsi="Century Gothic"/>
      <w:sz w:val="20"/>
      <w:szCs w:val="20"/>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GridTable4-Accent3">
    <w:name w:val="Grid Table 4 Accent 3"/>
    <w:basedOn w:val="TableNormal"/>
    <w:uiPriority w:val="49"/>
    <w:rsid w:val="00CD22A8"/>
    <w:pPr>
      <w:spacing w:after="0" w:line="240" w:lineRule="auto"/>
      <w:ind w:left="482"/>
    </w:pPr>
    <w:rPr>
      <w:rFonts w:ascii="Century Gothic" w:cs="Times New Roman" w:eastAsia="Times New Roman" w:hAnsi="Century Gothic"/>
      <w:sz w:val="20"/>
      <w:szCs w:val="20"/>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UnresolvedMention3" w:customStyle="1">
    <w:name w:val="Unresolved Mention3"/>
    <w:basedOn w:val="DefaultParagraphFont"/>
    <w:uiPriority w:val="99"/>
    <w:semiHidden w:val="1"/>
    <w:unhideWhenUsed w:val="1"/>
    <w:rsid w:val="00CD22A8"/>
    <w:rPr>
      <w:color w:val="605e5c"/>
      <w:shd w:color="auto" w:fill="e1dfdd" w:val="clear"/>
    </w:rPr>
  </w:style>
  <w:style w:type="character" w:styleId="topic-highlight" w:customStyle="1">
    <w:name w:val="topic-highlight"/>
    <w:basedOn w:val="DefaultParagraphFont"/>
    <w:rsid w:val="00CD22A8"/>
  </w:style>
  <w:style w:type="paragraph" w:styleId="paragraph" w:customStyle="1">
    <w:name w:val="paragraph"/>
    <w:basedOn w:val="Normal"/>
    <w:rsid w:val="00CD22A8"/>
    <w:pPr>
      <w:spacing w:afterAutospacing="1" w:before="100" w:beforeAutospacing="1" w:line="240" w:lineRule="auto"/>
      <w:jc w:val="left"/>
    </w:pPr>
    <w:rPr>
      <w:rFonts w:ascii="Times New Roman" w:hAnsi="Times New Roman"/>
      <w:szCs w:val="24"/>
      <w:lang w:eastAsia="en-GB" w:val="en-US"/>
    </w:rPr>
  </w:style>
  <w:style w:type="character" w:styleId="normaltextrun" w:customStyle="1">
    <w:name w:val="normaltextrun"/>
    <w:basedOn w:val="DefaultParagraphFont"/>
    <w:rsid w:val="00CD22A8"/>
  </w:style>
  <w:style w:type="character" w:styleId="eop" w:customStyle="1">
    <w:name w:val="eop"/>
    <w:basedOn w:val="DefaultParagraphFont"/>
    <w:rsid w:val="00CD22A8"/>
  </w:style>
  <w:style w:type="table" w:styleId="GridTable4-Accent1">
    <w:name w:val="Grid Table 4 Accent 1"/>
    <w:basedOn w:val="TableNormal"/>
    <w:uiPriority w:val="49"/>
    <w:rsid w:val="00CD22A8"/>
    <w:pPr>
      <w:spacing w:after="0" w:line="240" w:lineRule="auto"/>
      <w:ind w:left="482"/>
    </w:pPr>
    <w:rPr>
      <w:rFonts w:ascii="Century Gothic" w:cs="Times New Roman" w:eastAsia="Times New Roman" w:hAnsi="Century Gothic"/>
      <w:sz w:val="20"/>
      <w:szCs w:val="20"/>
      <w:lang w:val="en-US"/>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articlekicker" w:customStyle="1">
    <w:name w:val="article__kicker"/>
    <w:basedOn w:val="DefaultParagraphFont"/>
    <w:rsid w:val="00CD22A8"/>
  </w:style>
  <w:style w:type="paragraph" w:styleId="ISAPHD1" w:customStyle="1">
    <w:name w:val="ISA_PHD 1"/>
    <w:basedOn w:val="Normal"/>
    <w:link w:val="ISAPHD1Char"/>
    <w:autoRedefine w:val="1"/>
    <w:qFormat w:val="1"/>
    <w:rsid w:val="00CD22A8"/>
    <w:rPr>
      <w:rFonts w:eastAsiaTheme="majorEastAsia"/>
      <w:lang w:val="en-US"/>
    </w:rPr>
  </w:style>
  <w:style w:type="character" w:styleId="ISAPHD1Char" w:customStyle="1">
    <w:name w:val="ISA_PHD 1 Char"/>
    <w:basedOn w:val="DefaultParagraphFont"/>
    <w:link w:val="ISAPHD1"/>
    <w:rsid w:val="00CD22A8"/>
    <w:rPr>
      <w:rFonts w:ascii="Arial" w:cs="Times New Roman" w:hAnsi="Arial" w:eastAsiaTheme="majorEastAsia"/>
      <w:szCs w:val="20"/>
      <w:lang w:val="en-US"/>
    </w:rPr>
  </w:style>
  <w:style w:type="paragraph" w:styleId="Revision">
    <w:name w:val="Revision"/>
    <w:hidden w:val="1"/>
    <w:uiPriority w:val="99"/>
    <w:semiHidden w:val="1"/>
    <w:rsid w:val="00CD22A8"/>
    <w:pPr>
      <w:spacing w:after="0" w:line="240" w:lineRule="auto"/>
    </w:pPr>
    <w:rPr>
      <w:rFonts w:ascii="Arial" w:cs="Times New Roman" w:eastAsia="Times New Roman" w:hAnsi="Arial"/>
      <w:szCs w:val="20"/>
    </w:rPr>
  </w:style>
  <w:style w:type="table" w:styleId="ISAPhD" w:customStyle="1">
    <w:name w:val="ISA_PhD"/>
    <w:basedOn w:val="TableNormal"/>
    <w:uiPriority w:val="99"/>
    <w:rsid w:val="00CD22A8"/>
    <w:pPr>
      <w:spacing w:after="0" w:line="240" w:lineRule="auto"/>
    </w:pPr>
    <w:rPr>
      <w:rFonts w:ascii="Arial" w:cs="Times New Roman" w:eastAsia="Times New Roman" w:hAnsi="Arial"/>
      <w:sz w:val="20"/>
      <w:szCs w:val="20"/>
      <w:lang w:val="en-US"/>
    </w:rPr>
    <w:tblPr>
      <w:tblBorders>
        <w:top w:color="a5a5a5" w:space="0" w:sz="2" w:themeColor="accent3" w:val="single"/>
        <w:left w:color="a5a5a5" w:space="0" w:sz="2" w:themeColor="accent3" w:val="single"/>
        <w:bottom w:color="a5a5a5" w:space="0" w:sz="2" w:themeColor="accent3" w:val="single"/>
        <w:right w:color="a5a5a5" w:space="0" w:sz="2" w:themeColor="accent3" w:val="single"/>
        <w:insideH w:color="a5a5a5" w:space="0" w:sz="2" w:themeColor="accent3" w:val="single"/>
        <w:insideV w:color="a5a5a5" w:space="0" w:sz="2" w:themeColor="accent3" w:val="single"/>
      </w:tblBorders>
    </w:tblPr>
    <w:tcPr>
      <w:shd w:color="auto" w:fill="ffffff" w:themeFill="background1" w:val="clear"/>
    </w:tcPr>
    <w:tblStylePr w:type="firstRow">
      <w:rPr>
        <w:b w:val="1"/>
        <w:color w:val="ffffff" w:themeColor="background1"/>
      </w:rPr>
      <w:tblPr/>
      <w:tcPr>
        <w:shd w:color="auto" w:fill="a5a5a5" w:themeFill="accent3" w:val="clear"/>
      </w:tcPr>
    </w:tblStylePr>
    <w:tblStylePr w:type="firstCol">
      <w:rPr>
        <w:b w:val="1"/>
        <w:color w:val="c45911" w:themeColor="accent2" w:themeShade="0000BF"/>
      </w:rPr>
      <w:tblPr/>
      <w:tcPr>
        <w:shd w:color="auto" w:fill="ffffff" w:themeFill="background1" w:val="clear"/>
      </w:tcPr>
    </w:tblStylePr>
  </w:style>
  <w:style w:type="character" w:styleId="UnresolvedMention4" w:customStyle="1">
    <w:name w:val="Unresolved Mention4"/>
    <w:basedOn w:val="DefaultParagraphFont"/>
    <w:uiPriority w:val="99"/>
    <w:semiHidden w:val="1"/>
    <w:unhideWhenUsed w:val="1"/>
    <w:rsid w:val="00CD22A8"/>
    <w:rPr>
      <w:color w:val="605e5c"/>
      <w:shd w:color="auto" w:fill="e1dfdd" w:val="clear"/>
    </w:rPr>
  </w:style>
  <w:style w:type="character" w:styleId="emoji" w:customStyle="1">
    <w:name w:val="emoji"/>
    <w:basedOn w:val="DefaultParagraphFont"/>
    <w:rsid w:val="00CD22A8"/>
  </w:style>
  <w:style w:type="character" w:styleId="UnresolvedMention5" w:customStyle="1">
    <w:name w:val="Unresolved Mention5"/>
    <w:basedOn w:val="DefaultParagraphFont"/>
    <w:uiPriority w:val="99"/>
    <w:semiHidden w:val="1"/>
    <w:unhideWhenUsed w:val="1"/>
    <w:rsid w:val="00CD22A8"/>
    <w:rPr>
      <w:color w:val="605e5c"/>
      <w:shd w:color="auto" w:fill="e1dfdd" w:val="clear"/>
    </w:rPr>
  </w:style>
  <w:style w:type="character" w:styleId="landing-page-changedtext-0-2-17" w:customStyle="1">
    <w:name w:val="landing-page-changedtext-0-2-17"/>
    <w:basedOn w:val="DefaultParagraphFont"/>
    <w:rsid w:val="00CD22A8"/>
  </w:style>
  <w:style w:type="character" w:styleId="UnresolvedMention">
    <w:name w:val="Unresolved Mention"/>
    <w:basedOn w:val="DefaultParagraphFont"/>
    <w:uiPriority w:val="99"/>
    <w:semiHidden w:val="1"/>
    <w:unhideWhenUsed w:val="1"/>
    <w:rsid w:val="00CD22A8"/>
    <w:rPr>
      <w:color w:val="605e5c"/>
      <w:shd w:color="auto" w:fill="e1dfdd" w:val="clear"/>
    </w:rPr>
  </w:style>
  <w:style w:type="character" w:styleId="given-names" w:customStyle="1">
    <w:name w:val="given-names"/>
    <w:basedOn w:val="DefaultParagraphFont"/>
    <w:rsid w:val="00CD22A8"/>
  </w:style>
  <w:style w:type="table" w:styleId="ListTable7Colorful-Accent2">
    <w:name w:val="List Table 7 Colorful Accent 2"/>
    <w:basedOn w:val="TableNormal"/>
    <w:uiPriority w:val="52"/>
    <w:pPr>
      <w:spacing w:after="0" w:line="240" w:lineRule="auto"/>
    </w:pPr>
    <w:rPr>
      <w:color w:val="c45911" w:themeColor="accent2"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6Colorful-Accent4">
    <w:name w:val="Grid Table 6 Colorful Accent 4"/>
    <w:basedOn w:val="TableNormal"/>
    <w:uiPriority w:val="51"/>
    <w:rsid w:val="002445FD"/>
    <w:pPr>
      <w:spacing w:after="0" w:line="240" w:lineRule="auto"/>
    </w:pPr>
    <w:rPr>
      <w:color w:val="bf8f00" w:themeColor="accent4" w:themeShade="0000BF"/>
    </w:rPr>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table" w:styleId="ListTable6Colorful-Accent4">
    <w:name w:val="List Table 6 Colorful Accent 4"/>
    <w:basedOn w:val="TableNormal"/>
    <w:uiPriority w:val="51"/>
    <w:rsid w:val="002445FD"/>
    <w:pPr>
      <w:spacing w:after="0" w:line="240" w:lineRule="auto"/>
    </w:pPr>
    <w:rPr>
      <w:color w:val="bf8f00" w:themeColor="accent4" w:themeShade="0000BF"/>
    </w:rPr>
    <w:tblPr>
      <w:tblStyleRowBandSize w:val="1"/>
      <w:tblStyleColBandSize w:val="1"/>
      <w:tblBorders>
        <w:top w:color="ffc000" w:space="0" w:sz="4" w:themeColor="accent4" w:val="single"/>
        <w:bottom w:color="ffc000" w:space="0" w:sz="4" w:themeColor="accent4" w:val="single"/>
      </w:tblBorders>
    </w:tblPr>
    <w:tblStylePr w:type="firstRow">
      <w:rPr>
        <w:b w:val="1"/>
        <w:bCs w:val="1"/>
      </w:rPr>
      <w:tblPr/>
      <w:tcPr>
        <w:tcBorders>
          <w:bottom w:color="ffc000" w:space="0" w:sz="4" w:themeColor="accent4" w:val="single"/>
        </w:tcBorders>
      </w:tcPr>
    </w:tblStylePr>
    <w:tblStylePr w:type="lastRow">
      <w:rPr>
        <w:b w:val="1"/>
        <w:bCs w:val="1"/>
      </w:rPr>
      <w:tblPr/>
      <w:tcPr>
        <w:tcBorders>
          <w:top w:color="ffc000" w:space="0" w:sz="4" w:themeColor="accent4"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table" w:styleId="GridTable2-Accent4">
    <w:name w:val="Grid Table 2 Accent 4"/>
    <w:basedOn w:val="TableNormal"/>
    <w:uiPriority w:val="47"/>
    <w:rsid w:val="0052099E"/>
    <w:pPr>
      <w:spacing w:after="0" w:line="240" w:lineRule="auto"/>
    </w:pPr>
    <w:tblPr>
      <w:tblStyleRowBandSize w:val="1"/>
      <w:tblStyleColBandSize w:val="1"/>
      <w:tblBorders>
        <w:top w:color="ffd966" w:space="0" w:sz="2" w:themeColor="accent4" w:themeTint="000099" w:val="single"/>
        <w:bottom w:color="ffd966" w:space="0" w:sz="2" w:themeColor="accent4" w:themeTint="000099" w:val="single"/>
        <w:insideH w:color="ffd966" w:space="0" w:sz="2" w:themeColor="accent4" w:themeTint="000099" w:val="single"/>
        <w:insideV w:color="ffd966" w:space="0" w:sz="2" w:themeColor="accent4" w:themeTint="000099" w:val="single"/>
      </w:tblBorders>
    </w:tblPr>
    <w:tblStylePr w:type="firstRow">
      <w:rPr>
        <w:b w:val="1"/>
        <w:bCs w:val="1"/>
      </w:rPr>
      <w:tblPr/>
      <w:tcPr>
        <w:tcBorders>
          <w:top w:space="0" w:sz="0" w:val="nil"/>
          <w:bottom w:color="ffd966"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ffd966"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character" w:styleId="ui-provider" w:customStyle="1">
    <w:name w:val="ui-provider"/>
    <w:basedOn w:val="DefaultParagraphFont"/>
    <w:rsid w:val="00C5605A"/>
  </w:style>
  <w:style w:type="table" w:styleId="GridTable3-Accent4">
    <w:name w:val="Grid Table 3 Accent 4"/>
    <w:basedOn w:val="TableNormal"/>
    <w:uiPriority w:val="48"/>
    <w:rsid w:val="00F71CC6"/>
    <w:pPr>
      <w:spacing w:after="0" w:line="240" w:lineRule="auto"/>
    </w:pPr>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tblStylePr w:type="neCell">
      <w:tblPr/>
      <w:tcPr>
        <w:tcBorders>
          <w:bottom w:color="ffd966" w:space="0" w:sz="4" w:themeColor="accent4" w:themeTint="000099" w:val="single"/>
        </w:tcBorders>
      </w:tcPr>
    </w:tblStylePr>
    <w:tblStylePr w:type="nwCell">
      <w:tblPr/>
      <w:tcPr>
        <w:tcBorders>
          <w:bottom w:color="ffd966" w:space="0" w:sz="4" w:themeColor="accent4" w:themeTint="000099" w:val="single"/>
        </w:tcBorders>
      </w:tcPr>
    </w:tblStylePr>
    <w:tblStylePr w:type="seCell">
      <w:tblPr/>
      <w:tcPr>
        <w:tcBorders>
          <w:top w:color="ffd966" w:space="0" w:sz="4" w:themeColor="accent4" w:themeTint="000099" w:val="single"/>
        </w:tcBorders>
      </w:tcPr>
    </w:tblStylePr>
    <w:tblStylePr w:type="swCell">
      <w:tblPr/>
      <w:tcPr>
        <w:tcBorders>
          <w:top w:color="ffd966" w:space="0" w:sz="4" w:themeColor="accent4" w:themeTint="000099" w:val="single"/>
        </w:tcBorders>
      </w:tcPr>
    </w:tblStylePr>
  </w:style>
  <w:style w:type="table" w:styleId="GridTable2-Accent2">
    <w:name w:val="Grid Table 2 Accent 2"/>
    <w:basedOn w:val="TableNormal"/>
    <w:uiPriority w:val="47"/>
    <w:rsid w:val="0001259F"/>
    <w:pPr>
      <w:spacing w:after="0" w:line="240" w:lineRule="auto"/>
    </w:pPr>
    <w:tblPr>
      <w:tblStyleRowBandSize w:val="1"/>
      <w:tblStyleColBandSize w:val="1"/>
      <w:tblBorders>
        <w:top w:color="f4b083" w:space="0" w:sz="2" w:themeColor="accent2" w:themeTint="000099" w:val="single"/>
        <w:bottom w:color="f4b083" w:space="0" w:sz="2" w:themeColor="accent2" w:themeTint="000099" w:val="single"/>
        <w:insideH w:color="f4b083" w:space="0" w:sz="2" w:themeColor="accent2" w:themeTint="000099" w:val="single"/>
        <w:insideV w:color="f4b083" w:space="0" w:sz="2" w:themeColor="accent2" w:themeTint="000099" w:val="single"/>
      </w:tblBorders>
    </w:tblPr>
    <w:tblStylePr w:type="firstRow">
      <w:rPr>
        <w:b w:val="1"/>
        <w:bCs w:val="1"/>
      </w:rPr>
      <w:tblPr/>
      <w:tcPr>
        <w:tcBorders>
          <w:top w:space="0" w:sz="0" w:val="nil"/>
          <w:bottom w:color="f4b0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4b0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bCs w:val="1"/>
      </w:rPr>
    </w:tblStylePr>
    <w:tblStylePr w:type="firstRow">
      <w:rPr>
        <w:b w:val="1"/>
        <w:bCs w:val="1"/>
      </w:rPr>
      <w:tcPr>
        <w:tcBorders>
          <w:top w:color="000000" w:space="0" w:sz="0" w:val="nil"/>
          <w:bottom w:color="f4b08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4b083" w:space="0" w:sz="4" w:val="single"/>
          <w:bottom w:color="000000" w:space="0" w:sz="0" w:val="nil"/>
          <w:insideH w:color="000000" w:space="0" w:sz="0" w:val="nil"/>
          <w:insideV w:color="000000" w:space="0" w:sz="0" w:val="nil"/>
        </w:tcBorders>
        <w:shd w:fill="ffffff"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bCs w:val="1"/>
      </w:rPr>
    </w:tblStylePr>
    <w:tblStylePr w:type="firstRow">
      <w:rPr>
        <w:b w:val="1"/>
        <w:bCs w:val="1"/>
      </w:rPr>
      <w:tcPr>
        <w:tcBorders>
          <w:top w:color="000000" w:space="0" w:sz="0" w:val="nil"/>
          <w:bottom w:color="f4b08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4b083" w:space="0" w:sz="4" w:val="single"/>
          <w:bottom w:color="000000" w:space="0" w:sz="0" w:val="nil"/>
          <w:insideH w:color="000000" w:space="0" w:sz="0" w:val="nil"/>
          <w:insideV w:color="000000" w:space="0" w:sz="0" w:val="nil"/>
        </w:tcBorders>
        <w:shd w:fill="ffffff" w:val="clear"/>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bCs w:val="1"/>
      </w:rPr>
    </w:tblStylePr>
    <w:tblStylePr w:type="firstRow">
      <w:rPr>
        <w:b w:val="1"/>
        <w:bCs w:val="1"/>
      </w:rPr>
      <w:tcPr>
        <w:tcBorders>
          <w:top w:color="000000" w:space="0" w:sz="0" w:val="nil"/>
          <w:bottom w:color="f4b08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4b083" w:space="0" w:sz="4" w:val="single"/>
          <w:bottom w:color="000000" w:space="0" w:sz="0" w:val="nil"/>
          <w:insideH w:color="000000" w:space="0" w:sz="0" w:val="nil"/>
          <w:insideV w:color="000000" w:space="0" w:sz="0" w:val="nil"/>
        </w:tcBorders>
        <w:shd w:fill="ffffff" w:val="clear"/>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bCs w:val="1"/>
      </w:rPr>
    </w:tblStylePr>
    <w:tblStylePr w:type="firstRow">
      <w:rPr>
        <w:b w:val="1"/>
        <w:bCs w:val="1"/>
      </w:rPr>
      <w:tcPr>
        <w:tcBorders>
          <w:top w:color="000000" w:space="0" w:sz="0" w:val="nil"/>
          <w:bottom w:color="f4b08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4b083" w:space="0" w:sz="4" w:val="single"/>
          <w:bottom w:color="000000" w:space="0" w:sz="0" w:val="nil"/>
          <w:insideH w:color="000000" w:space="0" w:sz="0" w:val="nil"/>
          <w:insideV w:color="000000" w:space="0" w:sz="0" w:val="nil"/>
        </w:tcBorders>
        <w:shd w:fill="ffffff" w:val="clear"/>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rPr>
      <w:tcPr>
        <w:tcBorders>
          <w:top w:color="000000" w:space="0" w:sz="0" w:val="nil"/>
          <w:bottom w:color="ffd96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fd965" w:space="0" w:sz="4" w:val="single"/>
          <w:bottom w:color="000000" w:space="0" w:sz="0" w:val="nil"/>
          <w:insideH w:color="000000" w:space="0" w:sz="0" w:val="nil"/>
          <w:insideV w:color="000000" w:space="0" w:sz="0" w:val="nil"/>
        </w:tcBorders>
        <w:shd w:fill="ffffff" w:val="clear"/>
      </w:tcPr>
    </w:tblStylePr>
  </w:style>
  <w:style w:type="paragraph" w:styleId="Subtitle">
    <w:name w:val="Subtitle"/>
    <w:basedOn w:val="Normal"/>
    <w:next w:val="Normal"/>
    <w:pPr>
      <w:pBdr>
        <w:bottom w:color="4472c4" w:space="4" w:sz="4" w:val="single"/>
      </w:pBdr>
      <w:spacing w:after="60" w:before="240" w:lineRule="auto"/>
      <w:ind w:left="0" w:right="936" w:firstLine="0"/>
    </w:pPr>
    <w:rPr>
      <w:rFonts w:ascii="Century Gothic" w:cs="Century Gothic" w:eastAsia="Century Gothic" w:hAnsi="Century Gothic"/>
      <w:b w:val="0"/>
      <w:bCs w:val="0"/>
      <w:i w:val="1"/>
      <w:iCs w:val="1"/>
      <w:smallCaps w:val="1"/>
      <w:color w:val="000000"/>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64N1o+ytYiRrPk6fGrQDKphlrg==">CgMxLjAyDmguemJuYjhjbmdybzFwMg5oLndqd2M3MjFheTBkbDIOaC43eGl6eGxxb2todG8yDmgucjN1ZzcybmNqZGkzMg5oLjQxNTY0Mm95ZXIzZDIOaC5iZ2N5aWc5dmFkcWsyDmgucXVtMGxzdnlvZ2N0Mg5oLndqeW02dzhyemNmeTIOaC5majkyM3FpNTc1bjI4AHIhMXh5UExnOWhrU1ZrXzdTck9NLWFLN3VRNEs5YUJfTldB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2023-04-07T18:26:00Z</dcterms:created>
  <dc:creator>Isabel Galvis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0x0101009FB6E6A629664B48804D24C5E3C20393</vt:lpwstr>
  </property>
</Properties>
</file>