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NewsPulse</w:t>
      </w:r>
    </w:p>
    <w:p>
      <w:r>
        <w:rPr>
          <w:b/>
          <w:color w:val="24476B"/>
          <w:sz w:val="32"/>
        </w:rPr>
        <w:t>Software Requirements Specification</w:t>
      </w:r>
    </w:p>
    <w:p>
      <w:pPr>
        <w:spacing w:before="60"/>
      </w:pPr>
      <w:r>
        <w:rPr>
          <w:i/>
          <w:sz w:val="22"/>
        </w:rPr>
        <w:t>News-informed market outlook and stock change estimation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056"/>
      </w:tblGrid>
      <w:tr>
        <w:trPr>
          <w:tblHeader w:val="true"/>
        </w:trPr>
        <w:tc>
          <w:tcPr>
            <w:tcW w:type="dxa" w:w="4997"/>
            <w:vAlign w:val="center"/>
            <w:shd w:fill="24476B"/>
          </w:tcPr>
          <w:p>
            <w:pPr>
              <w:spacing w:after="20" w:before="20"/>
            </w:pPr>
            <w:r/>
            <w:r>
              <w:rPr>
                <w:rFonts w:ascii="Aptos" w:hAnsi="Aptos"/>
                <w:b/>
                <w:color w:val="FFFFFF"/>
                <w:sz w:val="18"/>
              </w:rPr>
              <w:t>Document details</w:t>
            </w:r>
          </w:p>
        </w:tc>
        <w:tc>
          <w:tcPr>
            <w:tcW w:type="dxa" w:w="4997"/>
            <w:vAlign w:val="center"/>
            <w:shd w:fill="24476B"/>
          </w:tcPr>
          <w:p>
            <w:pPr>
              <w:spacing w:after="20" w:before="20"/>
            </w:pPr>
            <w:r/>
            <w:r>
              <w:rPr>
                <w:rFonts w:ascii="Aptos" w:hAnsi="Aptos"/>
                <w:b/>
                <w:color w:val="FFFFFF"/>
                <w:sz w:val="18"/>
              </w:rPr>
              <w:t>Value</w:t>
            </w:r>
          </w:p>
        </w:tc>
      </w:tr>
      <w:tr>
        <w:tc>
          <w:tcPr>
            <w:tcW w:type="dxa" w:w="2448"/>
            <w:vAlign w:val="center"/>
          </w:tcPr>
          <w:p>
            <w:pPr>
              <w:spacing w:after="20" w:before="20"/>
            </w:pPr>
            <w:r/>
            <w:r>
              <w:rPr>
                <w:rFonts w:ascii="Aptos" w:hAnsi="Aptos"/>
                <w:b w:val="0"/>
                <w:sz w:val="17"/>
              </w:rPr>
              <w:t>Version</w:t>
            </w:r>
          </w:p>
        </w:tc>
        <w:tc>
          <w:tcPr>
            <w:tcW w:type="dxa" w:w="7056"/>
            <w:vAlign w:val="center"/>
          </w:tcPr>
          <w:p>
            <w:pPr>
              <w:spacing w:after="20" w:before="20"/>
            </w:pPr>
            <w:r/>
            <w:r>
              <w:rPr>
                <w:rFonts w:ascii="Aptos" w:hAnsi="Aptos"/>
                <w:b w:val="0"/>
                <w:sz w:val="17"/>
              </w:rPr>
              <w:t>1.0</w:t>
            </w:r>
          </w:p>
        </w:tc>
      </w:tr>
      <w:tr>
        <w:tc>
          <w:tcPr>
            <w:tcW w:type="dxa" w:w="2448"/>
            <w:vAlign w:val="center"/>
            <w:shd w:fill="F1F5F8"/>
          </w:tcPr>
          <w:p>
            <w:pPr>
              <w:spacing w:after="20" w:before="20"/>
            </w:pPr>
            <w:r/>
            <w:r>
              <w:rPr>
                <w:rFonts w:ascii="Aptos" w:hAnsi="Aptos"/>
                <w:b w:val="0"/>
                <w:sz w:val="17"/>
              </w:rPr>
              <w:t>Date</w:t>
            </w:r>
          </w:p>
        </w:tc>
        <w:tc>
          <w:tcPr>
            <w:tcW w:type="dxa" w:w="7056"/>
            <w:vAlign w:val="center"/>
            <w:shd w:fill="F1F5F8"/>
          </w:tcPr>
          <w:p>
            <w:pPr>
              <w:spacing w:after="20" w:before="20"/>
            </w:pPr>
            <w:r/>
            <w:r>
              <w:rPr>
                <w:rFonts w:ascii="Aptos" w:hAnsi="Aptos"/>
                <w:b w:val="0"/>
                <w:sz w:val="17"/>
              </w:rPr>
              <w:t>12 October 2026</w:t>
            </w:r>
          </w:p>
        </w:tc>
      </w:tr>
      <w:tr>
        <w:tc>
          <w:tcPr>
            <w:tcW w:type="dxa" w:w="2448"/>
            <w:vAlign w:val="center"/>
          </w:tcPr>
          <w:p>
            <w:pPr>
              <w:spacing w:after="20" w:before="20"/>
            </w:pPr>
            <w:r/>
            <w:r>
              <w:rPr>
                <w:rFonts w:ascii="Aptos" w:hAnsi="Aptos"/>
                <w:b w:val="0"/>
                <w:sz w:val="17"/>
              </w:rPr>
              <w:t>Project type</w:t>
            </w:r>
          </w:p>
        </w:tc>
        <w:tc>
          <w:tcPr>
            <w:tcW w:type="dxa" w:w="7056"/>
            <w:vAlign w:val="center"/>
          </w:tcPr>
          <w:p>
            <w:pPr>
              <w:spacing w:after="20" w:before="20"/>
            </w:pPr>
            <w:r/>
            <w:r>
              <w:rPr>
                <w:rFonts w:ascii="Aptos" w:hAnsi="Aptos"/>
                <w:b w:val="0"/>
                <w:sz w:val="17"/>
              </w:rPr>
              <w:t>Two-person academic software project</w:t>
            </w:r>
          </w:p>
        </w:tc>
      </w:tr>
      <w:tr>
        <w:tc>
          <w:tcPr>
            <w:tcW w:type="dxa" w:w="2448"/>
            <w:vAlign w:val="center"/>
            <w:shd w:fill="F1F5F8"/>
          </w:tcPr>
          <w:p>
            <w:pPr>
              <w:spacing w:after="20" w:before="20"/>
            </w:pPr>
            <w:r/>
            <w:r>
              <w:rPr>
                <w:rFonts w:ascii="Aptos" w:hAnsi="Aptos"/>
                <w:b w:val="0"/>
                <w:sz w:val="17"/>
              </w:rPr>
              <w:t>Primary users</w:t>
            </w:r>
          </w:p>
        </w:tc>
        <w:tc>
          <w:tcPr>
            <w:tcW w:type="dxa" w:w="7056"/>
            <w:vAlign w:val="center"/>
            <w:shd w:fill="F1F5F8"/>
          </w:tcPr>
          <w:p>
            <w:pPr>
              <w:spacing w:after="20" w:before="20"/>
            </w:pPr>
            <w:r/>
            <w:r>
              <w:rPr>
                <w:rFonts w:ascii="Aptos" w:hAnsi="Aptos"/>
                <w:b w:val="0"/>
                <w:sz w:val="17"/>
              </w:rPr>
              <w:t>Project team, evaluator, dashboard viewer</w:t>
            </w:r>
          </w:p>
        </w:tc>
      </w:tr>
      <w:tr>
        <w:tc>
          <w:tcPr>
            <w:tcW w:type="dxa" w:w="2448"/>
            <w:vAlign w:val="center"/>
          </w:tcPr>
          <w:p>
            <w:pPr>
              <w:spacing w:after="20" w:before="20"/>
            </w:pPr>
            <w:r/>
            <w:r>
              <w:rPr>
                <w:rFonts w:ascii="Aptos" w:hAnsi="Aptos"/>
                <w:b w:val="0"/>
                <w:sz w:val="17"/>
              </w:rPr>
              <w:t>Target scope</w:t>
            </w:r>
          </w:p>
        </w:tc>
        <w:tc>
          <w:tcPr>
            <w:tcW w:type="dxa" w:w="7056"/>
            <w:vAlign w:val="center"/>
          </w:tcPr>
          <w:p>
            <w:pPr>
              <w:spacing w:after="20" w:before="20"/>
            </w:pPr>
            <w:r/>
            <w:r>
              <w:rPr>
                <w:rFonts w:ascii="Aptos" w:hAnsi="Aptos"/>
                <w:b w:val="0"/>
                <w:sz w:val="17"/>
              </w:rPr>
              <w:t>One market index and 5–10 selected stocks; next trading day horizon</w:t>
            </w:r>
          </w:p>
        </w:tc>
      </w:tr>
    </w:tbl>
    <w:p>
      <w:pPr>
        <w:spacing w:after="20"/>
      </w:pPr>
    </w:p>
    <w:p>
      <w:pPr>
        <w:pStyle w:val="Heading2"/>
      </w:pPr>
      <w:r>
        <w:t>Purpose</w:t>
      </w:r>
    </w:p>
    <w:p>
      <w:r>
        <w:t>This SRS defines a buildable system that combines financial news and historical market data to estimate next-trading-day percentage changes for a market index and selected stocks. It also presents an overall bullish, bearish, or neutral market outlook, highlights stocks with notable signals, and later compares estimates with actual changes. The project evaluates whether news features add value over a price-history-only baseline; it does not promise accurate forecasts or provide personalized investment advice.</w:t>
      </w:r>
    </w:p>
    <w:p>
      <w:pPr>
        <w:pStyle w:val="Heading1"/>
      </w:pPr>
      <w:r>
        <w:t>1. Introduction</w:t>
      </w:r>
    </w:p>
    <w:p>
      <w:pPr>
        <w:pStyle w:val="Heading2"/>
      </w:pPr>
      <w:r>
        <w:t>1.1 Purpose</w:t>
      </w:r>
    </w:p>
    <w:p>
      <w:r>
        <w:t>The purpose of this document is to specify the functional behavior, data requirements, quality requirements, interfaces, constraints, and acceptance tests for NewsPulse. It is intended for both developers and the project evaluator.</w:t>
      </w:r>
    </w:p>
    <w:p>
      <w:pPr>
        <w:pStyle w:val="Heading2"/>
      </w:pPr>
      <w:r>
        <w:t>1.2 Scope</w:t>
      </w:r>
    </w:p>
    <w:p>
      <w:r>
        <w:t>NewsPulse ingests timestamped news headlines and historical price data for a fixed watchlist, associates articles with companies and the selected index, computes sentiment and market features, estimates next-session percentage changes, classifies outlooks, and presents results in a dashboard. At the next session close, it records actual changes and calculates forecast errors. The initial release is a research prototype using daily data, not an automated trading system.</w:t>
      </w:r>
    </w:p>
    <w:p>
      <w:pPr>
        <w:pStyle w:val="Heading2"/>
      </w:pPr>
      <w:r>
        <w:t>1.3 Definitions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056"/>
      </w:tblGrid>
      <w:tr>
        <w:trPr>
          <w:tblHeader w:val="true"/>
        </w:trPr>
        <w:tc>
          <w:tcPr>
            <w:tcW w:type="dxa" w:w="4997"/>
            <w:vAlign w:val="center"/>
            <w:shd w:fill="24476B"/>
          </w:tcPr>
          <w:p>
            <w:pPr>
              <w:spacing w:after="20" w:before="20"/>
            </w:pPr>
            <w:r/>
            <w:r>
              <w:rPr>
                <w:rFonts w:ascii="Aptos" w:hAnsi="Aptos"/>
                <w:b/>
                <w:color w:val="FFFFFF"/>
                <w:sz w:val="18"/>
              </w:rPr>
              <w:t>Term</w:t>
            </w:r>
          </w:p>
        </w:tc>
        <w:tc>
          <w:tcPr>
            <w:tcW w:type="dxa" w:w="4997"/>
            <w:vAlign w:val="center"/>
            <w:shd w:fill="24476B"/>
          </w:tcPr>
          <w:p>
            <w:pPr>
              <w:spacing w:after="20" w:before="20"/>
            </w:pPr>
            <w:r/>
            <w:r>
              <w:rPr>
                <w:rFonts w:ascii="Aptos" w:hAnsi="Aptos"/>
                <w:b/>
                <w:color w:val="FFFFFF"/>
                <w:sz w:val="18"/>
              </w:rPr>
              <w:t>Meaning</w:t>
            </w:r>
          </w:p>
        </w:tc>
      </w:tr>
      <w:tr>
        <w:tc>
          <w:tcPr>
            <w:tcW w:type="dxa" w:w="2448"/>
            <w:vAlign w:val="center"/>
          </w:tcPr>
          <w:p>
            <w:pPr>
              <w:spacing w:after="20" w:before="20"/>
            </w:pPr>
            <w:r/>
            <w:r>
              <w:rPr>
                <w:rFonts w:ascii="Aptos" w:hAnsi="Aptos"/>
                <w:b w:val="0"/>
                <w:sz w:val="17"/>
              </w:rPr>
              <w:t>Prediction horizon</w:t>
            </w:r>
          </w:p>
        </w:tc>
        <w:tc>
          <w:tcPr>
            <w:tcW w:type="dxa" w:w="7056"/>
            <w:vAlign w:val="center"/>
          </w:tcPr>
          <w:p>
            <w:pPr>
              <w:spacing w:after="20" w:before="20"/>
            </w:pPr>
            <w:r/>
            <w:r>
              <w:rPr>
                <w:rFonts w:ascii="Aptos" w:hAnsi="Aptos"/>
                <w:b w:val="0"/>
                <w:sz w:val="17"/>
              </w:rPr>
              <w:t>The next regular trading session following the configured prediction cutoff.</w:t>
            </w:r>
          </w:p>
        </w:tc>
      </w:tr>
      <w:tr>
        <w:tc>
          <w:tcPr>
            <w:tcW w:type="dxa" w:w="2448"/>
            <w:vAlign w:val="center"/>
            <w:shd w:fill="F1F5F8"/>
          </w:tcPr>
          <w:p>
            <w:pPr>
              <w:spacing w:after="20" w:before="20"/>
            </w:pPr>
            <w:r/>
            <w:r>
              <w:rPr>
                <w:rFonts w:ascii="Aptos" w:hAnsi="Aptos"/>
                <w:b w:val="0"/>
                <w:sz w:val="17"/>
              </w:rPr>
              <w:t>Estimated change (%)</w:t>
            </w:r>
          </w:p>
        </w:tc>
        <w:tc>
          <w:tcPr>
            <w:tcW w:type="dxa" w:w="7056"/>
            <w:vAlign w:val="center"/>
            <w:shd w:fill="F1F5F8"/>
          </w:tcPr>
          <w:p>
            <w:pPr>
              <w:spacing w:after="20" w:before="20"/>
            </w:pPr>
            <w:r/>
            <w:r>
              <w:rPr>
                <w:rFonts w:ascii="Aptos" w:hAnsi="Aptos"/>
                <w:b w:val="0"/>
                <w:sz w:val="17"/>
              </w:rPr>
              <w:t>100 × (predicted close − reference close) ÷ reference close.</w:t>
            </w:r>
          </w:p>
        </w:tc>
      </w:tr>
      <w:tr>
        <w:tc>
          <w:tcPr>
            <w:tcW w:type="dxa" w:w="2448"/>
            <w:vAlign w:val="center"/>
          </w:tcPr>
          <w:p>
            <w:pPr>
              <w:spacing w:after="20" w:before="20"/>
            </w:pPr>
            <w:r/>
            <w:r>
              <w:rPr>
                <w:rFonts w:ascii="Aptos" w:hAnsi="Aptos"/>
                <w:b w:val="0"/>
                <w:sz w:val="17"/>
              </w:rPr>
              <w:t>Actual change (%)</w:t>
            </w:r>
          </w:p>
        </w:tc>
        <w:tc>
          <w:tcPr>
            <w:tcW w:type="dxa" w:w="7056"/>
            <w:vAlign w:val="center"/>
          </w:tcPr>
          <w:p>
            <w:pPr>
              <w:spacing w:after="20" w:before="20"/>
            </w:pPr>
            <w:r/>
            <w:r>
              <w:rPr>
                <w:rFonts w:ascii="Aptos" w:hAnsi="Aptos"/>
                <w:b w:val="0"/>
                <w:sz w:val="17"/>
              </w:rPr>
              <w:t>100 × (actual next-session close − reference close) ÷ reference close.</w:t>
            </w:r>
          </w:p>
        </w:tc>
      </w:tr>
      <w:tr>
        <w:tc>
          <w:tcPr>
            <w:tcW w:type="dxa" w:w="2448"/>
            <w:vAlign w:val="center"/>
            <w:shd w:fill="F1F5F8"/>
          </w:tcPr>
          <w:p>
            <w:pPr>
              <w:spacing w:after="20" w:before="20"/>
            </w:pPr>
            <w:r/>
            <w:r>
              <w:rPr>
                <w:rFonts w:ascii="Aptos" w:hAnsi="Aptos"/>
                <w:b w:val="0"/>
                <w:sz w:val="17"/>
              </w:rPr>
              <w:t>Bullish / bearish / neutral</w:t>
            </w:r>
          </w:p>
        </w:tc>
        <w:tc>
          <w:tcPr>
            <w:tcW w:type="dxa" w:w="7056"/>
            <w:vAlign w:val="center"/>
            <w:shd w:fill="F1F5F8"/>
          </w:tcPr>
          <w:p>
            <w:pPr>
              <w:spacing w:after="20" w:before="20"/>
            </w:pPr>
            <w:r/>
            <w:r>
              <w:rPr>
                <w:rFonts w:ascii="Aptos" w:hAnsi="Aptos"/>
                <w:b w:val="0"/>
                <w:sz w:val="17"/>
              </w:rPr>
              <w:t>Direction label derived from the estimated change and configured threshold.</w:t>
            </w:r>
          </w:p>
        </w:tc>
      </w:tr>
      <w:tr>
        <w:tc>
          <w:tcPr>
            <w:tcW w:type="dxa" w:w="2448"/>
            <w:vAlign w:val="center"/>
          </w:tcPr>
          <w:p>
            <w:pPr>
              <w:spacing w:after="20" w:before="20"/>
            </w:pPr>
            <w:r/>
            <w:r>
              <w:rPr>
                <w:rFonts w:ascii="Aptos" w:hAnsi="Aptos"/>
                <w:b w:val="0"/>
                <w:sz w:val="17"/>
              </w:rPr>
              <w:t>MAE</w:t>
            </w:r>
          </w:p>
        </w:tc>
        <w:tc>
          <w:tcPr>
            <w:tcW w:type="dxa" w:w="7056"/>
            <w:vAlign w:val="center"/>
          </w:tcPr>
          <w:p>
            <w:pPr>
              <w:spacing w:after="20" w:before="20"/>
            </w:pPr>
            <w:r/>
            <w:r>
              <w:rPr>
                <w:rFonts w:ascii="Aptos" w:hAnsi="Aptos"/>
                <w:b w:val="0"/>
                <w:sz w:val="17"/>
              </w:rPr>
              <w:t>Mean absolute error between estimated and actual percentage changes.</w:t>
            </w:r>
          </w:p>
        </w:tc>
      </w:tr>
      <w:tr>
        <w:tc>
          <w:tcPr>
            <w:tcW w:type="dxa" w:w="2448"/>
            <w:vAlign w:val="center"/>
            <w:shd w:fill="F1F5F8"/>
          </w:tcPr>
          <w:p>
            <w:pPr>
              <w:spacing w:after="20" w:before="20"/>
            </w:pPr>
            <w:r/>
            <w:r>
              <w:rPr>
                <w:rFonts w:ascii="Aptos" w:hAnsi="Aptos"/>
                <w:b w:val="0"/>
                <w:sz w:val="17"/>
              </w:rPr>
              <w:t>Baseline</w:t>
            </w:r>
          </w:p>
        </w:tc>
        <w:tc>
          <w:tcPr>
            <w:tcW w:type="dxa" w:w="7056"/>
            <w:vAlign w:val="center"/>
            <w:shd w:fill="F1F5F8"/>
          </w:tcPr>
          <w:p>
            <w:pPr>
              <w:spacing w:after="20" w:before="20"/>
            </w:pPr>
            <w:r/>
            <w:r>
              <w:rPr>
                <w:rFonts w:ascii="Aptos" w:hAnsi="Aptos"/>
                <w:b w:val="0"/>
                <w:sz w:val="17"/>
              </w:rPr>
              <w:t>A model using price-history features without news sentiment.</w:t>
            </w:r>
          </w:p>
        </w:tc>
      </w:tr>
    </w:tbl>
    <w:p>
      <w:pPr>
        <w:spacing w:after="20"/>
      </w:pPr>
    </w:p>
    <w:p>
      <w:pPr>
        <w:pStyle w:val="Heading1"/>
      </w:pPr>
      <w:r>
        <w:t>2. Overall description</w:t>
      </w:r>
    </w:p>
    <w:p>
      <w:pPr>
        <w:pStyle w:val="Heading2"/>
      </w:pPr>
      <w:r>
        <w:t>2.1 Product perspective</w:t>
      </w:r>
    </w:p>
    <w:p>
      <w:r>
        <w:t>The application is a small web dashboard backed by a scheduled or manually triggered data pipeline and a prediction service. Its main flow is: collect → normalize and link → score news → build features → predict → publish dashboard → reconcile actual results. The frontend consumes documented backend endpoints and must label the data timestamp and prediction horizon.</w:t>
      </w:r>
    </w:p>
    <w:p>
      <w:pPr>
        <w:pStyle w:val="Heading2"/>
      </w:pPr>
      <w:r>
        <w:t>2.2 User classes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056"/>
      </w:tblGrid>
      <w:tr>
        <w:trPr>
          <w:tblHeader w:val="true"/>
        </w:trPr>
        <w:tc>
          <w:tcPr>
            <w:tcW w:type="dxa" w:w="4997"/>
            <w:vAlign w:val="center"/>
            <w:shd w:fill="24476B"/>
          </w:tcPr>
          <w:p>
            <w:pPr>
              <w:spacing w:after="20" w:before="20"/>
            </w:pPr>
            <w:r/>
            <w:r>
              <w:rPr>
                <w:rFonts w:ascii="Aptos" w:hAnsi="Aptos"/>
                <w:b/>
                <w:color w:val="FFFFFF"/>
                <w:sz w:val="18"/>
              </w:rPr>
              <w:t>User</w:t>
            </w:r>
          </w:p>
        </w:tc>
        <w:tc>
          <w:tcPr>
            <w:tcW w:type="dxa" w:w="4997"/>
            <w:vAlign w:val="center"/>
            <w:shd w:fill="24476B"/>
          </w:tcPr>
          <w:p>
            <w:pPr>
              <w:spacing w:after="20" w:before="20"/>
            </w:pPr>
            <w:r/>
            <w:r>
              <w:rPr>
                <w:rFonts w:ascii="Aptos" w:hAnsi="Aptos"/>
                <w:b/>
                <w:color w:val="FFFFFF"/>
                <w:sz w:val="18"/>
              </w:rPr>
              <w:t>Needs</w:t>
            </w:r>
          </w:p>
        </w:tc>
      </w:tr>
      <w:tr>
        <w:tc>
          <w:tcPr>
            <w:tcW w:type="dxa" w:w="2448"/>
            <w:vAlign w:val="center"/>
          </w:tcPr>
          <w:p>
            <w:pPr>
              <w:spacing w:after="20" w:before="20"/>
            </w:pPr>
            <w:r/>
            <w:r>
              <w:rPr>
                <w:rFonts w:ascii="Aptos" w:hAnsi="Aptos"/>
                <w:b w:val="0"/>
                <w:sz w:val="17"/>
              </w:rPr>
              <w:t>Viewer / evaluator</w:t>
            </w:r>
          </w:p>
        </w:tc>
        <w:tc>
          <w:tcPr>
            <w:tcW w:type="dxa" w:w="7056"/>
            <w:vAlign w:val="center"/>
          </w:tcPr>
          <w:p>
            <w:pPr>
              <w:spacing w:after="20" w:before="20"/>
            </w:pPr>
            <w:r/>
            <w:r>
              <w:rPr>
                <w:rFonts w:ascii="Aptos" w:hAnsi="Aptos"/>
                <w:b w:val="0"/>
                <w:sz w:val="17"/>
              </w:rPr>
              <w:t>See market outlook, stock watchlist, estimates, supporting news summaries, and historical accuracy.</w:t>
            </w:r>
          </w:p>
        </w:tc>
      </w:tr>
      <w:tr>
        <w:tc>
          <w:tcPr>
            <w:tcW w:type="dxa" w:w="2448"/>
            <w:vAlign w:val="center"/>
            <w:shd w:fill="F1F5F8"/>
          </w:tcPr>
          <w:p>
            <w:pPr>
              <w:spacing w:after="20" w:before="20"/>
            </w:pPr>
            <w:r/>
            <w:r>
              <w:rPr>
                <w:rFonts w:ascii="Aptos" w:hAnsi="Aptos"/>
                <w:b w:val="0"/>
                <w:sz w:val="17"/>
              </w:rPr>
              <w:t>Project operator</w:t>
            </w:r>
          </w:p>
        </w:tc>
        <w:tc>
          <w:tcPr>
            <w:tcW w:type="dxa" w:w="7056"/>
            <w:vAlign w:val="center"/>
            <w:shd w:fill="F1F5F8"/>
          </w:tcPr>
          <w:p>
            <w:pPr>
              <w:spacing w:after="20" w:before="20"/>
            </w:pPr>
            <w:r/>
            <w:r>
              <w:rPr>
                <w:rFonts w:ascii="Aptos" w:hAnsi="Aptos"/>
                <w:b w:val="0"/>
                <w:sz w:val="17"/>
              </w:rPr>
              <w:t>Configure the watchlist and cutoff, trigger or monitor data refreshes, and inspect missing/stale data or processing errors.</w:t>
            </w:r>
          </w:p>
        </w:tc>
      </w:tr>
    </w:tbl>
    <w:p>
      <w:pPr>
        <w:spacing w:after="20"/>
      </w:pPr>
    </w:p>
    <w:p>
      <w:pPr>
        <w:pStyle w:val="Heading2"/>
      </w:pPr>
      <w:r>
        <w:t>2.3 Operating assumptions</w:t>
      </w:r>
    </w:p>
    <w:p>
      <w:pPr>
        <w:pStyle w:val="ListBullet"/>
      </w:pPr>
      <w:r>
        <w:t>Initial implementation covers one exchange/market index and 5–10 liquid stocks selected by the team.</w:t>
      </w:r>
    </w:p>
    <w:p>
      <w:pPr>
        <w:pStyle w:val="ListBullet"/>
      </w:pPr>
      <w:r>
        <w:t>Daily close-to-close percentage change is the initial forecast target. Intraday prediction is outside initial scope.</w:t>
      </w:r>
    </w:p>
    <w:p>
      <w:pPr>
        <w:pStyle w:val="ListBullet"/>
      </w:pPr>
      <w:r>
        <w:t>All source timestamps are normalized to the market timezone and retained in UTC as well.</w:t>
      </w:r>
    </w:p>
    <w:p>
      <w:pPr>
        <w:pStyle w:val="ListBullet"/>
      </w:pPr>
      <w:r>
        <w:t>News access must use a permitted API, RSS feed, open dataset, or source whose terms permit the intended use. The system stores links and metadata where full-text retention is not allowed.</w:t>
      </w:r>
    </w:p>
    <w:p>
      <w:pPr>
        <w:pStyle w:val="ListBullet"/>
      </w:pPr>
      <w:r>
        <w:t>Prices are split/dividend adjusted where the provider supports reliable adjusted close; data source and adjustment method are documented.</w:t>
      </w:r>
    </w:p>
    <w:p>
      <w:pPr>
        <w:pStyle w:val="Heading1"/>
      </w:pPr>
      <w:r>
        <w:t>3. System features and functional requirements</w:t>
      </w:r>
    </w:p>
    <w:p>
      <w:r>
        <w:t>Requirements marked “Must” are required for the initial release. “Should” requirements are desirable if time permits.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979"/>
        <w:gridCol w:w="6293"/>
      </w:tblGrid>
      <w:tr>
        <w:trPr>
          <w:tblHeader w:val="true"/>
        </w:trPr>
        <w:tc>
          <w:tcPr>
            <w:tcW w:type="dxa" w:w="3331"/>
            <w:vAlign w:val="center"/>
            <w:shd w:fill="24476B"/>
          </w:tcPr>
          <w:p>
            <w:pPr>
              <w:spacing w:after="20" w:before="20"/>
            </w:pPr>
            <w:r/>
            <w:r>
              <w:rPr>
                <w:rFonts w:ascii="Aptos" w:hAnsi="Aptos"/>
                <w:b/>
                <w:color w:val="FFFFFF"/>
                <w:sz w:val="18"/>
              </w:rPr>
              <w:t>ID / feature</w:t>
            </w:r>
          </w:p>
        </w:tc>
        <w:tc>
          <w:tcPr>
            <w:tcW w:type="dxa" w:w="3331"/>
            <w:vAlign w:val="center"/>
            <w:shd w:fill="24476B"/>
          </w:tcPr>
          <w:p>
            <w:pPr>
              <w:spacing w:after="20" w:before="20"/>
            </w:pPr>
            <w:r/>
            <w:r>
              <w:rPr>
                <w:rFonts w:ascii="Aptos" w:hAnsi="Aptos"/>
                <w:b/>
                <w:color w:val="FFFFFF"/>
                <w:sz w:val="18"/>
              </w:rPr>
              <w:t>Priority</w:t>
            </w:r>
          </w:p>
        </w:tc>
        <w:tc>
          <w:tcPr>
            <w:tcW w:type="dxa" w:w="3331"/>
            <w:vAlign w:val="center"/>
            <w:shd w:fill="24476B"/>
          </w:tcPr>
          <w:p>
            <w:pPr>
              <w:spacing w:after="20" w:before="20"/>
            </w:pPr>
            <w:r/>
            <w:r>
              <w:rPr>
                <w:rFonts w:ascii="Aptos" w:hAnsi="Aptos"/>
                <w:b/>
                <w:color w:val="FFFFFF"/>
                <w:sz w:val="18"/>
              </w:rPr>
              <w:t>Requirement</w:t>
            </w:r>
          </w:p>
        </w:tc>
      </w:tr>
      <w:tr>
        <w:tc>
          <w:tcPr>
            <w:tcW w:type="dxa" w:w="2232"/>
            <w:vAlign w:val="center"/>
          </w:tcPr>
          <w:p>
            <w:pPr>
              <w:spacing w:after="20" w:before="20"/>
            </w:pPr>
            <w:r/>
            <w:r>
              <w:rPr>
                <w:rFonts w:ascii="Aptos" w:hAnsi="Aptos"/>
                <w:b w:val="0"/>
                <w:sz w:val="17"/>
              </w:rPr>
              <w:t>FR-01 Watchlist configuration</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operator shall configure one market index and 5–10 ticker symbols, with display names and exchange identifiers.</w:t>
            </w:r>
          </w:p>
        </w:tc>
      </w:tr>
      <w:tr>
        <w:tc>
          <w:tcPr>
            <w:tcW w:type="dxa" w:w="2232"/>
            <w:vAlign w:val="center"/>
            <w:shd w:fill="F1F5F8"/>
          </w:tcPr>
          <w:p>
            <w:pPr>
              <w:spacing w:after="20" w:before="20"/>
            </w:pPr>
            <w:r/>
            <w:r>
              <w:rPr>
                <w:rFonts w:ascii="Aptos" w:hAnsi="Aptos"/>
                <w:b w:val="0"/>
                <w:sz w:val="17"/>
              </w:rPr>
              <w:t>FR-02 News ingestion</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The system shall ingest headline, source name, article URL or source ID, publication timestamp, and available ticker/entity tags from approved sources.</w:t>
            </w:r>
          </w:p>
        </w:tc>
      </w:tr>
      <w:tr>
        <w:tc>
          <w:tcPr>
            <w:tcW w:type="dxa" w:w="2232"/>
            <w:vAlign w:val="center"/>
          </w:tcPr>
          <w:p>
            <w:pPr>
              <w:spacing w:after="20" w:before="20"/>
            </w:pPr>
            <w:r/>
            <w:r>
              <w:rPr>
                <w:rFonts w:ascii="Aptos" w:hAnsi="Aptos"/>
                <w:b w:val="0"/>
                <w:sz w:val="17"/>
              </w:rPr>
              <w:t>FR-03 Price ingestion</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system shall retrieve daily OHLCV or at minimum adjusted close for each watchlist asset and the market index.</w:t>
            </w:r>
          </w:p>
        </w:tc>
      </w:tr>
      <w:tr>
        <w:tc>
          <w:tcPr>
            <w:tcW w:type="dxa" w:w="2232"/>
            <w:vAlign w:val="center"/>
            <w:shd w:fill="F1F5F8"/>
          </w:tcPr>
          <w:p>
            <w:pPr>
              <w:spacing w:after="20" w:before="20"/>
            </w:pPr>
            <w:r/>
            <w:r>
              <w:rPr>
                <w:rFonts w:ascii="Aptos" w:hAnsi="Aptos"/>
                <w:b w:val="0"/>
                <w:sz w:val="17"/>
              </w:rPr>
              <w:t>FR-04 Deduplication</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The system shall identify duplicate articles using source ID or normalized URL and avoid counting duplicates more than once.</w:t>
            </w:r>
          </w:p>
        </w:tc>
      </w:tr>
      <w:tr>
        <w:tc>
          <w:tcPr>
            <w:tcW w:type="dxa" w:w="2232"/>
            <w:vAlign w:val="center"/>
          </w:tcPr>
          <w:p>
            <w:pPr>
              <w:spacing w:after="20" w:before="20"/>
            </w:pPr>
            <w:r/>
            <w:r>
              <w:rPr>
                <w:rFonts w:ascii="Aptos" w:hAnsi="Aptos"/>
                <w:b w:val="0"/>
                <w:sz w:val="17"/>
              </w:rPr>
              <w:t>FR-05 Entity linking</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system shall associate an article with one or more watchlist assets using provider tags and/or ticker/company-name matching. Uncertain matches shall be marked for review or excluded from per-stock aggregation.</w:t>
            </w:r>
          </w:p>
        </w:tc>
      </w:tr>
      <w:tr>
        <w:tc>
          <w:tcPr>
            <w:tcW w:type="dxa" w:w="2232"/>
            <w:vAlign w:val="center"/>
            <w:shd w:fill="F1F5F8"/>
          </w:tcPr>
          <w:p>
            <w:pPr>
              <w:spacing w:after="20" w:before="20"/>
            </w:pPr>
            <w:r/>
            <w:r>
              <w:rPr>
                <w:rFonts w:ascii="Aptos" w:hAnsi="Aptos"/>
                <w:b w:val="0"/>
                <w:sz w:val="17"/>
              </w:rPr>
              <w:t>FR-06 Sentiment scoring</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The system shall assign each eligible headline a positive, neutral, or negative score using a documented method/model and preserve the score, model/version, and processing time.</w:t>
            </w:r>
          </w:p>
        </w:tc>
      </w:tr>
      <w:tr>
        <w:tc>
          <w:tcPr>
            <w:tcW w:type="dxa" w:w="2232"/>
            <w:vAlign w:val="center"/>
          </w:tcPr>
          <w:p>
            <w:pPr>
              <w:spacing w:after="20" w:before="20"/>
            </w:pPr>
            <w:r/>
            <w:r>
              <w:rPr>
                <w:rFonts w:ascii="Aptos" w:hAnsi="Aptos"/>
                <w:b w:val="0"/>
                <w:sz w:val="17"/>
              </w:rPr>
              <w:t>FR-07 Daily feature aggregation</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system shall aggregate eligible news per asset and prediction window, including article count and mean sentiment; it should include positive/negative counts and recency-weighted sentiment.</w:t>
            </w:r>
          </w:p>
        </w:tc>
      </w:tr>
      <w:tr>
        <w:tc>
          <w:tcPr>
            <w:tcW w:type="dxa" w:w="2232"/>
            <w:vAlign w:val="center"/>
            <w:shd w:fill="F1F5F8"/>
          </w:tcPr>
          <w:p>
            <w:pPr>
              <w:spacing w:after="20" w:before="20"/>
            </w:pPr>
            <w:r/>
            <w:r>
              <w:rPr>
                <w:rFonts w:ascii="Aptos" w:hAnsi="Aptos"/>
                <w:b w:val="0"/>
                <w:sz w:val="17"/>
              </w:rPr>
              <w:t>FR-08 Market features</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The system shall calculate recent returns for each asset and index from data available before the prediction cutoff.</w:t>
            </w:r>
          </w:p>
        </w:tc>
      </w:tr>
      <w:tr>
        <w:tc>
          <w:tcPr>
            <w:tcW w:type="dxa" w:w="2232"/>
            <w:vAlign w:val="center"/>
          </w:tcPr>
          <w:p>
            <w:pPr>
              <w:spacing w:after="20" w:before="20"/>
            </w:pPr>
            <w:r/>
            <w:r>
              <w:rPr>
                <w:rFonts w:ascii="Aptos" w:hAnsi="Aptos"/>
                <w:b w:val="0"/>
                <w:sz w:val="17"/>
              </w:rPr>
              <w:t>FR-09 Baseline prediction</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system shall generate next-session percentage-change estimates using a price-history-only baseline.</w:t>
            </w:r>
          </w:p>
        </w:tc>
      </w:tr>
      <w:tr>
        <w:tc>
          <w:tcPr>
            <w:tcW w:type="dxa" w:w="2232"/>
            <w:vAlign w:val="center"/>
            <w:shd w:fill="F1F5F8"/>
          </w:tcPr>
          <w:p>
            <w:pPr>
              <w:spacing w:after="20" w:before="20"/>
            </w:pPr>
            <w:r/>
            <w:r>
              <w:rPr>
                <w:rFonts w:ascii="Aptos" w:hAnsi="Aptos"/>
                <w:b w:val="0"/>
                <w:sz w:val="17"/>
              </w:rPr>
              <w:t>FR-10 News-aware prediction</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The system shall generate estimates using market features plus news sentiment features.</w:t>
            </w:r>
          </w:p>
        </w:tc>
      </w:tr>
      <w:tr>
        <w:tc>
          <w:tcPr>
            <w:tcW w:type="dxa" w:w="2232"/>
            <w:vAlign w:val="center"/>
          </w:tcPr>
          <w:p>
            <w:pPr>
              <w:spacing w:after="20" w:before="20"/>
            </w:pPr>
            <w:r/>
            <w:r>
              <w:rPr>
                <w:rFonts w:ascii="Aptos" w:hAnsi="Aptos"/>
                <w:b w:val="0"/>
                <w:sz w:val="17"/>
              </w:rPr>
              <w:t>FR-11 Outlook labels</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system shall label index and stock estimates bullish, bearish, or neutral using configurable thresholds. Threshold values shall be visible in system configuration.</w:t>
            </w:r>
          </w:p>
        </w:tc>
      </w:tr>
      <w:tr>
        <w:tc>
          <w:tcPr>
            <w:tcW w:type="dxa" w:w="2232"/>
            <w:vAlign w:val="center"/>
            <w:shd w:fill="F1F5F8"/>
          </w:tcPr>
          <w:p>
            <w:pPr>
              <w:spacing w:after="20" w:before="20"/>
            </w:pPr>
            <w:r/>
            <w:r>
              <w:rPr>
                <w:rFonts w:ascii="Aptos" w:hAnsi="Aptos"/>
                <w:b w:val="0"/>
                <w:sz w:val="17"/>
              </w:rPr>
              <w:t>FR-12 Stocks to watch</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The dashboard shall rank stocks by the absolute size of the news-aware estimate, show direction, estimated change, news volume, and top linked headlines. The label shall be “signals to watch,” not a buy/sell instruction.</w:t>
            </w:r>
          </w:p>
        </w:tc>
      </w:tr>
      <w:tr>
        <w:tc>
          <w:tcPr>
            <w:tcW w:type="dxa" w:w="2232"/>
            <w:vAlign w:val="center"/>
          </w:tcPr>
          <w:p>
            <w:pPr>
              <w:spacing w:after="20" w:before="20"/>
            </w:pPr>
            <w:r/>
            <w:r>
              <w:rPr>
                <w:rFonts w:ascii="Aptos" w:hAnsi="Aptos"/>
                <w:b w:val="0"/>
                <w:sz w:val="17"/>
              </w:rPr>
              <w:t>FR-13 Prediction timestamp</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Each prediction shall store asset, prediction date, reference close, horizon, cutoff timestamp, estimated change, model/version, input freshness, and generation timestamp.</w:t>
            </w:r>
          </w:p>
        </w:tc>
      </w:tr>
      <w:tr>
        <w:tc>
          <w:tcPr>
            <w:tcW w:type="dxa" w:w="2232"/>
            <w:vAlign w:val="center"/>
            <w:shd w:fill="F1F5F8"/>
          </w:tcPr>
          <w:p>
            <w:pPr>
              <w:spacing w:after="20" w:before="20"/>
            </w:pPr>
            <w:r/>
            <w:r>
              <w:rPr>
                <w:rFonts w:ascii="Aptos" w:hAnsi="Aptos"/>
                <w:b w:val="0"/>
                <w:sz w:val="17"/>
              </w:rPr>
              <w:t>FR-14 Actual reconciliation</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After the next session close and price data availability, the system shall store actual change and signed/absolute error for every prediction with a valid actual price.</w:t>
            </w:r>
          </w:p>
        </w:tc>
      </w:tr>
      <w:tr>
        <w:tc>
          <w:tcPr>
            <w:tcW w:type="dxa" w:w="2232"/>
            <w:vAlign w:val="center"/>
          </w:tcPr>
          <w:p>
            <w:pPr>
              <w:spacing w:after="20" w:before="20"/>
            </w:pPr>
            <w:r/>
            <w:r>
              <w:rPr>
                <w:rFonts w:ascii="Aptos" w:hAnsi="Aptos"/>
                <w:b w:val="0"/>
                <w:sz w:val="17"/>
              </w:rPr>
              <w:t>FR-15 Historical evaluation</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system shall report MAE for the price-only and news-aware models over a selected test period and show sample count. It shall also report directional accuracy as a secondary metric.</w:t>
            </w:r>
          </w:p>
        </w:tc>
      </w:tr>
      <w:tr>
        <w:tc>
          <w:tcPr>
            <w:tcW w:type="dxa" w:w="2232"/>
            <w:vAlign w:val="center"/>
            <w:shd w:fill="F1F5F8"/>
          </w:tcPr>
          <w:p>
            <w:pPr>
              <w:spacing w:after="20" w:before="20"/>
            </w:pPr>
            <w:r/>
            <w:r>
              <w:rPr>
                <w:rFonts w:ascii="Aptos" w:hAnsi="Aptos"/>
                <w:b w:val="0"/>
                <w:sz w:val="17"/>
              </w:rPr>
              <w:t>FR-16 Dashboard</w:t>
            </w:r>
          </w:p>
        </w:tc>
        <w:tc>
          <w:tcPr>
            <w:tcW w:type="dxa" w:w="979"/>
            <w:vAlign w:val="center"/>
            <w:shd w:fill="F1F5F8"/>
          </w:tcPr>
          <w:p>
            <w:pPr>
              <w:spacing w:after="20" w:before="20"/>
            </w:pPr>
            <w:r/>
            <w:r>
              <w:rPr>
                <w:rFonts w:ascii="Aptos" w:hAnsi="Aptos"/>
                <w:b w:val="0"/>
                <w:sz w:val="17"/>
              </w:rPr>
              <w:t>Must</w:t>
            </w:r>
          </w:p>
        </w:tc>
        <w:tc>
          <w:tcPr>
            <w:tcW w:type="dxa" w:w="6293"/>
            <w:vAlign w:val="center"/>
            <w:shd w:fill="F1F5F8"/>
          </w:tcPr>
          <w:p>
            <w:pPr>
              <w:spacing w:after="20" w:before="20"/>
            </w:pPr>
            <w:r/>
            <w:r>
              <w:rPr>
                <w:rFonts w:ascii="Aptos" w:hAnsi="Aptos"/>
                <w:b w:val="0"/>
                <w:sz w:val="17"/>
              </w:rPr>
              <w:t>The dashboard shall show market outlook, estimated index change, stock signals to watch, per-stock estimate, actual result when available, error, recent headline evidence, and model evaluation.</w:t>
            </w:r>
          </w:p>
        </w:tc>
      </w:tr>
      <w:tr>
        <w:tc>
          <w:tcPr>
            <w:tcW w:type="dxa" w:w="2232"/>
            <w:vAlign w:val="center"/>
          </w:tcPr>
          <w:p>
            <w:pPr>
              <w:spacing w:after="20" w:before="20"/>
            </w:pPr>
            <w:r/>
            <w:r>
              <w:rPr>
                <w:rFonts w:ascii="Aptos" w:hAnsi="Aptos"/>
                <w:b w:val="0"/>
                <w:sz w:val="17"/>
              </w:rPr>
              <w:t>FR-17 Missing/stale data</w:t>
            </w:r>
          </w:p>
        </w:tc>
        <w:tc>
          <w:tcPr>
            <w:tcW w:type="dxa" w:w="979"/>
            <w:vAlign w:val="center"/>
          </w:tcPr>
          <w:p>
            <w:pPr>
              <w:spacing w:after="20" w:before="20"/>
            </w:pPr>
            <w:r/>
            <w:r>
              <w:rPr>
                <w:rFonts w:ascii="Aptos" w:hAnsi="Aptos"/>
                <w:b w:val="0"/>
                <w:sz w:val="17"/>
              </w:rPr>
              <w:t>Must</w:t>
            </w:r>
          </w:p>
        </w:tc>
        <w:tc>
          <w:tcPr>
            <w:tcW w:type="dxa" w:w="6293"/>
            <w:vAlign w:val="center"/>
          </w:tcPr>
          <w:p>
            <w:pPr>
              <w:spacing w:after="20" w:before="20"/>
            </w:pPr>
            <w:r/>
            <w:r>
              <w:rPr>
                <w:rFonts w:ascii="Aptos" w:hAnsi="Aptos"/>
                <w:b w:val="0"/>
                <w:sz w:val="17"/>
              </w:rPr>
              <w:t>The system shall show a visible stale/missing-data status and withhold a prediction when required inputs are unavailable or outside configured freshness limits.</w:t>
            </w:r>
          </w:p>
        </w:tc>
      </w:tr>
      <w:tr>
        <w:tc>
          <w:tcPr>
            <w:tcW w:type="dxa" w:w="2232"/>
            <w:vAlign w:val="center"/>
            <w:shd w:fill="F1F5F8"/>
          </w:tcPr>
          <w:p>
            <w:pPr>
              <w:spacing w:after="20" w:before="20"/>
            </w:pPr>
            <w:r/>
            <w:r>
              <w:rPr>
                <w:rFonts w:ascii="Aptos" w:hAnsi="Aptos"/>
                <w:b w:val="0"/>
                <w:sz w:val="17"/>
              </w:rPr>
              <w:t>FR-18 Run logging</w:t>
            </w:r>
          </w:p>
        </w:tc>
        <w:tc>
          <w:tcPr>
            <w:tcW w:type="dxa" w:w="979"/>
            <w:vAlign w:val="center"/>
            <w:shd w:fill="F1F5F8"/>
          </w:tcPr>
          <w:p>
            <w:pPr>
              <w:spacing w:after="20" w:before="20"/>
            </w:pPr>
            <w:r/>
            <w:r>
              <w:rPr>
                <w:rFonts w:ascii="Aptos" w:hAnsi="Aptos"/>
                <w:b w:val="0"/>
                <w:sz w:val="17"/>
              </w:rPr>
              <w:t>Should</w:t>
            </w:r>
          </w:p>
        </w:tc>
        <w:tc>
          <w:tcPr>
            <w:tcW w:type="dxa" w:w="6293"/>
            <w:vAlign w:val="center"/>
            <w:shd w:fill="F1F5F8"/>
          </w:tcPr>
          <w:p>
            <w:pPr>
              <w:spacing w:after="20" w:before="20"/>
            </w:pPr>
            <w:r/>
            <w:r>
              <w:rPr>
                <w:rFonts w:ascii="Aptos" w:hAnsi="Aptos"/>
                <w:b w:val="0"/>
                <w:sz w:val="17"/>
              </w:rPr>
              <w:t>The operator should be able to inspect recent pipeline runs, status, record counts, and error messages without exposing secrets.</w:t>
            </w:r>
          </w:p>
        </w:tc>
      </w:tr>
    </w:tbl>
    <w:p>
      <w:pPr>
        <w:spacing w:after="20"/>
      </w:pPr>
    </w:p>
    <w:p>
      <w:pPr>
        <w:pStyle w:val="Heading1"/>
      </w:pPr>
      <w:r>
        <w:t>4. Prediction and evaluation rules</w:t>
      </w:r>
    </w:p>
    <w:p>
      <w:pPr>
        <w:pStyle w:val="Heading2"/>
      </w:pPr>
      <w:r>
        <w:t>4.1 Target definition</w:t>
      </w:r>
    </w:p>
    <w:p>
      <w:r>
        <w:t>For an asset i with reference close P(t) at the configured cutoff session t, the target is the close-to-close percentage change over the next trading session: y(i,t+1) = 100 × [P(i,t+1) − P(i,t)] / P(i,t). The initial cutoff is after the regular market close once daily data for session t is available. The prediction is for the next regular trading session, not the next calendar day.</w:t>
      </w:r>
    </w:p>
    <w:p>
      <w:pPr>
        <w:pStyle w:val="Heading2"/>
      </w:pPr>
      <w:r>
        <w:t>4.2 Signal labels</w:t>
      </w:r>
    </w:p>
    <w:p>
      <w:r>
        <w:t>Let θ be a configurable dead-band threshold in percentage points. Label an estimate bullish if estimate &gt; θ, bearish if estimate &lt; −θ, and neutral otherwise. The initial default shall be θ = 0.25 percentage points and must be adjustable. The label summarizes model output, not an investment recommendation.</w:t>
      </w:r>
    </w:p>
    <w:p>
      <w:pPr>
        <w:pStyle w:val="Heading2"/>
      </w:pPr>
      <w:r>
        <w:t>4.3 Model approach</w:t>
      </w:r>
    </w:p>
    <w:p>
      <w:pPr>
        <w:pStyle w:val="ListBullet"/>
      </w:pPr>
      <w:r>
        <w:t>Build a simple baseline first. A suitable initial baseline predicts zero change or uses recent returns through a simple linear/regression model; record which baseline is selected.</w:t>
      </w:r>
    </w:p>
    <w:p>
      <w:pPr>
        <w:pStyle w:val="ListBullet"/>
      </w:pPr>
      <w:r>
        <w:t>Train a comparable news-aware regression model using the same time-based partitions plus news features. Use a simple interpretable model (for example, regularized linear regression or tree-based regression) before considering complex models.</w:t>
      </w:r>
    </w:p>
    <w:p>
      <w:pPr>
        <w:pStyle w:val="ListBullet"/>
      </w:pPr>
      <w:r>
        <w:t>Use chronological train, validation, and test periods. Never randomly shuffle time-series rows. Keep all feature values limited to information available at the prediction cutoff.</w:t>
      </w:r>
    </w:p>
    <w:p>
      <w:pPr>
        <w:pStyle w:val="ListBullet"/>
      </w:pPr>
      <w:r>
        <w:t>Tune hyperparameters only on training/validation periods. Freeze the final evaluation period until final reporting.</w:t>
      </w:r>
    </w:p>
    <w:p>
      <w:pPr>
        <w:pStyle w:val="ListBullet"/>
      </w:pPr>
      <w:r>
        <w:t>Show both model estimates on the dashboard or evaluation page so the effect of adding news can be inspected.</w:t>
      </w:r>
    </w:p>
    <w:p>
      <w:pPr>
        <w:pStyle w:val="Heading2"/>
      </w:pPr>
      <w:r>
        <w:t>4.4 Metrics</w:t>
      </w:r>
    </w:p>
    <w:p>
      <w:r>
        <w:t>Primary metric: MAE in percentage points, computed as mean(|estimate − actual|). Also report directional accuracy: fraction of predictions whose estimated sign matches the actual sign, with zero treated as neutral. Include the number of evaluated predictions, date range, and baseline comparison. Do not claim improvement unless the news-aware model outperforms the baseline on the held-out period under the reported metric.</w:t>
      </w:r>
    </w:p>
    <w:p>
      <w:pPr>
        <w:pStyle w:val="Heading1"/>
      </w:pPr>
      <w:r>
        <w:t>5. External interface requirements</w:t>
      </w:r>
    </w:p>
    <w:p>
      <w:pPr>
        <w:pStyle w:val="Heading2"/>
      </w:pPr>
      <w:r>
        <w:t>5.1 User interface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72"/>
      </w:tblGrid>
      <w:tr>
        <w:trPr>
          <w:tblHeader w:val="true"/>
        </w:trPr>
        <w:tc>
          <w:tcPr>
            <w:tcW w:type="dxa" w:w="4997"/>
            <w:vAlign w:val="center"/>
            <w:shd w:fill="24476B"/>
          </w:tcPr>
          <w:p>
            <w:pPr>
              <w:spacing w:after="20" w:before="20"/>
            </w:pPr>
            <w:r/>
            <w:r>
              <w:rPr>
                <w:rFonts w:ascii="Aptos" w:hAnsi="Aptos"/>
                <w:b/>
                <w:color w:val="FFFFFF"/>
                <w:sz w:val="18"/>
              </w:rPr>
              <w:t>Screen/component</w:t>
            </w:r>
          </w:p>
        </w:tc>
        <w:tc>
          <w:tcPr>
            <w:tcW w:type="dxa" w:w="4997"/>
            <w:vAlign w:val="center"/>
            <w:shd w:fill="24476B"/>
          </w:tcPr>
          <w:p>
            <w:pPr>
              <w:spacing w:after="20" w:before="20"/>
            </w:pPr>
            <w:r/>
            <w:r>
              <w:rPr>
                <w:rFonts w:ascii="Aptos" w:hAnsi="Aptos"/>
                <w:b/>
                <w:color w:val="FFFFFF"/>
                <w:sz w:val="18"/>
              </w:rPr>
              <w:t>Required content</w:t>
            </w:r>
          </w:p>
        </w:tc>
      </w:tr>
      <w:tr>
        <w:tc>
          <w:tcPr>
            <w:tcW w:type="dxa" w:w="2232"/>
            <w:vAlign w:val="center"/>
          </w:tcPr>
          <w:p>
            <w:pPr>
              <w:spacing w:after="20" w:before="20"/>
            </w:pPr>
            <w:r/>
            <w:r>
              <w:rPr>
                <w:rFonts w:ascii="Aptos" w:hAnsi="Aptos"/>
                <w:b w:val="0"/>
                <w:sz w:val="17"/>
              </w:rPr>
              <w:t>Market overview</w:t>
            </w:r>
          </w:p>
        </w:tc>
        <w:tc>
          <w:tcPr>
            <w:tcW w:type="dxa" w:w="7272"/>
            <w:vAlign w:val="center"/>
          </w:tcPr>
          <w:p>
            <w:pPr>
              <w:spacing w:after="20" w:before="20"/>
            </w:pPr>
            <w:r/>
            <w:r>
              <w:rPr>
                <w:rFonts w:ascii="Aptos" w:hAnsi="Aptos"/>
                <w:b w:val="0"/>
                <w:sz w:val="17"/>
              </w:rPr>
              <w:t>Index name, latest reference close, estimated next-session percentage change, bullish/bearish/neutral label, forecast horizon, generated-at time, and data status.</w:t>
            </w:r>
          </w:p>
        </w:tc>
      </w:tr>
      <w:tr>
        <w:tc>
          <w:tcPr>
            <w:tcW w:type="dxa" w:w="2232"/>
            <w:vAlign w:val="center"/>
            <w:shd w:fill="F1F5F8"/>
          </w:tcPr>
          <w:p>
            <w:pPr>
              <w:spacing w:after="20" w:before="20"/>
            </w:pPr>
            <w:r/>
            <w:r>
              <w:rPr>
                <w:rFonts w:ascii="Aptos" w:hAnsi="Aptos"/>
                <w:b w:val="0"/>
                <w:sz w:val="17"/>
              </w:rPr>
              <w:t>Stocks to watch</w:t>
            </w:r>
          </w:p>
        </w:tc>
        <w:tc>
          <w:tcPr>
            <w:tcW w:type="dxa" w:w="7272"/>
            <w:vAlign w:val="center"/>
            <w:shd w:fill="F1F5F8"/>
          </w:tcPr>
          <w:p>
            <w:pPr>
              <w:spacing w:after="20" w:before="20"/>
            </w:pPr>
            <w:r/>
            <w:r>
              <w:rPr>
                <w:rFonts w:ascii="Aptos" w:hAnsi="Aptos"/>
                <w:b w:val="0"/>
                <w:sz w:val="17"/>
              </w:rPr>
              <w:t>Ranked table: ticker/company, estimate, outlook label, news count, top headline/source/time, and actual/error when resolved.</w:t>
            </w:r>
          </w:p>
        </w:tc>
      </w:tr>
      <w:tr>
        <w:tc>
          <w:tcPr>
            <w:tcW w:type="dxa" w:w="2232"/>
            <w:vAlign w:val="center"/>
          </w:tcPr>
          <w:p>
            <w:pPr>
              <w:spacing w:after="20" w:before="20"/>
            </w:pPr>
            <w:r/>
            <w:r>
              <w:rPr>
                <w:rFonts w:ascii="Aptos" w:hAnsi="Aptos"/>
                <w:b w:val="0"/>
                <w:sz w:val="17"/>
              </w:rPr>
              <w:t>Prediction history</w:t>
            </w:r>
          </w:p>
        </w:tc>
        <w:tc>
          <w:tcPr>
            <w:tcW w:type="dxa" w:w="7272"/>
            <w:vAlign w:val="center"/>
          </w:tcPr>
          <w:p>
            <w:pPr>
              <w:spacing w:after="20" w:before="20"/>
            </w:pPr>
            <w:r/>
            <w:r>
              <w:rPr>
                <w:rFonts w:ascii="Aptos" w:hAnsi="Aptos"/>
                <w:b w:val="0"/>
                <w:sz w:val="17"/>
              </w:rPr>
              <w:t>Date, asset, estimated change, actual change, absolute error, and model. Filters by asset and date range.</w:t>
            </w:r>
          </w:p>
        </w:tc>
      </w:tr>
      <w:tr>
        <w:tc>
          <w:tcPr>
            <w:tcW w:type="dxa" w:w="2232"/>
            <w:vAlign w:val="center"/>
            <w:shd w:fill="F1F5F8"/>
          </w:tcPr>
          <w:p>
            <w:pPr>
              <w:spacing w:after="20" w:before="20"/>
            </w:pPr>
            <w:r/>
            <w:r>
              <w:rPr>
                <w:rFonts w:ascii="Aptos" w:hAnsi="Aptos"/>
                <w:b w:val="0"/>
                <w:sz w:val="17"/>
              </w:rPr>
              <w:t>Model evaluation</w:t>
            </w:r>
          </w:p>
        </w:tc>
        <w:tc>
          <w:tcPr>
            <w:tcW w:type="dxa" w:w="7272"/>
            <w:vAlign w:val="center"/>
            <w:shd w:fill="F1F5F8"/>
          </w:tcPr>
          <w:p>
            <w:pPr>
              <w:spacing w:after="20" w:before="20"/>
            </w:pPr>
            <w:r/>
            <w:r>
              <w:rPr>
                <w:rFonts w:ascii="Aptos" w:hAnsi="Aptos"/>
                <w:b w:val="0"/>
                <w:sz w:val="17"/>
              </w:rPr>
              <w:t>Baseline versus news-aware MAE, directional accuracy, test period, sample size, and clear metric definitions.</w:t>
            </w:r>
          </w:p>
        </w:tc>
      </w:tr>
      <w:tr>
        <w:tc>
          <w:tcPr>
            <w:tcW w:type="dxa" w:w="2232"/>
            <w:vAlign w:val="center"/>
          </w:tcPr>
          <w:p>
            <w:pPr>
              <w:spacing w:after="20" w:before="20"/>
            </w:pPr>
            <w:r/>
            <w:r>
              <w:rPr>
                <w:rFonts w:ascii="Aptos" w:hAnsi="Aptos"/>
                <w:b w:val="0"/>
                <w:sz w:val="17"/>
              </w:rPr>
              <w:t>Status/empty states</w:t>
            </w:r>
          </w:p>
        </w:tc>
        <w:tc>
          <w:tcPr>
            <w:tcW w:type="dxa" w:w="7272"/>
            <w:vAlign w:val="center"/>
          </w:tcPr>
          <w:p>
            <w:pPr>
              <w:spacing w:after="20" w:before="20"/>
            </w:pPr>
            <w:r/>
            <w:r>
              <w:rPr>
                <w:rFonts w:ascii="Aptos" w:hAnsi="Aptos"/>
                <w:b w:val="0"/>
                <w:sz w:val="17"/>
              </w:rPr>
              <w:t>Explain stale inputs, unavailable prices, no linked news, or no predictions; never imply missing values equal zero.</w:t>
            </w:r>
          </w:p>
        </w:tc>
      </w:tr>
    </w:tbl>
    <w:p>
      <w:pPr>
        <w:spacing w:after="20"/>
      </w:pPr>
    </w:p>
    <w:p>
      <w:pPr>
        <w:pStyle w:val="Heading2"/>
      </w:pPr>
      <w:r>
        <w:t>5.2 Backend API (suggested REST contract)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6768"/>
      </w:tblGrid>
      <w:tr>
        <w:trPr>
          <w:tblHeader w:val="true"/>
        </w:trPr>
        <w:tc>
          <w:tcPr>
            <w:tcW w:type="dxa" w:w="4997"/>
            <w:vAlign w:val="center"/>
            <w:shd w:fill="24476B"/>
          </w:tcPr>
          <w:p>
            <w:pPr>
              <w:spacing w:after="20" w:before="20"/>
            </w:pPr>
            <w:r/>
            <w:r>
              <w:rPr>
                <w:rFonts w:ascii="Aptos" w:hAnsi="Aptos"/>
                <w:b/>
                <w:color w:val="FFFFFF"/>
                <w:sz w:val="18"/>
              </w:rPr>
              <w:t>Method and path</w:t>
            </w:r>
          </w:p>
        </w:tc>
        <w:tc>
          <w:tcPr>
            <w:tcW w:type="dxa" w:w="4997"/>
            <w:vAlign w:val="center"/>
            <w:shd w:fill="24476B"/>
          </w:tcPr>
          <w:p>
            <w:pPr>
              <w:spacing w:after="20" w:before="20"/>
            </w:pPr>
            <w:r/>
            <w:r>
              <w:rPr>
                <w:rFonts w:ascii="Aptos" w:hAnsi="Aptos"/>
                <w:b/>
                <w:color w:val="FFFFFF"/>
                <w:sz w:val="18"/>
              </w:rPr>
              <w:t>Purpose / key response fields</w:t>
            </w:r>
          </w:p>
        </w:tc>
      </w:tr>
      <w:tr>
        <w:tc>
          <w:tcPr>
            <w:tcW w:type="dxa" w:w="2736"/>
            <w:vAlign w:val="center"/>
          </w:tcPr>
          <w:p>
            <w:pPr>
              <w:spacing w:after="20" w:before="20"/>
            </w:pPr>
            <w:r/>
            <w:r>
              <w:rPr>
                <w:rFonts w:ascii="Aptos" w:hAnsi="Aptos"/>
                <w:b w:val="0"/>
                <w:sz w:val="17"/>
              </w:rPr>
              <w:t>GET /api/v1/overview</w:t>
            </w:r>
          </w:p>
        </w:tc>
        <w:tc>
          <w:tcPr>
            <w:tcW w:type="dxa" w:w="6768"/>
            <w:vAlign w:val="center"/>
          </w:tcPr>
          <w:p>
            <w:pPr>
              <w:spacing w:after="20" w:before="20"/>
            </w:pPr>
            <w:r/>
            <w:r>
              <w:rPr>
                <w:rFonts w:ascii="Aptos" w:hAnsi="Aptos"/>
                <w:b w:val="0"/>
                <w:sz w:val="17"/>
              </w:rPr>
              <w:t>Index outlook, estimate, reference close, generated_at, horizon, data_status.</w:t>
            </w:r>
          </w:p>
        </w:tc>
      </w:tr>
      <w:tr>
        <w:tc>
          <w:tcPr>
            <w:tcW w:type="dxa" w:w="2736"/>
            <w:vAlign w:val="center"/>
            <w:shd w:fill="F1F5F8"/>
          </w:tcPr>
          <w:p>
            <w:pPr>
              <w:spacing w:after="20" w:before="20"/>
            </w:pPr>
            <w:r/>
            <w:r>
              <w:rPr>
                <w:rFonts w:ascii="Aptos" w:hAnsi="Aptos"/>
                <w:b w:val="0"/>
                <w:sz w:val="17"/>
              </w:rPr>
              <w:t>GET /api/v1/stocks?date=YYYY-MM-DD</w:t>
            </w:r>
          </w:p>
        </w:tc>
        <w:tc>
          <w:tcPr>
            <w:tcW w:type="dxa" w:w="6768"/>
            <w:vAlign w:val="center"/>
            <w:shd w:fill="F1F5F8"/>
          </w:tcPr>
          <w:p>
            <w:pPr>
              <w:spacing w:after="20" w:before="20"/>
            </w:pPr>
            <w:r/>
            <w:r>
              <w:rPr>
                <w:rFonts w:ascii="Aptos" w:hAnsi="Aptos"/>
                <w:b w:val="0"/>
                <w:sz w:val="17"/>
              </w:rPr>
              <w:t>Watchlist signals with estimate, label, sentiment summary, top headlines, and actual/error if available.</w:t>
            </w:r>
          </w:p>
        </w:tc>
      </w:tr>
      <w:tr>
        <w:tc>
          <w:tcPr>
            <w:tcW w:type="dxa" w:w="2736"/>
            <w:vAlign w:val="center"/>
          </w:tcPr>
          <w:p>
            <w:pPr>
              <w:spacing w:after="20" w:before="20"/>
            </w:pPr>
            <w:r/>
            <w:r>
              <w:rPr>
                <w:rFonts w:ascii="Aptos" w:hAnsi="Aptos"/>
                <w:b w:val="0"/>
                <w:sz w:val="17"/>
              </w:rPr>
              <w:t>GET /api/v1/predictions?asset=&amp;from=&amp;to=</w:t>
            </w:r>
          </w:p>
        </w:tc>
        <w:tc>
          <w:tcPr>
            <w:tcW w:type="dxa" w:w="6768"/>
            <w:vAlign w:val="center"/>
          </w:tcPr>
          <w:p>
            <w:pPr>
              <w:spacing w:after="20" w:before="20"/>
            </w:pPr>
            <w:r/>
            <w:r>
              <w:rPr>
                <w:rFonts w:ascii="Aptos" w:hAnsi="Aptos"/>
                <w:b w:val="0"/>
                <w:sz w:val="17"/>
              </w:rPr>
              <w:t>Prediction history and resolved outcomes.</w:t>
            </w:r>
          </w:p>
        </w:tc>
      </w:tr>
      <w:tr>
        <w:tc>
          <w:tcPr>
            <w:tcW w:type="dxa" w:w="2736"/>
            <w:vAlign w:val="center"/>
            <w:shd w:fill="F1F5F8"/>
          </w:tcPr>
          <w:p>
            <w:pPr>
              <w:spacing w:after="20" w:before="20"/>
            </w:pPr>
            <w:r/>
            <w:r>
              <w:rPr>
                <w:rFonts w:ascii="Aptos" w:hAnsi="Aptos"/>
                <w:b w:val="0"/>
                <w:sz w:val="17"/>
              </w:rPr>
              <w:t>GET /api/v1/metrics?from=&amp;to=</w:t>
            </w:r>
          </w:p>
        </w:tc>
        <w:tc>
          <w:tcPr>
            <w:tcW w:type="dxa" w:w="6768"/>
            <w:vAlign w:val="center"/>
            <w:shd w:fill="F1F5F8"/>
          </w:tcPr>
          <w:p>
            <w:pPr>
              <w:spacing w:after="20" w:before="20"/>
            </w:pPr>
            <w:r/>
            <w:r>
              <w:rPr>
                <w:rFonts w:ascii="Aptos" w:hAnsi="Aptos"/>
                <w:b w:val="0"/>
                <w:sz w:val="17"/>
              </w:rPr>
              <w:t>Per-model MAE, directional accuracy, sample count, evaluation dates.</w:t>
            </w:r>
          </w:p>
        </w:tc>
      </w:tr>
      <w:tr>
        <w:tc>
          <w:tcPr>
            <w:tcW w:type="dxa" w:w="2736"/>
            <w:vAlign w:val="center"/>
          </w:tcPr>
          <w:p>
            <w:pPr>
              <w:spacing w:after="20" w:before="20"/>
            </w:pPr>
            <w:r/>
            <w:r>
              <w:rPr>
                <w:rFonts w:ascii="Aptos" w:hAnsi="Aptos"/>
                <w:b w:val="0"/>
                <w:sz w:val="17"/>
              </w:rPr>
              <w:t>POST /api/v1/jobs/refresh</w:t>
            </w:r>
          </w:p>
        </w:tc>
        <w:tc>
          <w:tcPr>
            <w:tcW w:type="dxa" w:w="6768"/>
            <w:vAlign w:val="center"/>
          </w:tcPr>
          <w:p>
            <w:pPr>
              <w:spacing w:after="20" w:before="20"/>
            </w:pPr>
            <w:r/>
            <w:r>
              <w:rPr>
                <w:rFonts w:ascii="Aptos" w:hAnsi="Aptos"/>
                <w:b w:val="0"/>
                <w:sz w:val="17"/>
              </w:rPr>
              <w:t>Operator-triggered refresh; returns job identifier/status. Protect this endpoint from public use.</w:t>
            </w:r>
          </w:p>
        </w:tc>
      </w:tr>
      <w:tr>
        <w:tc>
          <w:tcPr>
            <w:tcW w:type="dxa" w:w="2736"/>
            <w:vAlign w:val="center"/>
            <w:shd w:fill="F1F5F8"/>
          </w:tcPr>
          <w:p>
            <w:pPr>
              <w:spacing w:after="20" w:before="20"/>
            </w:pPr>
            <w:r/>
            <w:r>
              <w:rPr>
                <w:rFonts w:ascii="Aptos" w:hAnsi="Aptos"/>
                <w:b w:val="0"/>
                <w:sz w:val="17"/>
              </w:rPr>
              <w:t>GET /api/v1/status</w:t>
            </w:r>
          </w:p>
        </w:tc>
        <w:tc>
          <w:tcPr>
            <w:tcW w:type="dxa" w:w="6768"/>
            <w:vAlign w:val="center"/>
            <w:shd w:fill="F1F5F8"/>
          </w:tcPr>
          <w:p>
            <w:pPr>
              <w:spacing w:after="20" w:before="20"/>
            </w:pPr>
            <w:r/>
            <w:r>
              <w:rPr>
                <w:rFonts w:ascii="Aptos" w:hAnsi="Aptos"/>
                <w:b w:val="0"/>
                <w:sz w:val="17"/>
              </w:rPr>
              <w:t>Latest ingestion and prediction run status; no secret values.</w:t>
            </w:r>
          </w:p>
        </w:tc>
      </w:tr>
    </w:tbl>
    <w:p>
      <w:pPr>
        <w:spacing w:after="20"/>
      </w:pPr>
    </w:p>
    <w:p>
      <w:r>
        <w:t>All API responses shall use JSON, ISO 8601 timestamps, percentage values expressed consistently in percentage points (for example 1.25 means 1.25%), and a stable error format containing code and readable message.</w:t>
      </w:r>
    </w:p>
    <w:p>
      <w:pPr>
        <w:pStyle w:val="Heading1"/>
      </w:pPr>
      <w:r>
        <w:t>6. Data requirements and storage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416"/>
      </w:tblGrid>
      <w:tr>
        <w:trPr>
          <w:tblHeader w:val="true"/>
        </w:trPr>
        <w:tc>
          <w:tcPr>
            <w:tcW w:type="dxa" w:w="4997"/>
            <w:vAlign w:val="center"/>
            <w:shd w:fill="24476B"/>
          </w:tcPr>
          <w:p>
            <w:pPr>
              <w:spacing w:after="20" w:before="20"/>
            </w:pPr>
            <w:r/>
            <w:r>
              <w:rPr>
                <w:rFonts w:ascii="Aptos" w:hAnsi="Aptos"/>
                <w:b/>
                <w:color w:val="FFFFFF"/>
                <w:sz w:val="18"/>
              </w:rPr>
              <w:t>Entity</w:t>
            </w:r>
          </w:p>
        </w:tc>
        <w:tc>
          <w:tcPr>
            <w:tcW w:type="dxa" w:w="4997"/>
            <w:vAlign w:val="center"/>
            <w:shd w:fill="24476B"/>
          </w:tcPr>
          <w:p>
            <w:pPr>
              <w:spacing w:after="20" w:before="20"/>
            </w:pPr>
            <w:r/>
            <w:r>
              <w:rPr>
                <w:rFonts w:ascii="Aptos" w:hAnsi="Aptos"/>
                <w:b/>
                <w:color w:val="FFFFFF"/>
                <w:sz w:val="18"/>
              </w:rPr>
              <w:t>Minimum fields</w:t>
            </w:r>
          </w:p>
        </w:tc>
      </w:tr>
      <w:tr>
        <w:tc>
          <w:tcPr>
            <w:tcW w:type="dxa" w:w="2088"/>
            <w:vAlign w:val="center"/>
          </w:tcPr>
          <w:p>
            <w:pPr>
              <w:spacing w:after="20" w:before="20"/>
            </w:pPr>
            <w:r/>
            <w:r>
              <w:rPr>
                <w:rFonts w:ascii="Aptos" w:hAnsi="Aptos"/>
                <w:b w:val="0"/>
                <w:sz w:val="17"/>
              </w:rPr>
              <w:t>Asset</w:t>
            </w:r>
          </w:p>
        </w:tc>
        <w:tc>
          <w:tcPr>
            <w:tcW w:type="dxa" w:w="7416"/>
            <w:vAlign w:val="center"/>
          </w:tcPr>
          <w:p>
            <w:pPr>
              <w:spacing w:after="20" w:before="20"/>
            </w:pPr>
            <w:r/>
            <w:r>
              <w:rPr>
                <w:rFonts w:ascii="Aptos" w:hAnsi="Aptos"/>
                <w:b w:val="0"/>
                <w:sz w:val="17"/>
              </w:rPr>
              <w:t>asset_id, ticker, display_name, exchange, asset_type (index/stock), active flag</w:t>
            </w:r>
          </w:p>
        </w:tc>
      </w:tr>
      <w:tr>
        <w:tc>
          <w:tcPr>
            <w:tcW w:type="dxa" w:w="2088"/>
            <w:vAlign w:val="center"/>
            <w:shd w:fill="F1F5F8"/>
          </w:tcPr>
          <w:p>
            <w:pPr>
              <w:spacing w:after="20" w:before="20"/>
            </w:pPr>
            <w:r/>
            <w:r>
              <w:rPr>
                <w:rFonts w:ascii="Aptos" w:hAnsi="Aptos"/>
                <w:b w:val="0"/>
                <w:sz w:val="17"/>
              </w:rPr>
              <w:t>Article</w:t>
            </w:r>
          </w:p>
        </w:tc>
        <w:tc>
          <w:tcPr>
            <w:tcW w:type="dxa" w:w="7416"/>
            <w:vAlign w:val="center"/>
            <w:shd w:fill="F1F5F8"/>
          </w:tcPr>
          <w:p>
            <w:pPr>
              <w:spacing w:after="20" w:before="20"/>
            </w:pPr>
            <w:r/>
            <w:r>
              <w:rPr>
                <w:rFonts w:ascii="Aptos" w:hAnsi="Aptos"/>
                <w:b w:val="0"/>
                <w:sz w:val="17"/>
              </w:rPr>
              <w:t>article_id, source, URL/source ID, headline, published_at_utc, source_timezone if known, ingested_at, linked asset IDs, sentiment label/score, model version, duplicate flag</w:t>
            </w:r>
          </w:p>
        </w:tc>
      </w:tr>
      <w:tr>
        <w:tc>
          <w:tcPr>
            <w:tcW w:type="dxa" w:w="2088"/>
            <w:vAlign w:val="center"/>
          </w:tcPr>
          <w:p>
            <w:pPr>
              <w:spacing w:after="20" w:before="20"/>
            </w:pPr>
            <w:r/>
            <w:r>
              <w:rPr>
                <w:rFonts w:ascii="Aptos" w:hAnsi="Aptos"/>
                <w:b w:val="0"/>
                <w:sz w:val="17"/>
              </w:rPr>
              <w:t>Daily price</w:t>
            </w:r>
          </w:p>
        </w:tc>
        <w:tc>
          <w:tcPr>
            <w:tcW w:type="dxa" w:w="7416"/>
            <w:vAlign w:val="center"/>
          </w:tcPr>
          <w:p>
            <w:pPr>
              <w:spacing w:after="20" w:before="20"/>
            </w:pPr>
            <w:r/>
            <w:r>
              <w:rPr>
                <w:rFonts w:ascii="Aptos" w:hAnsi="Aptos"/>
                <w:b w:val="0"/>
                <w:sz w:val="17"/>
              </w:rPr>
              <w:t>asset_id, session_date, open/high/low/close, adjusted_close if available, volume, provider, retrieved_at</w:t>
            </w:r>
          </w:p>
        </w:tc>
      </w:tr>
      <w:tr>
        <w:tc>
          <w:tcPr>
            <w:tcW w:type="dxa" w:w="2088"/>
            <w:vAlign w:val="center"/>
            <w:shd w:fill="F1F5F8"/>
          </w:tcPr>
          <w:p>
            <w:pPr>
              <w:spacing w:after="20" w:before="20"/>
            </w:pPr>
            <w:r/>
            <w:r>
              <w:rPr>
                <w:rFonts w:ascii="Aptos" w:hAnsi="Aptos"/>
                <w:b w:val="0"/>
                <w:sz w:val="17"/>
              </w:rPr>
              <w:t>Prediction</w:t>
            </w:r>
          </w:p>
        </w:tc>
        <w:tc>
          <w:tcPr>
            <w:tcW w:type="dxa" w:w="7416"/>
            <w:vAlign w:val="center"/>
            <w:shd w:fill="F1F5F8"/>
          </w:tcPr>
          <w:p>
            <w:pPr>
              <w:spacing w:after="20" w:before="20"/>
            </w:pPr>
            <w:r/>
            <w:r>
              <w:rPr>
                <w:rFonts w:ascii="Aptos" w:hAnsi="Aptos"/>
                <w:b w:val="0"/>
                <w:sz w:val="17"/>
              </w:rPr>
              <w:t>asset_id, prediction_session, cutoff_at, reference_close, estimated_change_pct, label, model_name/version, feature snapshot or reproducible feature reference, created_at, data status</w:t>
            </w:r>
          </w:p>
        </w:tc>
      </w:tr>
      <w:tr>
        <w:tc>
          <w:tcPr>
            <w:tcW w:type="dxa" w:w="2088"/>
            <w:vAlign w:val="center"/>
          </w:tcPr>
          <w:p>
            <w:pPr>
              <w:spacing w:after="20" w:before="20"/>
            </w:pPr>
            <w:r/>
            <w:r>
              <w:rPr>
                <w:rFonts w:ascii="Aptos" w:hAnsi="Aptos"/>
                <w:b w:val="0"/>
                <w:sz w:val="17"/>
              </w:rPr>
              <w:t>Outcome</w:t>
            </w:r>
          </w:p>
        </w:tc>
        <w:tc>
          <w:tcPr>
            <w:tcW w:type="dxa" w:w="7416"/>
            <w:vAlign w:val="center"/>
          </w:tcPr>
          <w:p>
            <w:pPr>
              <w:spacing w:after="20" w:before="20"/>
            </w:pPr>
            <w:r/>
            <w:r>
              <w:rPr>
                <w:rFonts w:ascii="Aptos" w:hAnsi="Aptos"/>
                <w:b w:val="0"/>
                <w:sz w:val="17"/>
              </w:rPr>
              <w:t>prediction_id, actual_close, actual_change_pct, signed_error_pct_points, absolute_error_pct_points, resolved_at</w:t>
            </w:r>
          </w:p>
        </w:tc>
      </w:tr>
      <w:tr>
        <w:tc>
          <w:tcPr>
            <w:tcW w:type="dxa" w:w="2088"/>
            <w:vAlign w:val="center"/>
            <w:shd w:fill="F1F5F8"/>
          </w:tcPr>
          <w:p>
            <w:pPr>
              <w:spacing w:after="20" w:before="20"/>
            </w:pPr>
            <w:r/>
            <w:r>
              <w:rPr>
                <w:rFonts w:ascii="Aptos" w:hAnsi="Aptos"/>
                <w:b w:val="0"/>
                <w:sz w:val="17"/>
              </w:rPr>
              <w:t>Pipeline run</w:t>
            </w:r>
          </w:p>
        </w:tc>
        <w:tc>
          <w:tcPr>
            <w:tcW w:type="dxa" w:w="7416"/>
            <w:vAlign w:val="center"/>
            <w:shd w:fill="F1F5F8"/>
          </w:tcPr>
          <w:p>
            <w:pPr>
              <w:spacing w:after="20" w:before="20"/>
            </w:pPr>
            <w:r/>
            <w:r>
              <w:rPr>
                <w:rFonts w:ascii="Aptos" w:hAnsi="Aptos"/>
                <w:b w:val="0"/>
                <w:sz w:val="17"/>
              </w:rPr>
              <w:t>run_id, stage, start/end times, status, input/output counts, safe error summary</w:t>
            </w:r>
          </w:p>
        </w:tc>
      </w:tr>
    </w:tbl>
    <w:p>
      <w:pPr>
        <w:spacing w:after="20"/>
      </w:pPr>
    </w:p>
    <w:p>
      <w:r>
        <w:t>The system shall retain enough metadata to reproduce feature construction and explain where each signal came from. Secrets and provider credentials must be stored outside source control. If article licensing prohibits full text storage, retain only allowed metadata, headline if permitted, and URL.</w:t>
      </w:r>
    </w:p>
    <w:p>
      <w:pPr>
        <w:pStyle w:val="Heading1"/>
      </w:pPr>
      <w:r>
        <w:t>7. Nonfunctional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7704"/>
      </w:tblGrid>
      <w:tr>
        <w:trPr>
          <w:tblHeader w:val="true"/>
        </w:trPr>
        <w:tc>
          <w:tcPr>
            <w:tcW w:type="dxa" w:w="4997"/>
            <w:vAlign w:val="center"/>
            <w:shd w:fill="24476B"/>
          </w:tcPr>
          <w:p>
            <w:pPr>
              <w:spacing w:after="20" w:before="20"/>
            </w:pPr>
            <w:r/>
            <w:r>
              <w:rPr>
                <w:rFonts w:ascii="Aptos" w:hAnsi="Aptos"/>
                <w:b/>
                <w:color w:val="FFFFFF"/>
                <w:sz w:val="18"/>
              </w:rPr>
              <w:t>ID</w:t>
            </w:r>
          </w:p>
        </w:tc>
        <w:tc>
          <w:tcPr>
            <w:tcW w:type="dxa" w:w="4997"/>
            <w:vAlign w:val="center"/>
            <w:shd w:fill="24476B"/>
          </w:tcPr>
          <w:p>
            <w:pPr>
              <w:spacing w:after="20" w:before="20"/>
            </w:pPr>
            <w:r/>
            <w:r>
              <w:rPr>
                <w:rFonts w:ascii="Aptos" w:hAnsi="Aptos"/>
                <w:b/>
                <w:color w:val="FFFFFF"/>
                <w:sz w:val="18"/>
              </w:rPr>
              <w:t>Requirement</w:t>
            </w:r>
          </w:p>
        </w:tc>
      </w:tr>
      <w:tr>
        <w:tc>
          <w:tcPr>
            <w:tcW w:type="dxa" w:w="1800"/>
            <w:vAlign w:val="center"/>
          </w:tcPr>
          <w:p>
            <w:pPr>
              <w:spacing w:after="20" w:before="20"/>
            </w:pPr>
            <w:r/>
            <w:r>
              <w:rPr>
                <w:rFonts w:ascii="Aptos" w:hAnsi="Aptos"/>
                <w:b w:val="0"/>
                <w:sz w:val="17"/>
              </w:rPr>
              <w:t>NFR-01 Usability</w:t>
            </w:r>
          </w:p>
        </w:tc>
        <w:tc>
          <w:tcPr>
            <w:tcW w:type="dxa" w:w="7704"/>
            <w:vAlign w:val="center"/>
          </w:tcPr>
          <w:p>
            <w:pPr>
              <w:spacing w:after="20" w:before="20"/>
            </w:pPr>
            <w:r/>
            <w:r>
              <w:rPr>
                <w:rFonts w:ascii="Aptos" w:hAnsi="Aptos"/>
                <w:b w:val="0"/>
                <w:sz w:val="17"/>
              </w:rPr>
              <w:t>A first-time viewer shall be able to identify the market outlook, horizon, and top stock signals from the landing page without reading documentation.</w:t>
            </w:r>
          </w:p>
        </w:tc>
      </w:tr>
      <w:tr>
        <w:tc>
          <w:tcPr>
            <w:tcW w:type="dxa" w:w="1800"/>
            <w:vAlign w:val="center"/>
            <w:shd w:fill="F1F5F8"/>
          </w:tcPr>
          <w:p>
            <w:pPr>
              <w:spacing w:after="20" w:before="20"/>
            </w:pPr>
            <w:r/>
            <w:r>
              <w:rPr>
                <w:rFonts w:ascii="Aptos" w:hAnsi="Aptos"/>
                <w:b w:val="0"/>
                <w:sz w:val="17"/>
              </w:rPr>
              <w:t>NFR-02 Performance</w:t>
            </w:r>
          </w:p>
        </w:tc>
        <w:tc>
          <w:tcPr>
            <w:tcW w:type="dxa" w:w="7704"/>
            <w:vAlign w:val="center"/>
            <w:shd w:fill="F1F5F8"/>
          </w:tcPr>
          <w:p>
            <w:pPr>
              <w:spacing w:after="20" w:before="20"/>
            </w:pPr>
            <w:r/>
            <w:r>
              <w:rPr>
                <w:rFonts w:ascii="Aptos" w:hAnsi="Aptos"/>
                <w:b w:val="0"/>
                <w:sz w:val="17"/>
              </w:rPr>
              <w:t>With the initial watchlist and cached data, overview and stock-list endpoints should respond within 3 seconds under normal development/demo conditions.</w:t>
            </w:r>
          </w:p>
        </w:tc>
      </w:tr>
      <w:tr>
        <w:tc>
          <w:tcPr>
            <w:tcW w:type="dxa" w:w="1800"/>
            <w:vAlign w:val="center"/>
          </w:tcPr>
          <w:p>
            <w:pPr>
              <w:spacing w:after="20" w:before="20"/>
            </w:pPr>
            <w:r/>
            <w:r>
              <w:rPr>
                <w:rFonts w:ascii="Aptos" w:hAnsi="Aptos"/>
                <w:b w:val="0"/>
                <w:sz w:val="17"/>
              </w:rPr>
              <w:t>NFR-03 Reliability</w:t>
            </w:r>
          </w:p>
        </w:tc>
        <w:tc>
          <w:tcPr>
            <w:tcW w:type="dxa" w:w="7704"/>
            <w:vAlign w:val="center"/>
          </w:tcPr>
          <w:p>
            <w:pPr>
              <w:spacing w:after="20" w:before="20"/>
            </w:pPr>
            <w:r/>
            <w:r>
              <w:rPr>
                <w:rFonts w:ascii="Aptos" w:hAnsi="Aptos"/>
                <w:b w:val="0"/>
                <w:sz w:val="17"/>
              </w:rPr>
              <w:t>A failed news provider must not erase previous successful data. The system shall record the failure and indicate stale data.</w:t>
            </w:r>
          </w:p>
        </w:tc>
      </w:tr>
      <w:tr>
        <w:tc>
          <w:tcPr>
            <w:tcW w:type="dxa" w:w="1800"/>
            <w:vAlign w:val="center"/>
            <w:shd w:fill="F1F5F8"/>
          </w:tcPr>
          <w:p>
            <w:pPr>
              <w:spacing w:after="20" w:before="20"/>
            </w:pPr>
            <w:r/>
            <w:r>
              <w:rPr>
                <w:rFonts w:ascii="Aptos" w:hAnsi="Aptos"/>
                <w:b w:val="0"/>
                <w:sz w:val="17"/>
              </w:rPr>
              <w:t>NFR-04 Reproducibility</w:t>
            </w:r>
          </w:p>
        </w:tc>
        <w:tc>
          <w:tcPr>
            <w:tcW w:type="dxa" w:w="7704"/>
            <w:vAlign w:val="center"/>
            <w:shd w:fill="F1F5F8"/>
          </w:tcPr>
          <w:p>
            <w:pPr>
              <w:spacing w:after="20" w:before="20"/>
            </w:pPr>
            <w:r/>
            <w:r>
              <w:rPr>
                <w:rFonts w:ascii="Aptos" w:hAnsi="Aptos"/>
                <w:b w:val="0"/>
                <w:sz w:val="17"/>
              </w:rPr>
              <w:t>Given the same stored inputs, code version, and model version, a run should produce reproducible features and predictions within documented numerical tolerance.</w:t>
            </w:r>
          </w:p>
        </w:tc>
      </w:tr>
      <w:tr>
        <w:tc>
          <w:tcPr>
            <w:tcW w:type="dxa" w:w="1800"/>
            <w:vAlign w:val="center"/>
          </w:tcPr>
          <w:p>
            <w:pPr>
              <w:spacing w:after="20" w:before="20"/>
            </w:pPr>
            <w:r/>
            <w:r>
              <w:rPr>
                <w:rFonts w:ascii="Aptos" w:hAnsi="Aptos"/>
                <w:b w:val="0"/>
                <w:sz w:val="17"/>
              </w:rPr>
              <w:t>NFR-05 Security</w:t>
            </w:r>
          </w:p>
        </w:tc>
        <w:tc>
          <w:tcPr>
            <w:tcW w:type="dxa" w:w="7704"/>
            <w:vAlign w:val="center"/>
          </w:tcPr>
          <w:p>
            <w:pPr>
              <w:spacing w:after="20" w:before="20"/>
            </w:pPr>
            <w:r/>
            <w:r>
              <w:rPr>
                <w:rFonts w:ascii="Aptos" w:hAnsi="Aptos"/>
                <w:b w:val="0"/>
                <w:sz w:val="17"/>
              </w:rPr>
              <w:t>Do not expose API keys in browser code, logs, repository history, or API responses. Validate input parameters and restrict refresh/job endpoints.</w:t>
            </w:r>
          </w:p>
        </w:tc>
      </w:tr>
      <w:tr>
        <w:tc>
          <w:tcPr>
            <w:tcW w:type="dxa" w:w="1800"/>
            <w:vAlign w:val="center"/>
            <w:shd w:fill="F1F5F8"/>
          </w:tcPr>
          <w:p>
            <w:pPr>
              <w:spacing w:after="20" w:before="20"/>
            </w:pPr>
            <w:r/>
            <w:r>
              <w:rPr>
                <w:rFonts w:ascii="Aptos" w:hAnsi="Aptos"/>
                <w:b w:val="0"/>
                <w:sz w:val="17"/>
              </w:rPr>
              <w:t>NFR-06 Maintainability</w:t>
            </w:r>
          </w:p>
        </w:tc>
        <w:tc>
          <w:tcPr>
            <w:tcW w:type="dxa" w:w="7704"/>
            <w:vAlign w:val="center"/>
            <w:shd w:fill="F1F5F8"/>
          </w:tcPr>
          <w:p>
            <w:pPr>
              <w:spacing w:after="20" w:before="20"/>
            </w:pPr>
            <w:r/>
            <w:r>
              <w:rPr>
                <w:rFonts w:ascii="Aptos" w:hAnsi="Aptos"/>
                <w:b w:val="0"/>
                <w:sz w:val="17"/>
              </w:rPr>
              <w:t>Separate ingestion, entity linking, feature generation, modeling, API, and UI modules. Document setup, configuration, and data-source terms.</w:t>
            </w:r>
          </w:p>
        </w:tc>
      </w:tr>
      <w:tr>
        <w:tc>
          <w:tcPr>
            <w:tcW w:type="dxa" w:w="1800"/>
            <w:vAlign w:val="center"/>
          </w:tcPr>
          <w:p>
            <w:pPr>
              <w:spacing w:after="20" w:before="20"/>
            </w:pPr>
            <w:r/>
            <w:r>
              <w:rPr>
                <w:rFonts w:ascii="Aptos" w:hAnsi="Aptos"/>
                <w:b w:val="0"/>
                <w:sz w:val="17"/>
              </w:rPr>
              <w:t>NFR-07 Transparency</w:t>
            </w:r>
          </w:p>
        </w:tc>
        <w:tc>
          <w:tcPr>
            <w:tcW w:type="dxa" w:w="7704"/>
            <w:vAlign w:val="center"/>
          </w:tcPr>
          <w:p>
            <w:pPr>
              <w:spacing w:after="20" w:before="20"/>
            </w:pPr>
            <w:r/>
            <w:r>
              <w:rPr>
                <w:rFonts w:ascii="Aptos" w:hAnsi="Aptos"/>
                <w:b w:val="0"/>
                <w:sz w:val="17"/>
              </w:rPr>
              <w:t>Show prediction horizon, generation time, model name/version, data freshness, and evaluation sample size wherever relevant.</w:t>
            </w:r>
          </w:p>
        </w:tc>
      </w:tr>
      <w:tr>
        <w:tc>
          <w:tcPr>
            <w:tcW w:type="dxa" w:w="1800"/>
            <w:vAlign w:val="center"/>
            <w:shd w:fill="F1F5F8"/>
          </w:tcPr>
          <w:p>
            <w:pPr>
              <w:spacing w:after="20" w:before="20"/>
            </w:pPr>
            <w:r/>
            <w:r>
              <w:rPr>
                <w:rFonts w:ascii="Aptos" w:hAnsi="Aptos"/>
                <w:b w:val="0"/>
                <w:sz w:val="17"/>
              </w:rPr>
              <w:t>NFR-08 Responsible presentation</w:t>
            </w:r>
          </w:p>
        </w:tc>
        <w:tc>
          <w:tcPr>
            <w:tcW w:type="dxa" w:w="7704"/>
            <w:vAlign w:val="center"/>
            <w:shd w:fill="F1F5F8"/>
          </w:tcPr>
          <w:p>
            <w:pPr>
              <w:spacing w:after="20" w:before="20"/>
            </w:pPr>
            <w:r/>
            <w:r>
              <w:rPr>
                <w:rFonts w:ascii="Aptos" w:hAnsi="Aptos"/>
                <w:b w:val="0"/>
                <w:sz w:val="17"/>
              </w:rPr>
              <w:t>Use informational language. Display uncertainty and historical error; do not describe outputs as guaranteed, personalized, or certain.</w:t>
            </w:r>
          </w:p>
        </w:tc>
      </w:tr>
    </w:tbl>
    <w:p>
      <w:pPr>
        <w:spacing w:after="20"/>
      </w:pPr>
    </w:p>
    <w:p>
      <w:pPr>
        <w:pStyle w:val="Heading1"/>
      </w:pPr>
      <w:r>
        <w:t>8. Architecture and implementation plan</w:t>
      </w:r>
    </w:p>
    <w:p>
      <w:pPr>
        <w:pStyle w:val="Heading2"/>
      </w:pPr>
      <w:r>
        <w:t>8.1 Suggested components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72"/>
      </w:tblGrid>
      <w:tr>
        <w:trPr>
          <w:tblHeader w:val="true"/>
        </w:trPr>
        <w:tc>
          <w:tcPr>
            <w:tcW w:type="dxa" w:w="4997"/>
            <w:vAlign w:val="center"/>
            <w:shd w:fill="24476B"/>
          </w:tcPr>
          <w:p>
            <w:pPr>
              <w:spacing w:after="20" w:before="20"/>
            </w:pPr>
            <w:r/>
            <w:r>
              <w:rPr>
                <w:rFonts w:ascii="Aptos" w:hAnsi="Aptos"/>
                <w:b/>
                <w:color w:val="FFFFFF"/>
                <w:sz w:val="18"/>
              </w:rPr>
              <w:t>Component</w:t>
            </w:r>
          </w:p>
        </w:tc>
        <w:tc>
          <w:tcPr>
            <w:tcW w:type="dxa" w:w="4997"/>
            <w:vAlign w:val="center"/>
            <w:shd w:fill="24476B"/>
          </w:tcPr>
          <w:p>
            <w:pPr>
              <w:spacing w:after="20" w:before="20"/>
            </w:pPr>
            <w:r/>
            <w:r>
              <w:rPr>
                <w:rFonts w:ascii="Aptos" w:hAnsi="Aptos"/>
                <w:b/>
                <w:color w:val="FFFFFF"/>
                <w:sz w:val="18"/>
              </w:rPr>
              <w:t>Responsibility</w:t>
            </w:r>
          </w:p>
        </w:tc>
      </w:tr>
      <w:tr>
        <w:tc>
          <w:tcPr>
            <w:tcW w:type="dxa" w:w="2232"/>
            <w:vAlign w:val="center"/>
          </w:tcPr>
          <w:p>
            <w:pPr>
              <w:spacing w:after="20" w:before="20"/>
            </w:pPr>
            <w:r/>
            <w:r>
              <w:rPr>
                <w:rFonts w:ascii="Aptos" w:hAnsi="Aptos"/>
                <w:b w:val="0"/>
                <w:sz w:val="17"/>
              </w:rPr>
              <w:t>Data adapters</w:t>
            </w:r>
          </w:p>
        </w:tc>
        <w:tc>
          <w:tcPr>
            <w:tcW w:type="dxa" w:w="7272"/>
            <w:vAlign w:val="center"/>
          </w:tcPr>
          <w:p>
            <w:pPr>
              <w:spacing w:after="20" w:before="20"/>
            </w:pPr>
            <w:r/>
            <w:r>
              <w:rPr>
                <w:rFonts w:ascii="Aptos" w:hAnsi="Aptos"/>
                <w:b w:val="0"/>
                <w:sz w:val="17"/>
              </w:rPr>
              <w:t>Fetch allowed news and price records; normalize timestamps and provider formats.</w:t>
            </w:r>
          </w:p>
        </w:tc>
      </w:tr>
      <w:tr>
        <w:tc>
          <w:tcPr>
            <w:tcW w:type="dxa" w:w="2232"/>
            <w:vAlign w:val="center"/>
            <w:shd w:fill="F1F5F8"/>
          </w:tcPr>
          <w:p>
            <w:pPr>
              <w:spacing w:after="20" w:before="20"/>
            </w:pPr>
            <w:r/>
            <w:r>
              <w:rPr>
                <w:rFonts w:ascii="Aptos" w:hAnsi="Aptos"/>
                <w:b w:val="0"/>
                <w:sz w:val="17"/>
              </w:rPr>
              <w:t>Processing pipeline</w:t>
            </w:r>
          </w:p>
        </w:tc>
        <w:tc>
          <w:tcPr>
            <w:tcW w:type="dxa" w:w="7272"/>
            <w:vAlign w:val="center"/>
            <w:shd w:fill="F1F5F8"/>
          </w:tcPr>
          <w:p>
            <w:pPr>
              <w:spacing w:after="20" w:before="20"/>
            </w:pPr>
            <w:r/>
            <w:r>
              <w:rPr>
                <w:rFonts w:ascii="Aptos" w:hAnsi="Aptos"/>
                <w:b w:val="0"/>
                <w:sz w:val="17"/>
              </w:rPr>
              <w:t>Deduplicate, link entities, score sentiment, build daily features, and validate completeness.</w:t>
            </w:r>
          </w:p>
        </w:tc>
      </w:tr>
      <w:tr>
        <w:tc>
          <w:tcPr>
            <w:tcW w:type="dxa" w:w="2232"/>
            <w:vAlign w:val="center"/>
          </w:tcPr>
          <w:p>
            <w:pPr>
              <w:spacing w:after="20" w:before="20"/>
            </w:pPr>
            <w:r/>
            <w:r>
              <w:rPr>
                <w:rFonts w:ascii="Aptos" w:hAnsi="Aptos"/>
                <w:b w:val="0"/>
                <w:sz w:val="17"/>
              </w:rPr>
              <w:t>Prediction/evaluation service</w:t>
            </w:r>
          </w:p>
        </w:tc>
        <w:tc>
          <w:tcPr>
            <w:tcW w:type="dxa" w:w="7272"/>
            <w:vAlign w:val="center"/>
          </w:tcPr>
          <w:p>
            <w:pPr>
              <w:spacing w:after="20" w:before="20"/>
            </w:pPr>
            <w:r/>
            <w:r>
              <w:rPr>
                <w:rFonts w:ascii="Aptos" w:hAnsi="Aptos"/>
                <w:b w:val="0"/>
                <w:sz w:val="17"/>
              </w:rPr>
              <w:t>Train/load models, generate estimates, reconcile actuals, calculate metrics.</w:t>
            </w:r>
          </w:p>
        </w:tc>
      </w:tr>
      <w:tr>
        <w:tc>
          <w:tcPr>
            <w:tcW w:type="dxa" w:w="2232"/>
            <w:vAlign w:val="center"/>
            <w:shd w:fill="F1F5F8"/>
          </w:tcPr>
          <w:p>
            <w:pPr>
              <w:spacing w:after="20" w:before="20"/>
            </w:pPr>
            <w:r/>
            <w:r>
              <w:rPr>
                <w:rFonts w:ascii="Aptos" w:hAnsi="Aptos"/>
                <w:b w:val="0"/>
                <w:sz w:val="17"/>
              </w:rPr>
              <w:t>Database</w:t>
            </w:r>
          </w:p>
        </w:tc>
        <w:tc>
          <w:tcPr>
            <w:tcW w:type="dxa" w:w="7272"/>
            <w:vAlign w:val="center"/>
            <w:shd w:fill="F1F5F8"/>
          </w:tcPr>
          <w:p>
            <w:pPr>
              <w:spacing w:after="20" w:before="20"/>
            </w:pPr>
            <w:r/>
            <w:r>
              <w:rPr>
                <w:rFonts w:ascii="Aptos" w:hAnsi="Aptos"/>
                <w:b w:val="0"/>
                <w:sz w:val="17"/>
              </w:rPr>
              <w:t>Persist assets, raw/normalized input metadata, features, predictions, outcomes, and job records.</w:t>
            </w:r>
          </w:p>
        </w:tc>
      </w:tr>
      <w:tr>
        <w:tc>
          <w:tcPr>
            <w:tcW w:type="dxa" w:w="2232"/>
            <w:vAlign w:val="center"/>
          </w:tcPr>
          <w:p>
            <w:pPr>
              <w:spacing w:after="20" w:before="20"/>
            </w:pPr>
            <w:r/>
            <w:r>
              <w:rPr>
                <w:rFonts w:ascii="Aptos" w:hAnsi="Aptos"/>
                <w:b w:val="0"/>
                <w:sz w:val="17"/>
              </w:rPr>
              <w:t>REST API</w:t>
            </w:r>
          </w:p>
        </w:tc>
        <w:tc>
          <w:tcPr>
            <w:tcW w:type="dxa" w:w="7272"/>
            <w:vAlign w:val="center"/>
          </w:tcPr>
          <w:p>
            <w:pPr>
              <w:spacing w:after="20" w:before="20"/>
            </w:pPr>
            <w:r/>
            <w:r>
              <w:rPr>
                <w:rFonts w:ascii="Aptos" w:hAnsi="Aptos"/>
                <w:b w:val="0"/>
                <w:sz w:val="17"/>
              </w:rPr>
              <w:t>Serve overview, stock signals, history, metrics, and status to the frontend.</w:t>
            </w:r>
          </w:p>
        </w:tc>
      </w:tr>
      <w:tr>
        <w:tc>
          <w:tcPr>
            <w:tcW w:type="dxa" w:w="2232"/>
            <w:vAlign w:val="center"/>
            <w:shd w:fill="F1F5F8"/>
          </w:tcPr>
          <w:p>
            <w:pPr>
              <w:spacing w:after="20" w:before="20"/>
            </w:pPr>
            <w:r/>
            <w:r>
              <w:rPr>
                <w:rFonts w:ascii="Aptos" w:hAnsi="Aptos"/>
                <w:b w:val="0"/>
                <w:sz w:val="17"/>
              </w:rPr>
              <w:t>Web frontend</w:t>
            </w:r>
          </w:p>
        </w:tc>
        <w:tc>
          <w:tcPr>
            <w:tcW w:type="dxa" w:w="7272"/>
            <w:vAlign w:val="center"/>
            <w:shd w:fill="F1F5F8"/>
          </w:tcPr>
          <w:p>
            <w:pPr>
              <w:spacing w:after="20" w:before="20"/>
            </w:pPr>
            <w:r/>
            <w:r>
              <w:rPr>
                <w:rFonts w:ascii="Aptos" w:hAnsi="Aptos"/>
                <w:b w:val="0"/>
                <w:sz w:val="17"/>
              </w:rPr>
              <w:t>Render dashboard, charts/tables, filters, explanations, and error/empty states.</w:t>
            </w:r>
          </w:p>
        </w:tc>
      </w:tr>
    </w:tbl>
    <w:p>
      <w:pPr>
        <w:spacing w:after="20"/>
      </w:pPr>
    </w:p>
    <w:p>
      <w:pPr>
        <w:pStyle w:val="Heading2"/>
      </w:pPr>
      <w:r>
        <w:t>8.2 Two-person work allocation</w:t>
      </w:r>
    </w:p>
    <w:p>
      <w:r>
        <w:t>The stated 70/30 split describes each person’s primary/supporting focus, not a promise that the frontend and backend workloads are numerically identical. Both contributors should participate in integration and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744"/>
        <w:gridCol w:w="3816"/>
      </w:tblGrid>
      <w:tr>
        <w:trPr>
          <w:tblHeader w:val="true"/>
        </w:trPr>
        <w:tc>
          <w:tcPr>
            <w:tcW w:type="dxa" w:w="3331"/>
            <w:vAlign w:val="center"/>
            <w:shd w:fill="24476B"/>
          </w:tcPr>
          <w:p>
            <w:pPr>
              <w:spacing w:after="20" w:before="20"/>
            </w:pPr>
            <w:r/>
            <w:r>
              <w:rPr>
                <w:rFonts w:ascii="Aptos" w:hAnsi="Aptos"/>
                <w:b/>
                <w:color w:val="FFFFFF"/>
                <w:sz w:val="18"/>
              </w:rPr>
              <w:t>Contributor</w:t>
            </w:r>
          </w:p>
        </w:tc>
        <w:tc>
          <w:tcPr>
            <w:tcW w:type="dxa" w:w="3331"/>
            <w:vAlign w:val="center"/>
            <w:shd w:fill="24476B"/>
          </w:tcPr>
          <w:p>
            <w:pPr>
              <w:spacing w:after="20" w:before="20"/>
            </w:pPr>
            <w:r/>
            <w:r>
              <w:rPr>
                <w:rFonts w:ascii="Aptos" w:hAnsi="Aptos"/>
                <w:b/>
                <w:color w:val="FFFFFF"/>
                <w:sz w:val="18"/>
              </w:rPr>
              <w:t>70% primary ownership</w:t>
            </w:r>
          </w:p>
        </w:tc>
        <w:tc>
          <w:tcPr>
            <w:tcW w:type="dxa" w:w="3331"/>
            <w:vAlign w:val="center"/>
            <w:shd w:fill="24476B"/>
          </w:tcPr>
          <w:p>
            <w:pPr>
              <w:spacing w:after="20" w:before="20"/>
            </w:pPr>
            <w:r/>
            <w:r>
              <w:rPr>
                <w:rFonts w:ascii="Aptos" w:hAnsi="Aptos"/>
                <w:b/>
                <w:color w:val="FFFFFF"/>
                <w:sz w:val="18"/>
              </w:rPr>
              <w:t>30% cross-functional contribution</w:t>
            </w:r>
          </w:p>
        </w:tc>
      </w:tr>
      <w:tr>
        <w:tc>
          <w:tcPr>
            <w:tcW w:type="dxa" w:w="1944"/>
            <w:vAlign w:val="center"/>
          </w:tcPr>
          <w:p>
            <w:pPr>
              <w:spacing w:after="20" w:before="20"/>
            </w:pPr>
            <w:r/>
            <w:r>
              <w:rPr>
                <w:rFonts w:ascii="Aptos" w:hAnsi="Aptos"/>
                <w:b w:val="0"/>
                <w:sz w:val="17"/>
              </w:rPr>
              <w:t>Frontend-focused person</w:t>
            </w:r>
          </w:p>
        </w:tc>
        <w:tc>
          <w:tcPr>
            <w:tcW w:type="dxa" w:w="3744"/>
            <w:vAlign w:val="center"/>
          </w:tcPr>
          <w:p>
            <w:pPr>
              <w:spacing w:after="20" w:before="20"/>
            </w:pPr>
            <w:r/>
            <w:r>
              <w:rPr>
                <w:rFonts w:ascii="Aptos" w:hAnsi="Aptos"/>
                <w:b w:val="0"/>
                <w:sz w:val="17"/>
              </w:rPr>
              <w:t>Dashboard layout and responsive UI; market overview, stock watchlist, history and evaluation views; charts, loading/error/empty states, accessible labels.</w:t>
            </w:r>
          </w:p>
        </w:tc>
        <w:tc>
          <w:tcPr>
            <w:tcW w:type="dxa" w:w="3816"/>
            <w:vAlign w:val="center"/>
          </w:tcPr>
          <w:p>
            <w:pPr>
              <w:spacing w:after="20" w:before="20"/>
            </w:pPr>
            <w:r/>
            <w:r>
              <w:rPr>
                <w:rFonts w:ascii="Aptos" w:hAnsi="Aptos"/>
                <w:b w:val="0"/>
                <w:sz w:val="17"/>
              </w:rPr>
              <w:t>Agree API response shapes with backend; implement API integration and data formatting; validate numbers and timestamps in UI; contribute a small backend task such as endpoint integration tests or schema/documentation.</w:t>
            </w:r>
          </w:p>
        </w:tc>
      </w:tr>
      <w:tr>
        <w:tc>
          <w:tcPr>
            <w:tcW w:type="dxa" w:w="1944"/>
            <w:vAlign w:val="center"/>
            <w:shd w:fill="F1F5F8"/>
          </w:tcPr>
          <w:p>
            <w:pPr>
              <w:spacing w:after="20" w:before="20"/>
            </w:pPr>
            <w:r/>
            <w:r>
              <w:rPr>
                <w:rFonts w:ascii="Aptos" w:hAnsi="Aptos"/>
                <w:b w:val="0"/>
                <w:sz w:val="17"/>
              </w:rPr>
              <w:t>Backend-focused person</w:t>
            </w:r>
          </w:p>
        </w:tc>
        <w:tc>
          <w:tcPr>
            <w:tcW w:type="dxa" w:w="3744"/>
            <w:vAlign w:val="center"/>
            <w:shd w:fill="F1F5F8"/>
          </w:tcPr>
          <w:p>
            <w:pPr>
              <w:spacing w:after="20" w:before="20"/>
            </w:pPr>
            <w:r/>
            <w:r>
              <w:rPr>
                <w:rFonts w:ascii="Aptos" w:hAnsi="Aptos"/>
                <w:b w:val="0"/>
                <w:sz w:val="17"/>
              </w:rPr>
              <w:t>Data ingestion and normalization; storage schema; entity linking and sentiment; feature generation; baseline/news-aware models; evaluation; REST API and job/status handling.</w:t>
            </w:r>
          </w:p>
        </w:tc>
        <w:tc>
          <w:tcPr>
            <w:tcW w:type="dxa" w:w="3816"/>
            <w:vAlign w:val="center"/>
            <w:shd w:fill="F1F5F8"/>
          </w:tcPr>
          <w:p>
            <w:pPr>
              <w:spacing w:after="20" w:before="20"/>
            </w:pPr>
            <w:r/>
            <w:r>
              <w:rPr>
                <w:rFonts w:ascii="Aptos" w:hAnsi="Aptos"/>
                <w:b w:val="0"/>
                <w:sz w:val="17"/>
              </w:rPr>
              <w:t>Contribute a small UI component such as prediction history table or data freshness badge; review UX requirements; test API responses in the integrated frontend and fix contract mismatches.</w:t>
            </w:r>
          </w:p>
        </w:tc>
      </w:tr>
    </w:tbl>
    <w:p>
      <w:pPr>
        <w:spacing w:after="20"/>
      </w:pPr>
    </w:p>
    <w:p>
      <w:r>
        <w:t>Shared milestones: (1) agree on market, tickers, sources, cutoff and target; (2) define API/data contracts; (3) deliver a working end-to-end vertical slice with seeded/sample data; (4) connect real permitted feeds; (5) evaluate chronologically; (6) demo and document limitations.</w:t>
      </w:r>
    </w:p>
    <w:p>
      <w:pPr>
        <w:pStyle w:val="Heading1"/>
      </w:pPr>
      <w:r>
        <w:t>9. Acceptance criteria</w:t>
      </w:r>
    </w:p>
    <w:p>
      <w:pPr>
        <w:pStyle w:val="ListBullet"/>
      </w:pPr>
      <w:r>
        <w:t>Given valid daily market data and linked news before the cutoff, the system produces one index estimate and one estimate per configured stock for the next trading session.</w:t>
      </w:r>
    </w:p>
    <w:p>
      <w:pPr>
        <w:pStyle w:val="ListBullet"/>
      </w:pPr>
      <w:r>
        <w:t>Each displayed estimate includes an explicit percent-change unit, prediction horizon, reference close, generated timestamp, and bullish/bearish/neutral label consistent with configured thresholds.</w:t>
      </w:r>
    </w:p>
    <w:p>
      <w:pPr>
        <w:pStyle w:val="ListBullet"/>
      </w:pPr>
      <w:r>
        <w:t>The stocks-to-watch list ranks assets consistently by absolute estimated change and includes linked headline evidence or clearly reports no eligible news.</w:t>
      </w:r>
    </w:p>
    <w:p>
      <w:pPr>
        <w:pStyle w:val="ListBullet"/>
      </w:pPr>
      <w:r>
        <w:t>After next-session prices are available, the system fills actual change and absolute error using the same reference close and target formula used by the prediction.</w:t>
      </w:r>
    </w:p>
    <w:p>
      <w:pPr>
        <w:pStyle w:val="ListBullet"/>
      </w:pPr>
      <w:r>
        <w:t>The evaluation page reports MAE, directional accuracy, sample count, dates, and results for both the price-only baseline and news-aware model on a chronological holdout.</w:t>
      </w:r>
    </w:p>
    <w:p>
      <w:pPr>
        <w:pStyle w:val="ListBullet"/>
      </w:pPr>
      <w:r>
        <w:t>A news-provider or price-provider failure is visible as an error/stale state and does not silently generate a normal-looking forecast from missing inputs.</w:t>
      </w:r>
    </w:p>
    <w:p>
      <w:pPr>
        <w:pStyle w:val="ListBullet"/>
      </w:pPr>
      <w:r>
        <w:t>No feature uses news or prices published after the recorded prediction cutoff; the team can demonstrate this using timestamps for at least a sample of predictions.</w:t>
      </w:r>
    </w:p>
    <w:p>
      <w:pPr>
        <w:pStyle w:val="ListBullet"/>
      </w:pPr>
      <w:r>
        <w:t>The app can be set up from documented instructions and demoed end-to-end with either permitted live data or a documented historical/sample dataset.</w:t>
      </w:r>
    </w:p>
    <w:p>
      <w:pPr>
        <w:pStyle w:val="Heading1"/>
      </w:pPr>
      <w:r>
        <w:t>10. Test plan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416"/>
      </w:tblGrid>
      <w:tr>
        <w:trPr>
          <w:tblHeader w:val="true"/>
        </w:trPr>
        <w:tc>
          <w:tcPr>
            <w:tcW w:type="dxa" w:w="4997"/>
            <w:vAlign w:val="center"/>
            <w:shd w:fill="24476B"/>
          </w:tcPr>
          <w:p>
            <w:pPr>
              <w:spacing w:after="20" w:before="20"/>
            </w:pPr>
            <w:r/>
            <w:r>
              <w:rPr>
                <w:rFonts w:ascii="Aptos" w:hAnsi="Aptos"/>
                <w:b/>
                <w:color w:val="FFFFFF"/>
                <w:sz w:val="18"/>
              </w:rPr>
              <w:t>Test area</w:t>
            </w:r>
          </w:p>
        </w:tc>
        <w:tc>
          <w:tcPr>
            <w:tcW w:type="dxa" w:w="4997"/>
            <w:vAlign w:val="center"/>
            <w:shd w:fill="24476B"/>
          </w:tcPr>
          <w:p>
            <w:pPr>
              <w:spacing w:after="20" w:before="20"/>
            </w:pPr>
            <w:r/>
            <w:r>
              <w:rPr>
                <w:rFonts w:ascii="Aptos" w:hAnsi="Aptos"/>
                <w:b/>
                <w:color w:val="FFFFFF"/>
                <w:sz w:val="18"/>
              </w:rPr>
              <w:t>Example checks</w:t>
            </w:r>
          </w:p>
        </w:tc>
      </w:tr>
      <w:tr>
        <w:tc>
          <w:tcPr>
            <w:tcW w:type="dxa" w:w="2088"/>
            <w:vAlign w:val="center"/>
          </w:tcPr>
          <w:p>
            <w:pPr>
              <w:spacing w:after="20" w:before="20"/>
            </w:pPr>
            <w:r/>
            <w:r>
              <w:rPr>
                <w:rFonts w:ascii="Aptos" w:hAnsi="Aptos"/>
                <w:b w:val="0"/>
                <w:sz w:val="17"/>
              </w:rPr>
              <w:t>Unit</w:t>
            </w:r>
          </w:p>
        </w:tc>
        <w:tc>
          <w:tcPr>
            <w:tcW w:type="dxa" w:w="7416"/>
            <w:vAlign w:val="center"/>
          </w:tcPr>
          <w:p>
            <w:pPr>
              <w:spacing w:after="20" w:before="20"/>
            </w:pPr>
            <w:r/>
            <w:r>
              <w:rPr>
                <w:rFonts w:ascii="Aptos" w:hAnsi="Aptos"/>
                <w:b w:val="0"/>
                <w:sz w:val="17"/>
              </w:rPr>
              <w:t>Return formula; threshold-to-label mapping; duplicate detection; sentiment aggregation; error and MAE calculations.</w:t>
            </w:r>
          </w:p>
        </w:tc>
      </w:tr>
      <w:tr>
        <w:tc>
          <w:tcPr>
            <w:tcW w:type="dxa" w:w="2088"/>
            <w:vAlign w:val="center"/>
            <w:shd w:fill="F1F5F8"/>
          </w:tcPr>
          <w:p>
            <w:pPr>
              <w:spacing w:after="20" w:before="20"/>
            </w:pPr>
            <w:r/>
            <w:r>
              <w:rPr>
                <w:rFonts w:ascii="Aptos" w:hAnsi="Aptos"/>
                <w:b w:val="0"/>
                <w:sz w:val="17"/>
              </w:rPr>
              <w:t>Data quality</w:t>
            </w:r>
          </w:p>
        </w:tc>
        <w:tc>
          <w:tcPr>
            <w:tcW w:type="dxa" w:w="7416"/>
            <w:vAlign w:val="center"/>
            <w:shd w:fill="F1F5F8"/>
          </w:tcPr>
          <w:p>
            <w:pPr>
              <w:spacing w:after="20" w:before="20"/>
            </w:pPr>
            <w:r/>
            <w:r>
              <w:rPr>
                <w:rFonts w:ascii="Aptos" w:hAnsi="Aptos"/>
                <w:b w:val="0"/>
                <w:sz w:val="17"/>
              </w:rPr>
              <w:t>Missing timestamps; timezone conversion; duplicate headlines; unknown ticker; market holiday; stale price; zero/missing close.</w:t>
            </w:r>
          </w:p>
        </w:tc>
      </w:tr>
      <w:tr>
        <w:tc>
          <w:tcPr>
            <w:tcW w:type="dxa" w:w="2088"/>
            <w:vAlign w:val="center"/>
          </w:tcPr>
          <w:p>
            <w:pPr>
              <w:spacing w:after="20" w:before="20"/>
            </w:pPr>
            <w:r/>
            <w:r>
              <w:rPr>
                <w:rFonts w:ascii="Aptos" w:hAnsi="Aptos"/>
                <w:b w:val="0"/>
                <w:sz w:val="17"/>
              </w:rPr>
              <w:t>API integration</w:t>
            </w:r>
          </w:p>
        </w:tc>
        <w:tc>
          <w:tcPr>
            <w:tcW w:type="dxa" w:w="7416"/>
            <w:vAlign w:val="center"/>
          </w:tcPr>
          <w:p>
            <w:pPr>
              <w:spacing w:after="20" w:before="20"/>
            </w:pPr>
            <w:r/>
            <w:r>
              <w:rPr>
                <w:rFonts w:ascii="Aptos" w:hAnsi="Aptos"/>
                <w:b w:val="0"/>
                <w:sz w:val="17"/>
              </w:rPr>
              <w:t>Response schema, empty watchlist, unknown asset, invalid dates, provider outage, unauthorized refresh.</w:t>
            </w:r>
          </w:p>
        </w:tc>
      </w:tr>
      <w:tr>
        <w:tc>
          <w:tcPr>
            <w:tcW w:type="dxa" w:w="2088"/>
            <w:vAlign w:val="center"/>
            <w:shd w:fill="F1F5F8"/>
          </w:tcPr>
          <w:p>
            <w:pPr>
              <w:spacing w:after="20" w:before="20"/>
            </w:pPr>
            <w:r/>
            <w:r>
              <w:rPr>
                <w:rFonts w:ascii="Aptos" w:hAnsi="Aptos"/>
                <w:b w:val="0"/>
                <w:sz w:val="17"/>
              </w:rPr>
              <w:t>Model evaluation</w:t>
            </w:r>
          </w:p>
        </w:tc>
        <w:tc>
          <w:tcPr>
            <w:tcW w:type="dxa" w:w="7416"/>
            <w:vAlign w:val="center"/>
            <w:shd w:fill="F1F5F8"/>
          </w:tcPr>
          <w:p>
            <w:pPr>
              <w:spacing w:after="20" w:before="20"/>
            </w:pPr>
            <w:r/>
            <w:r>
              <w:rPr>
                <w:rFonts w:ascii="Aptos" w:hAnsi="Aptos"/>
                <w:b w:val="0"/>
                <w:sz w:val="17"/>
              </w:rPr>
              <w:t>Chronological split; no look-ahead features; baseline and news model use same target and test rows; metrics reproducible.</w:t>
            </w:r>
          </w:p>
        </w:tc>
      </w:tr>
      <w:tr>
        <w:tc>
          <w:tcPr>
            <w:tcW w:type="dxa" w:w="2088"/>
            <w:vAlign w:val="center"/>
          </w:tcPr>
          <w:p>
            <w:pPr>
              <w:spacing w:after="20" w:before="20"/>
            </w:pPr>
            <w:r/>
            <w:r>
              <w:rPr>
                <w:rFonts w:ascii="Aptos" w:hAnsi="Aptos"/>
                <w:b w:val="0"/>
                <w:sz w:val="17"/>
              </w:rPr>
              <w:t>UI acceptance</w:t>
            </w:r>
          </w:p>
        </w:tc>
        <w:tc>
          <w:tcPr>
            <w:tcW w:type="dxa" w:w="7416"/>
            <w:vAlign w:val="center"/>
          </w:tcPr>
          <w:p>
            <w:pPr>
              <w:spacing w:after="20" w:before="20"/>
            </w:pPr>
            <w:r/>
            <w:r>
              <w:rPr>
                <w:rFonts w:ascii="Aptos" w:hAnsi="Aptos"/>
                <w:b w:val="0"/>
                <w:sz w:val="17"/>
              </w:rPr>
              <w:t>Correct units and labels; sorting; unresolved actuals display as pending; responsive layout; stale/error states visible.</w:t>
            </w:r>
          </w:p>
        </w:tc>
      </w:tr>
      <w:tr>
        <w:tc>
          <w:tcPr>
            <w:tcW w:type="dxa" w:w="2088"/>
            <w:vAlign w:val="center"/>
            <w:shd w:fill="F1F5F8"/>
          </w:tcPr>
          <w:p>
            <w:pPr>
              <w:spacing w:after="20" w:before="20"/>
            </w:pPr>
            <w:r/>
            <w:r>
              <w:rPr>
                <w:rFonts w:ascii="Aptos" w:hAnsi="Aptos"/>
                <w:b w:val="0"/>
                <w:sz w:val="17"/>
              </w:rPr>
              <w:t>End-to-end</w:t>
            </w:r>
          </w:p>
        </w:tc>
        <w:tc>
          <w:tcPr>
            <w:tcW w:type="dxa" w:w="7416"/>
            <w:vAlign w:val="center"/>
            <w:shd w:fill="F1F5F8"/>
          </w:tcPr>
          <w:p>
            <w:pPr>
              <w:spacing w:after="20" w:before="20"/>
            </w:pPr>
            <w:r/>
            <w:r>
              <w:rPr>
                <w:rFonts w:ascii="Aptos" w:hAnsi="Aptos"/>
                <w:b w:val="0"/>
                <w:sz w:val="17"/>
              </w:rPr>
              <w:t>Run ingestion through prediction, display estimate, load next-session close, and display actual/error.</w:t>
            </w:r>
          </w:p>
        </w:tc>
      </w:tr>
    </w:tbl>
    <w:p>
      <w:pPr>
        <w:spacing w:after="20"/>
      </w:pPr>
    </w:p>
    <w:p>
      <w:pPr>
        <w:pStyle w:val="Heading1"/>
      </w:pPr>
      <w:r>
        <w:t>11. Constraints, risks, and out-of-scope items</w:t>
      </w:r>
    </w:p>
    <w:p>
      <w:pPr>
        <w:pStyle w:val="Heading2"/>
      </w:pPr>
      <w:r>
        <w:t>11.1 Constraints and risks</w:t>
      </w:r>
    </w:p>
    <w:p>
      <w:pPr>
        <w:pStyle w:val="ListBullet"/>
      </w:pPr>
      <w:r>
        <w:t>Financial news sources may limit scraping, redistribution, or historical access; select data sources before implementation and follow their terms.</w:t>
      </w:r>
    </w:p>
    <w:p>
      <w:pPr>
        <w:pStyle w:val="ListBullet"/>
      </w:pPr>
      <w:r>
        <w:t>News-to-company matching can be ambiguous, and sentiment models may misread context, sarcasm, or market-specific language.</w:t>
      </w:r>
    </w:p>
    <w:p>
      <w:pPr>
        <w:pStyle w:val="ListBullet"/>
      </w:pPr>
      <w:r>
        <w:t>Daily stock changes are noisy. A low error on one short period does not establish persistent predictive value.</w:t>
      </w:r>
    </w:p>
    <w:p>
      <w:pPr>
        <w:pStyle w:val="ListBullet"/>
      </w:pPr>
      <w:r>
        <w:t>Survivorship bias, corporate actions, exchange holidays, publication delays, and inconsistent timestamps can distort evaluation.</w:t>
      </w:r>
    </w:p>
    <w:p>
      <w:pPr>
        <w:pStyle w:val="ListBullet"/>
      </w:pPr>
      <w:r>
        <w:t>Do not make profitability claims from forecast accuracy alone. A trading simulation would require additional assumptions, costs, and risk analysis.</w:t>
      </w:r>
    </w:p>
    <w:p>
      <w:pPr>
        <w:pStyle w:val="Heading2"/>
      </w:pPr>
      <w:r>
        <w:t>11.2 Out of scope for initial version</w:t>
      </w:r>
    </w:p>
    <w:p>
      <w:pPr>
        <w:pStyle w:val="ListBullet"/>
      </w:pPr>
      <w:r>
        <w:t>Automatic trade placement, portfolio management, personal financial advice, or guaranteed buy/sell recommendations.</w:t>
      </w:r>
    </w:p>
    <w:p>
      <w:pPr>
        <w:pStyle w:val="ListBullet"/>
      </w:pPr>
      <w:r>
        <w:t>Intraday/high-frequency trading, options/derivatives, and prediction of exact future share prices.</w:t>
      </w:r>
    </w:p>
    <w:p>
      <w:pPr>
        <w:pStyle w:val="ListBullet"/>
      </w:pPr>
      <w:r>
        <w:t>Coverage of all listed securities or every news publisher.</w:t>
      </w:r>
    </w:p>
    <w:p>
      <w:pPr>
        <w:pStyle w:val="ListBullet"/>
      </w:pPr>
      <w:r>
        <w:t>Complex real-time streaming architecture, paid data infrastructure, or production-grade multi-user authentication unless required by the course.</w:t>
      </w:r>
    </w:p>
    <w:p>
      <w:pPr>
        <w:pStyle w:val="Heading1"/>
      </w:pPr>
      <w:r>
        <w:t>12. Decisions to finalize before coding</w:t>
      </w:r>
    </w:p>
    <w:p>
      <w:r>
        <w:t>The team should record these configuration choices in the repository README before implementing the pipeline:</w:t>
      </w:r>
    </w:p>
    <w:p>
      <w:pPr>
        <w:pStyle w:val="ListBullet"/>
      </w:pPr>
      <w:r>
        <w:t>Market/index and exchange, including the market timezone.</w:t>
      </w:r>
    </w:p>
    <w:p>
      <w:pPr>
        <w:pStyle w:val="ListBullet"/>
      </w:pPr>
      <w:r>
        <w:t>Five to ten tickers and rationale for selection.</w:t>
      </w:r>
    </w:p>
    <w:p>
      <w:pPr>
        <w:pStyle w:val="ListBullet"/>
      </w:pPr>
      <w:r>
        <w:t>Approved historical/current news and price data sources, terms, rate limits, and required attribution.</w:t>
      </w:r>
    </w:p>
    <w:p>
      <w:pPr>
        <w:pStyle w:val="ListBullet"/>
      </w:pPr>
      <w:r>
        <w:t>Prediction cutoff time and exact next-session target formula.</w:t>
      </w:r>
    </w:p>
    <w:p>
      <w:pPr>
        <w:pStyle w:val="ListBullet"/>
      </w:pPr>
      <w:r>
        <w:t>Sentiment method/model and bull/bear threshold.</w:t>
      </w:r>
    </w:p>
    <w:p>
      <w:pPr>
        <w:pStyle w:val="ListBullet"/>
      </w:pPr>
      <w:r>
        <w:t>Model baseline, candidate news-aware model, test date range, and data storage choice.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NewsPulse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NewsPulse Software Requirements Specification</dc:title>
  <dc:subject>Requirements for news-informed market outlook and stock change estimation dashboard</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