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60" w:after="80"/>
      </w:pPr>
      <w:r>
        <w:t>NewsPulse Team Build Checklist</w:t>
      </w:r>
    </w:p>
    <w:p>
      <w:pPr>
        <w:spacing w:after="280"/>
      </w:pPr>
      <w:r>
        <w:rPr>
          <w:color w:val="0D6B68"/>
          <w:sz w:val="28"/>
        </w:rPr>
        <w:t>Detailed implementation guide for Sumukh and Prathyush</w:t>
      </w:r>
    </w:p>
    <w:p>
      <w:r>
        <w:t>Use this document as the working checklist from project decisions through demo. Each task names a lead where useful; tasks marked Shared need both people. Tick an item only when its output is in the repository or can be demonstrated. The 70/30 split describes primary and supporting ownership, not a requirement to measure hours.</w:t>
      </w:r>
    </w:p>
    <w:tbl>
      <w:tblPr>
        <w:tblW w:type="auto" w:w="0"/>
        <w:jc w:val="center"/>
        <w:tblLayout w:type="fixed"/>
        <w:tblLook w:firstColumn="1" w:firstRow="1" w:lastColumn="0" w:lastRow="0" w:noHBand="0" w:noVBand="1" w:val="04A0"/>
      </w:tblPr>
      <w:tblGrid>
        <w:gridCol w:w="3369"/>
        <w:gridCol w:w="3369"/>
        <w:gridCol w:w="3369"/>
      </w:tblGrid>
      <w:tr>
        <w:trPr>
          <w:tblHeader w:val="true"/>
          <w:cantSplit/>
        </w:trPr>
        <w:tc>
          <w:tcPr>
            <w:tcW w:type="dxa" w:w="1944"/>
            <w:shd w:fill="18324B"/>
            <w:tcMar>
              <w:top w:w="90" w:type="dxa"/>
              <w:start w:w="110" w:type="dxa"/>
              <w:bottom w:w="90" w:type="dxa"/>
              <w:end w:w="110" w:type="dxa"/>
            </w:tcMar>
            <w:vAlign w:val="center"/>
          </w:tcPr>
          <w:p>
            <w:pPr>
              <w:spacing w:after="0"/>
            </w:pPr>
            <w:r>
              <w:rPr>
                <w:b/>
                <w:color w:val="FFFFFF"/>
                <w:sz w:val="16"/>
              </w:rPr>
              <w:t>Contributor</w:t>
            </w:r>
          </w:p>
        </w:tc>
        <w:tc>
          <w:tcPr>
            <w:tcW w:type="dxa" w:w="3816"/>
            <w:shd w:fill="18324B"/>
            <w:tcMar>
              <w:top w:w="90" w:type="dxa"/>
              <w:start w:w="110" w:type="dxa"/>
              <w:bottom w:w="90" w:type="dxa"/>
              <w:end w:w="110" w:type="dxa"/>
            </w:tcMar>
            <w:vAlign w:val="center"/>
          </w:tcPr>
          <w:p>
            <w:pPr>
              <w:spacing w:after="0"/>
            </w:pPr>
            <w:r>
              <w:rPr>
                <w:b/>
                <w:color w:val="FFFFFF"/>
                <w:sz w:val="16"/>
              </w:rPr>
              <w:t>Primary ownership</w:t>
            </w:r>
          </w:p>
        </w:tc>
        <w:tc>
          <w:tcPr>
            <w:tcW w:type="dxa" w:w="3816"/>
            <w:shd w:fill="18324B"/>
            <w:tcMar>
              <w:top w:w="90" w:type="dxa"/>
              <w:start w:w="110" w:type="dxa"/>
              <w:bottom w:w="90" w:type="dxa"/>
              <w:end w:w="110" w:type="dxa"/>
            </w:tcMar>
            <w:vAlign w:val="center"/>
          </w:tcPr>
          <w:p>
            <w:pPr>
              <w:spacing w:after="0"/>
            </w:pPr>
            <w:r>
              <w:rPr>
                <w:b/>
                <w:color w:val="FFFFFF"/>
                <w:sz w:val="16"/>
              </w:rPr>
              <w:t>Cross-functional contribution</w:t>
            </w:r>
          </w:p>
        </w:tc>
      </w:tr>
      <w:tr>
        <w:trPr>
          <w:cantSplit/>
        </w:trPr>
        <w:tc>
          <w:tcPr>
            <w:tcW w:type="dxa" w:w="1944"/>
            <w:tcMar>
              <w:top w:w="90" w:type="dxa"/>
              <w:start w:w="110" w:type="dxa"/>
              <w:bottom w:w="90" w:type="dxa"/>
              <w:end w:w="110" w:type="dxa"/>
            </w:tcMar>
            <w:vAlign w:val="center"/>
          </w:tcPr>
          <w:p>
            <w:pPr>
              <w:spacing w:after="0" w:line="240" w:lineRule="auto"/>
            </w:pPr>
            <w:r>
              <w:rPr>
                <w:sz w:val="16"/>
              </w:rPr>
              <w:t>Sumukh  Backend focused</w:t>
            </w:r>
          </w:p>
        </w:tc>
        <w:tc>
          <w:tcPr>
            <w:tcW w:type="dxa" w:w="3816"/>
            <w:tcMar>
              <w:top w:w="90" w:type="dxa"/>
              <w:start w:w="110" w:type="dxa"/>
              <w:bottom w:w="90" w:type="dxa"/>
              <w:end w:w="110" w:type="dxa"/>
            </w:tcMar>
            <w:vAlign w:val="center"/>
          </w:tcPr>
          <w:p>
            <w:pPr>
              <w:spacing w:after="0" w:line="240" w:lineRule="auto"/>
            </w:pPr>
            <w:r>
              <w:rPr>
                <w:sz w:val="16"/>
              </w:rPr>
              <w:t>About 70%: data ingestion, storage, processing, sentiment, features, models, evaluation, REST API, pipeline status.</w:t>
            </w:r>
          </w:p>
        </w:tc>
        <w:tc>
          <w:tcPr>
            <w:tcW w:type="dxa" w:w="3816"/>
            <w:tcMar>
              <w:top w:w="90" w:type="dxa"/>
              <w:start w:w="110" w:type="dxa"/>
              <w:bottom w:w="90" w:type="dxa"/>
              <w:end w:w="110" w:type="dxa"/>
            </w:tcMar>
            <w:vAlign w:val="center"/>
          </w:tcPr>
          <w:p>
            <w:pPr>
              <w:spacing w:after="0" w:line="240" w:lineRule="auto"/>
            </w:pPr>
            <w:r>
              <w:rPr>
                <w:sz w:val="16"/>
              </w:rPr>
              <w:t>About 30%: own one visible UI component, review user experience, validate API integration in the app, and fix contract mismatches.</w:t>
            </w:r>
          </w:p>
        </w:tc>
      </w:tr>
      <w:tr>
        <w:trPr>
          <w:cantSplit/>
        </w:trPr>
        <w:tc>
          <w:tcPr>
            <w:tcW w:type="dxa" w:w="1944"/>
            <w:tcMar>
              <w:top w:w="90" w:type="dxa"/>
              <w:start w:w="110" w:type="dxa"/>
              <w:bottom w:w="90" w:type="dxa"/>
              <w:end w:w="110" w:type="dxa"/>
            </w:tcMar>
            <w:vAlign w:val="center"/>
            <w:shd w:fill="F4F6F8"/>
          </w:tcPr>
          <w:p>
            <w:pPr>
              <w:spacing w:after="0" w:line="240" w:lineRule="auto"/>
            </w:pPr>
            <w:r>
              <w:rPr>
                <w:sz w:val="16"/>
              </w:rPr>
              <w:t>Prathyush  Frontend focused</w:t>
            </w:r>
          </w:p>
        </w:tc>
        <w:tc>
          <w:tcPr>
            <w:tcW w:type="dxa" w:w="3816"/>
            <w:tcMar>
              <w:top w:w="90" w:type="dxa"/>
              <w:start w:w="110" w:type="dxa"/>
              <w:bottom w:w="90" w:type="dxa"/>
              <w:end w:w="110" w:type="dxa"/>
            </w:tcMar>
            <w:vAlign w:val="center"/>
            <w:shd w:fill="F4F6F8"/>
          </w:tcPr>
          <w:p>
            <w:pPr>
              <w:spacing w:after="0" w:line="240" w:lineRule="auto"/>
            </w:pPr>
            <w:r>
              <w:rPr>
                <w:sz w:val="16"/>
              </w:rPr>
              <w:t>About 70%: dashboard structure, responsive views, charts/tables, loading/error/empty states, accessible labels and visual clarity.</w:t>
            </w:r>
          </w:p>
        </w:tc>
        <w:tc>
          <w:tcPr>
            <w:tcW w:type="dxa" w:w="3816"/>
            <w:tcMar>
              <w:top w:w="90" w:type="dxa"/>
              <w:start w:w="110" w:type="dxa"/>
              <w:bottom w:w="90" w:type="dxa"/>
              <w:end w:w="110" w:type="dxa"/>
            </w:tcMar>
            <w:vAlign w:val="center"/>
            <w:shd w:fill="F4F6F8"/>
          </w:tcPr>
          <w:p>
            <w:pPr>
              <w:spacing w:after="0" w:line="240" w:lineRule="auto"/>
            </w:pPr>
            <w:r>
              <w:rPr>
                <w:sz w:val="16"/>
              </w:rPr>
              <w:t>About 30%: define API needs with Sumukh, wire API data into the UI, validate values and timestamps, and contribute a small backend task such as API integration tests or schema documentation.</w:t>
            </w:r>
          </w:p>
        </w:tc>
      </w:tr>
    </w:tbl>
    <w:p>
      <w:pPr>
        <w:spacing w:after="20"/>
      </w:pPr>
    </w:p>
    <w:p>
      <w:pPr>
        <w:pStyle w:val="Heading1"/>
      </w:pPr>
      <w:r>
        <w:rPr>
          <w:color w:val="000000"/>
        </w:rPr>
        <w:t>Project outcome</w:t>
      </w:r>
    </w:p>
    <w:p>
      <w:r>
        <w:t>Build a research dashboard that uses permitted financial news and daily market data to estimate the next regular trading session percentage change for one market index and 5–10 selected stocks. Show bullish, bearish, or neutral signals, highlight stocks with notable signals, and compare estimates with actual changes after the session closes. Evaluate whether news features improve on a price-history-only baseline.</w:t>
      </w:r>
    </w:p>
    <w:p>
      <w:pPr>
        <w:pStyle w:val="Heading1"/>
      </w:pPr>
      <w:r>
        <w:rPr>
          <w:color w:val="000000"/>
        </w:rPr>
        <w:t>How to use this checklist</w:t>
      </w:r>
    </w:p>
    <w:p>
      <w:pPr>
        <w:spacing w:after="50"/>
        <w:ind w:left="173" w:hanging="173"/>
      </w:pPr>
      <w:r>
        <w:rPr>
          <w:rFonts w:ascii="DejaVu Sans" w:hAnsi="DejaVu Sans"/>
          <w:color w:val="0D6B68"/>
          <w:sz w:val="20"/>
        </w:rPr>
        <w:t xml:space="preserve">☐  </w:t>
      </w:r>
      <w:r>
        <w:t>Work through the phases in order. Later phases depend on decisions and contracts made earlier.</w:t>
      </w:r>
    </w:p>
    <w:p>
      <w:pPr>
        <w:spacing w:after="50"/>
        <w:ind w:left="173" w:hanging="173"/>
      </w:pPr>
      <w:r>
        <w:rPr>
          <w:rFonts w:ascii="DejaVu Sans" w:hAnsi="DejaVu Sans"/>
          <w:color w:val="0D6B68"/>
          <w:sz w:val="20"/>
        </w:rPr>
        <w:t xml:space="preserve">☐  </w:t>
      </w:r>
      <w:r>
        <w:t>Create GitHub issues or task cards from the unchecked items. Add a name, due date, and link to the evidence for each task.</w:t>
      </w:r>
    </w:p>
    <w:p>
      <w:pPr>
        <w:spacing w:after="50"/>
        <w:ind w:left="173" w:hanging="173"/>
      </w:pPr>
      <w:r>
        <w:rPr>
          <w:rFonts w:ascii="DejaVu Sans" w:hAnsi="DejaVu Sans"/>
          <w:color w:val="0D6B68"/>
          <w:sz w:val="20"/>
        </w:rPr>
        <w:t xml:space="preserve">☐  </w:t>
      </w:r>
      <w:r>
        <w:t>Keep the shared API and data definitions in the repository. Update them when a field, unit, endpoint, or rule changes.</w:t>
      </w:r>
    </w:p>
    <w:p>
      <w:pPr>
        <w:spacing w:after="50"/>
        <w:ind w:left="173" w:hanging="173"/>
      </w:pPr>
      <w:r>
        <w:rPr>
          <w:rFonts w:ascii="DejaVu Sans" w:hAnsi="DejaVu Sans"/>
          <w:color w:val="0D6B68"/>
          <w:sz w:val="20"/>
        </w:rPr>
        <w:t xml:space="preserve">☐  </w:t>
      </w:r>
      <w:r>
        <w:t>A task is complete when the code, test, documentation, or visible screen exists and the other contributor can review it.</w:t>
      </w:r>
    </w:p>
    <w:p>
      <w:pPr>
        <w:spacing w:after="50"/>
        <w:ind w:left="173" w:hanging="173"/>
      </w:pPr>
      <w:r>
        <w:rPr>
          <w:rFonts w:ascii="DejaVu Sans" w:hAnsi="DejaVu Sans"/>
          <w:color w:val="0D6B68"/>
          <w:sz w:val="20"/>
        </w:rPr>
        <w:t xml:space="preserve">☐  </w:t>
      </w:r>
      <w:r>
        <w:t>Use the checklist together at each phase exit. Record blocked tasks and the reason; do not hide missing inputs behind placeholder zeroes.</w:t>
      </w:r>
    </w:p>
    <w:p>
      <w:r>
        <w:t>Project boundaries: this is a daily research prototype. It does not place trades, manage portfolios, give personalized investment advice, or guarantee forecast accuracy. Intraday predictions, all-market coverage, options, and production-grade streaming are outside the initial release.</w:t>
      </w:r>
    </w:p>
    <w:p>
      <w:r>
        <w:br w:type="page"/>
      </w:r>
    </w:p>
    <w:p>
      <w:pPr>
        <w:pStyle w:val="Heading1"/>
      </w:pPr>
      <w:r>
        <w:rPr>
          <w:color w:val="000000"/>
        </w:rPr>
        <w:t>Quick reference</w:t>
      </w:r>
    </w:p>
    <w:tbl>
      <w:tblPr>
        <w:tblW w:type="auto" w:w="0"/>
        <w:jc w:val="center"/>
        <w:tblLayout w:type="fixed"/>
        <w:tblLook w:firstColumn="1" w:firstRow="1" w:lastColumn="0" w:lastRow="0" w:noHBand="0" w:noVBand="1" w:val="04A0"/>
      </w:tblPr>
      <w:tblGrid>
        <w:gridCol w:w="5054"/>
        <w:gridCol w:w="5054"/>
      </w:tblGrid>
      <w:tr>
        <w:trPr>
          <w:tblHeader w:val="true"/>
          <w:cantSplit/>
        </w:trPr>
        <w:tc>
          <w:tcPr>
            <w:tcW w:type="dxa" w:w="2232"/>
            <w:shd w:fill="18324B"/>
            <w:tcMar>
              <w:top w:w="90" w:type="dxa"/>
              <w:start w:w="110" w:type="dxa"/>
              <w:bottom w:w="90" w:type="dxa"/>
              <w:end w:w="110" w:type="dxa"/>
            </w:tcMar>
            <w:vAlign w:val="center"/>
          </w:tcPr>
          <w:p>
            <w:pPr>
              <w:spacing w:after="0"/>
            </w:pPr>
            <w:r>
              <w:rPr>
                <w:b/>
                <w:color w:val="FFFFFF"/>
                <w:sz w:val="16"/>
              </w:rPr>
              <w:t>Decision or rule</w:t>
            </w:r>
          </w:p>
        </w:tc>
        <w:tc>
          <w:tcPr>
            <w:tcW w:type="dxa" w:w="7344"/>
            <w:shd w:fill="18324B"/>
            <w:tcMar>
              <w:top w:w="90" w:type="dxa"/>
              <w:start w:w="110" w:type="dxa"/>
              <w:bottom w:w="90" w:type="dxa"/>
              <w:end w:w="110" w:type="dxa"/>
            </w:tcMar>
            <w:vAlign w:val="center"/>
          </w:tcPr>
          <w:p>
            <w:pPr>
              <w:spacing w:after="0"/>
            </w:pPr>
            <w:r>
              <w:rPr>
                <w:b/>
                <w:color w:val="FFFFFF"/>
                <w:sz w:val="16"/>
              </w:rPr>
              <w:t>Initial project requirement</w:t>
            </w:r>
          </w:p>
        </w:tc>
      </w:tr>
      <w:tr>
        <w:trPr>
          <w:cantSplit/>
        </w:trPr>
        <w:tc>
          <w:tcPr>
            <w:tcW w:type="dxa" w:w="2232"/>
            <w:tcMar>
              <w:top w:w="90" w:type="dxa"/>
              <w:start w:w="110" w:type="dxa"/>
              <w:bottom w:w="90" w:type="dxa"/>
              <w:end w:w="110" w:type="dxa"/>
            </w:tcMar>
            <w:vAlign w:val="center"/>
          </w:tcPr>
          <w:p>
            <w:pPr>
              <w:spacing w:after="0" w:line="240" w:lineRule="auto"/>
            </w:pPr>
            <w:r>
              <w:rPr>
                <w:sz w:val="16"/>
              </w:rPr>
              <w:t>Coverage</w:t>
            </w:r>
          </w:p>
        </w:tc>
        <w:tc>
          <w:tcPr>
            <w:tcW w:type="dxa" w:w="7344"/>
            <w:tcMar>
              <w:top w:w="90" w:type="dxa"/>
              <w:start w:w="110" w:type="dxa"/>
              <w:bottom w:w="90" w:type="dxa"/>
              <w:end w:w="110" w:type="dxa"/>
            </w:tcMar>
            <w:vAlign w:val="center"/>
          </w:tcPr>
          <w:p>
            <w:pPr>
              <w:spacing w:after="0" w:line="240" w:lineRule="auto"/>
            </w:pPr>
            <w:r>
              <w:rPr>
                <w:sz w:val="16"/>
              </w:rPr>
              <w:t>One exchange and market index, plus 5–10 liquid stocks selected by the team.</w:t>
            </w:r>
          </w:p>
        </w:tc>
      </w:tr>
      <w:tr>
        <w:trPr>
          <w:cantSplit/>
        </w:trPr>
        <w:tc>
          <w:tcPr>
            <w:tcW w:type="dxa" w:w="2232"/>
            <w:tcMar>
              <w:top w:w="90" w:type="dxa"/>
              <w:start w:w="110" w:type="dxa"/>
              <w:bottom w:w="90" w:type="dxa"/>
              <w:end w:w="110" w:type="dxa"/>
            </w:tcMar>
            <w:vAlign w:val="center"/>
            <w:shd w:fill="F4F6F8"/>
          </w:tcPr>
          <w:p>
            <w:pPr>
              <w:spacing w:after="0" w:line="240" w:lineRule="auto"/>
            </w:pPr>
            <w:r>
              <w:rPr>
                <w:sz w:val="16"/>
              </w:rPr>
              <w:t>Forecast target</w:t>
            </w:r>
          </w:p>
        </w:tc>
        <w:tc>
          <w:tcPr>
            <w:tcW w:type="dxa" w:w="7344"/>
            <w:tcMar>
              <w:top w:w="90" w:type="dxa"/>
              <w:start w:w="110" w:type="dxa"/>
              <w:bottom w:w="90" w:type="dxa"/>
              <w:end w:w="110" w:type="dxa"/>
            </w:tcMar>
            <w:vAlign w:val="center"/>
            <w:shd w:fill="F4F6F8"/>
          </w:tcPr>
          <w:p>
            <w:pPr>
              <w:spacing w:after="0" w:line="240" w:lineRule="auto"/>
            </w:pPr>
            <w:r>
              <w:rPr>
                <w:sz w:val="16"/>
              </w:rPr>
              <w:t>Next regular trading session close-to-close percentage change; not the next calendar day.</w:t>
            </w:r>
          </w:p>
        </w:tc>
      </w:tr>
      <w:tr>
        <w:trPr>
          <w:cantSplit/>
        </w:trPr>
        <w:tc>
          <w:tcPr>
            <w:tcW w:type="dxa" w:w="2232"/>
            <w:tcMar>
              <w:top w:w="90" w:type="dxa"/>
              <w:start w:w="110" w:type="dxa"/>
              <w:bottom w:w="90" w:type="dxa"/>
              <w:end w:w="110" w:type="dxa"/>
            </w:tcMar>
            <w:vAlign w:val="center"/>
          </w:tcPr>
          <w:p>
            <w:pPr>
              <w:spacing w:after="0" w:line="240" w:lineRule="auto"/>
            </w:pPr>
            <w:r>
              <w:rPr>
                <w:sz w:val="16"/>
              </w:rPr>
              <w:t>Formula</w:t>
            </w:r>
          </w:p>
        </w:tc>
        <w:tc>
          <w:tcPr>
            <w:tcW w:type="dxa" w:w="7344"/>
            <w:tcMar>
              <w:top w:w="90" w:type="dxa"/>
              <w:start w:w="110" w:type="dxa"/>
              <w:bottom w:w="90" w:type="dxa"/>
              <w:end w:w="110" w:type="dxa"/>
            </w:tcMar>
            <w:vAlign w:val="center"/>
          </w:tcPr>
          <w:p>
            <w:pPr>
              <w:spacing w:after="0" w:line="240" w:lineRule="auto"/>
            </w:pPr>
            <w:r>
              <w:rPr>
                <w:sz w:val="16"/>
              </w:rPr>
              <w:t>100 × (next-session adjusted close − reference close) ÷ reference close.</w:t>
            </w:r>
          </w:p>
        </w:tc>
      </w:tr>
      <w:tr>
        <w:trPr>
          <w:cantSplit/>
        </w:trPr>
        <w:tc>
          <w:tcPr>
            <w:tcW w:type="dxa" w:w="2232"/>
            <w:tcMar>
              <w:top w:w="90" w:type="dxa"/>
              <w:start w:w="110" w:type="dxa"/>
              <w:bottom w:w="90" w:type="dxa"/>
              <w:end w:w="110" w:type="dxa"/>
            </w:tcMar>
            <w:vAlign w:val="center"/>
            <w:shd w:fill="F4F6F8"/>
          </w:tcPr>
          <w:p>
            <w:pPr>
              <w:spacing w:after="0" w:line="240" w:lineRule="auto"/>
            </w:pPr>
            <w:r>
              <w:rPr>
                <w:sz w:val="16"/>
              </w:rPr>
              <w:t>Prediction cutoff</w:t>
            </w:r>
          </w:p>
        </w:tc>
        <w:tc>
          <w:tcPr>
            <w:tcW w:type="dxa" w:w="7344"/>
            <w:tcMar>
              <w:top w:w="90" w:type="dxa"/>
              <w:start w:w="110" w:type="dxa"/>
              <w:bottom w:w="90" w:type="dxa"/>
              <w:end w:w="110" w:type="dxa"/>
            </w:tcMar>
            <w:vAlign w:val="center"/>
            <w:shd w:fill="F4F6F8"/>
          </w:tcPr>
          <w:p>
            <w:pPr>
              <w:spacing w:after="0" w:line="240" w:lineRule="auto"/>
            </w:pPr>
            <w:r>
              <w:rPr>
                <w:sz w:val="16"/>
              </w:rPr>
              <w:t>After the regular market close, when that session’s daily price data is available. Store cutoff in UTC and market timezone.</w:t>
            </w:r>
          </w:p>
        </w:tc>
      </w:tr>
      <w:tr>
        <w:trPr>
          <w:cantSplit/>
        </w:trPr>
        <w:tc>
          <w:tcPr>
            <w:tcW w:type="dxa" w:w="2232"/>
            <w:tcMar>
              <w:top w:w="90" w:type="dxa"/>
              <w:start w:w="110" w:type="dxa"/>
              <w:bottom w:w="90" w:type="dxa"/>
              <w:end w:w="110" w:type="dxa"/>
            </w:tcMar>
            <w:vAlign w:val="center"/>
          </w:tcPr>
          <w:p>
            <w:pPr>
              <w:spacing w:after="0" w:line="240" w:lineRule="auto"/>
            </w:pPr>
            <w:r>
              <w:rPr>
                <w:sz w:val="16"/>
              </w:rPr>
              <w:t>Signal threshold</w:t>
            </w:r>
          </w:p>
        </w:tc>
        <w:tc>
          <w:tcPr>
            <w:tcW w:type="dxa" w:w="7344"/>
            <w:tcMar>
              <w:top w:w="90" w:type="dxa"/>
              <w:start w:w="110" w:type="dxa"/>
              <w:bottom w:w="90" w:type="dxa"/>
              <w:end w:w="110" w:type="dxa"/>
            </w:tcMar>
            <w:vAlign w:val="center"/>
          </w:tcPr>
          <w:p>
            <w:pPr>
              <w:spacing w:after="0" w:line="240" w:lineRule="auto"/>
            </w:pPr>
            <w:r>
              <w:rPr>
                <w:sz w:val="16"/>
              </w:rPr>
              <w:t>Default θ = 0.25 percentage points. Bullish above +θ, bearish below −θ, neutral in between. Make it configurable.</w:t>
            </w:r>
          </w:p>
        </w:tc>
      </w:tr>
      <w:tr>
        <w:trPr>
          <w:cantSplit/>
        </w:trPr>
        <w:tc>
          <w:tcPr>
            <w:tcW w:type="dxa" w:w="2232"/>
            <w:tcMar>
              <w:top w:w="90" w:type="dxa"/>
              <w:start w:w="110" w:type="dxa"/>
              <w:bottom w:w="90" w:type="dxa"/>
              <w:end w:w="110" w:type="dxa"/>
            </w:tcMar>
            <w:vAlign w:val="center"/>
            <w:shd w:fill="F4F6F8"/>
          </w:tcPr>
          <w:p>
            <w:pPr>
              <w:spacing w:after="0" w:line="240" w:lineRule="auto"/>
            </w:pPr>
            <w:r>
              <w:rPr>
                <w:sz w:val="16"/>
              </w:rPr>
              <w:t>Models</w:t>
            </w:r>
          </w:p>
        </w:tc>
        <w:tc>
          <w:tcPr>
            <w:tcW w:type="dxa" w:w="7344"/>
            <w:tcMar>
              <w:top w:w="90" w:type="dxa"/>
              <w:start w:w="110" w:type="dxa"/>
              <w:bottom w:w="90" w:type="dxa"/>
              <w:end w:w="110" w:type="dxa"/>
            </w:tcMar>
            <w:vAlign w:val="center"/>
            <w:shd w:fill="F4F6F8"/>
          </w:tcPr>
          <w:p>
            <w:pPr>
              <w:spacing w:after="0" w:line="240" w:lineRule="auto"/>
            </w:pPr>
            <w:r>
              <w:rPr>
                <w:sz w:val="16"/>
              </w:rPr>
              <w:t>Price-history-only baseline and comparable news-aware regression model; begin with a simple, interpretable approach.</w:t>
            </w:r>
          </w:p>
        </w:tc>
      </w:tr>
      <w:tr>
        <w:trPr>
          <w:cantSplit/>
        </w:trPr>
        <w:tc>
          <w:tcPr>
            <w:tcW w:type="dxa" w:w="2232"/>
            <w:tcMar>
              <w:top w:w="90" w:type="dxa"/>
              <w:start w:w="110" w:type="dxa"/>
              <w:bottom w:w="90" w:type="dxa"/>
              <w:end w:w="110" w:type="dxa"/>
            </w:tcMar>
            <w:vAlign w:val="center"/>
          </w:tcPr>
          <w:p>
            <w:pPr>
              <w:spacing w:after="0" w:line="240" w:lineRule="auto"/>
            </w:pPr>
            <w:r>
              <w:rPr>
                <w:sz w:val="16"/>
              </w:rPr>
              <w:t>Evaluation</w:t>
            </w:r>
          </w:p>
        </w:tc>
        <w:tc>
          <w:tcPr>
            <w:tcW w:type="dxa" w:w="7344"/>
            <w:tcMar>
              <w:top w:w="90" w:type="dxa"/>
              <w:start w:w="110" w:type="dxa"/>
              <w:bottom w:w="90" w:type="dxa"/>
              <w:end w:w="110" w:type="dxa"/>
            </w:tcMar>
            <w:vAlign w:val="center"/>
          </w:tcPr>
          <w:p>
            <w:pPr>
              <w:spacing w:after="0" w:line="240" w:lineRule="auto"/>
            </w:pPr>
            <w:r>
              <w:rPr>
                <w:sz w:val="16"/>
              </w:rPr>
              <w:t>Chronological train, validation, and held-out test periods; primary MAE in percentage points; directional accuracy secondary.</w:t>
            </w:r>
          </w:p>
        </w:tc>
      </w:tr>
      <w:tr>
        <w:trPr>
          <w:cantSplit/>
        </w:trPr>
        <w:tc>
          <w:tcPr>
            <w:tcW w:type="dxa" w:w="2232"/>
            <w:tcMar>
              <w:top w:w="90" w:type="dxa"/>
              <w:start w:w="110" w:type="dxa"/>
              <w:bottom w:w="90" w:type="dxa"/>
              <w:end w:w="110" w:type="dxa"/>
            </w:tcMar>
            <w:vAlign w:val="center"/>
            <w:shd w:fill="F4F6F8"/>
          </w:tcPr>
          <w:p>
            <w:pPr>
              <w:spacing w:after="0" w:line="240" w:lineRule="auto"/>
            </w:pPr>
            <w:r>
              <w:rPr>
                <w:sz w:val="16"/>
              </w:rPr>
              <w:t>News timing</w:t>
            </w:r>
          </w:p>
        </w:tc>
        <w:tc>
          <w:tcPr>
            <w:tcW w:type="dxa" w:w="7344"/>
            <w:tcMar>
              <w:top w:w="90" w:type="dxa"/>
              <w:start w:w="110" w:type="dxa"/>
              <w:bottom w:w="90" w:type="dxa"/>
              <w:end w:w="110" w:type="dxa"/>
            </w:tcMar>
            <w:vAlign w:val="center"/>
            <w:shd w:fill="F4F6F8"/>
          </w:tcPr>
          <w:p>
            <w:pPr>
              <w:spacing w:after="0" w:line="240" w:lineRule="auto"/>
            </w:pPr>
            <w:r>
              <w:rPr>
                <w:sz w:val="16"/>
              </w:rPr>
              <w:t>Only news available by the recorded prediction cutoff may be used. Never use future information.</w:t>
            </w:r>
          </w:p>
        </w:tc>
      </w:tr>
      <w:tr>
        <w:trPr>
          <w:cantSplit/>
        </w:trPr>
        <w:tc>
          <w:tcPr>
            <w:tcW w:type="dxa" w:w="2232"/>
            <w:tcMar>
              <w:top w:w="90" w:type="dxa"/>
              <w:start w:w="110" w:type="dxa"/>
              <w:bottom w:w="90" w:type="dxa"/>
              <w:end w:w="110" w:type="dxa"/>
            </w:tcMar>
            <w:vAlign w:val="center"/>
          </w:tcPr>
          <w:p>
            <w:pPr>
              <w:spacing w:after="0" w:line="240" w:lineRule="auto"/>
            </w:pPr>
            <w:r>
              <w:rPr>
                <w:sz w:val="16"/>
              </w:rPr>
              <w:t>Presentation</w:t>
            </w:r>
          </w:p>
        </w:tc>
        <w:tc>
          <w:tcPr>
            <w:tcW w:type="dxa" w:w="7344"/>
            <w:tcMar>
              <w:top w:w="90" w:type="dxa"/>
              <w:start w:w="110" w:type="dxa"/>
              <w:bottom w:w="90" w:type="dxa"/>
              <w:end w:w="110" w:type="dxa"/>
            </w:tcMar>
            <w:vAlign w:val="center"/>
          </w:tcPr>
          <w:p>
            <w:pPr>
              <w:spacing w:after="0" w:line="240" w:lineRule="auto"/>
            </w:pPr>
            <w:r>
              <w:rPr>
                <w:sz w:val="16"/>
              </w:rPr>
              <w:t>Show percentage units, horizon, reference close, generated time, model/version, freshness, and evidence where applicable.</w:t>
            </w:r>
          </w:p>
        </w:tc>
      </w:tr>
      <w:tr>
        <w:trPr>
          <w:cantSplit/>
        </w:trPr>
        <w:tc>
          <w:tcPr>
            <w:tcW w:type="dxa" w:w="2232"/>
            <w:tcMar>
              <w:top w:w="90" w:type="dxa"/>
              <w:start w:w="110" w:type="dxa"/>
              <w:bottom w:w="90" w:type="dxa"/>
              <w:end w:w="110" w:type="dxa"/>
            </w:tcMar>
            <w:vAlign w:val="center"/>
            <w:shd w:fill="F4F6F8"/>
          </w:tcPr>
          <w:p>
            <w:pPr>
              <w:spacing w:after="0" w:line="240" w:lineRule="auto"/>
            </w:pPr>
            <w:r>
              <w:rPr>
                <w:sz w:val="16"/>
              </w:rPr>
              <w:t>Missing inputs</w:t>
            </w:r>
          </w:p>
        </w:tc>
        <w:tc>
          <w:tcPr>
            <w:tcW w:type="dxa" w:w="7344"/>
            <w:tcMar>
              <w:top w:w="90" w:type="dxa"/>
              <w:start w:w="110" w:type="dxa"/>
              <w:bottom w:w="90" w:type="dxa"/>
              <w:end w:w="110" w:type="dxa"/>
            </w:tcMar>
            <w:vAlign w:val="center"/>
            <w:shd w:fill="F4F6F8"/>
          </w:tcPr>
          <w:p>
            <w:pPr>
              <w:spacing w:after="0" w:line="240" w:lineRule="auto"/>
            </w:pPr>
            <w:r>
              <w:rPr>
                <w:sz w:val="16"/>
              </w:rPr>
              <w:t>Show stale/missing status and withhold a forecast when required inputs fail freshness or completeness checks.</w:t>
            </w:r>
          </w:p>
        </w:tc>
      </w:tr>
    </w:tbl>
    <w:p>
      <w:pPr>
        <w:spacing w:after="20"/>
      </w:pPr>
    </w:p>
    <w:p>
      <w:pPr>
        <w:pStyle w:val="Heading1"/>
      </w:pPr>
      <w:r>
        <w:rPr>
          <w:color w:val="000000"/>
        </w:rPr>
        <w:t>Before coding agree together</w:t>
      </w:r>
    </w:p>
    <w:p>
      <w:pPr>
        <w:spacing w:after="50"/>
        <w:ind w:left="173" w:hanging="173"/>
      </w:pPr>
      <w:r>
        <w:rPr>
          <w:rFonts w:ascii="DejaVu Sans" w:hAnsi="DejaVu Sans"/>
          <w:color w:val="0D6B68"/>
          <w:sz w:val="20"/>
        </w:rPr>
        <w:t xml:space="preserve">☐  </w:t>
      </w:r>
      <w:r>
        <w:rPr>
          <w:b/>
          <w:color w:val="0D6B68"/>
        </w:rPr>
        <w:t xml:space="preserve">[Shared] </w:t>
      </w:r>
      <w:r>
        <w:t>Choose the index, exchange, market timezone, and five to ten tickers. Write the rationale and identifiers in README.</w:t>
      </w:r>
      <w:r>
        <w:rPr>
          <w:i/>
          <w:color w:val="52616B"/>
          <w:sz w:val="16"/>
        </w:rPr>
        <w:t xml:space="preserve">  (DEC-01)</w:t>
      </w:r>
    </w:p>
    <w:p>
      <w:pPr>
        <w:spacing w:after="50"/>
        <w:ind w:left="173" w:hanging="173"/>
      </w:pPr>
      <w:r>
        <w:rPr>
          <w:rFonts w:ascii="DejaVu Sans" w:hAnsi="DejaVu Sans"/>
          <w:color w:val="0D6B68"/>
          <w:sz w:val="20"/>
        </w:rPr>
        <w:t xml:space="preserve">☐  </w:t>
      </w:r>
      <w:r>
        <w:rPr>
          <w:b/>
          <w:color w:val="0D6B68"/>
        </w:rPr>
        <w:t xml:space="preserve">[Shared] </w:t>
      </w:r>
      <w:r>
        <w:t>Approve price and news sources. Record permitted usage, historical access, rate limits, attribution needs, retention limits, and fallback plan.</w:t>
      </w:r>
      <w:r>
        <w:rPr>
          <w:i/>
          <w:color w:val="52616B"/>
          <w:sz w:val="16"/>
        </w:rPr>
        <w:t xml:space="preserve">  (DEC-02)</w:t>
      </w:r>
    </w:p>
    <w:p>
      <w:pPr>
        <w:spacing w:after="50"/>
        <w:ind w:left="173" w:hanging="173"/>
      </w:pPr>
      <w:r>
        <w:rPr>
          <w:rFonts w:ascii="DejaVu Sans" w:hAnsi="DejaVu Sans"/>
          <w:color w:val="0D6B68"/>
          <w:sz w:val="20"/>
        </w:rPr>
        <w:t xml:space="preserve">☐  </w:t>
      </w:r>
      <w:r>
        <w:rPr>
          <w:b/>
          <w:color w:val="0D6B68"/>
        </w:rPr>
        <w:t xml:space="preserve">[Shared] </w:t>
      </w:r>
      <w:r>
        <w:t>Set the daily prediction cutoff and the next-session target formula, including adjusted-close policy.</w:t>
      </w:r>
      <w:r>
        <w:rPr>
          <w:i/>
          <w:color w:val="52616B"/>
          <w:sz w:val="16"/>
        </w:rPr>
        <w:t xml:space="preserve">  (DEC-03)</w:t>
      </w:r>
    </w:p>
    <w:p>
      <w:pPr>
        <w:spacing w:after="50"/>
        <w:ind w:left="173" w:hanging="173"/>
      </w:pPr>
      <w:r>
        <w:rPr>
          <w:rFonts w:ascii="DejaVu Sans" w:hAnsi="DejaVu Sans"/>
          <w:color w:val="0D6B68"/>
          <w:sz w:val="20"/>
        </w:rPr>
        <w:t xml:space="preserve">☐  </w:t>
      </w:r>
      <w:r>
        <w:rPr>
          <w:b/>
          <w:color w:val="0D6B68"/>
        </w:rPr>
        <w:t xml:space="preserve">[Sumukh lead; Prathyush review] </w:t>
      </w:r>
      <w:r>
        <w:t>Choose and document sentiment method/model, version, aggregation rules, and configurable bullish/bearish threshold.</w:t>
      </w:r>
      <w:r>
        <w:rPr>
          <w:i/>
          <w:color w:val="52616B"/>
          <w:sz w:val="16"/>
        </w:rPr>
        <w:t xml:space="preserve">  (DEC-04)</w:t>
      </w:r>
    </w:p>
    <w:p>
      <w:pPr>
        <w:spacing w:after="50"/>
        <w:ind w:left="173" w:hanging="173"/>
      </w:pPr>
      <w:r>
        <w:rPr>
          <w:rFonts w:ascii="DejaVu Sans" w:hAnsi="DejaVu Sans"/>
          <w:color w:val="0D6B68"/>
          <w:sz w:val="20"/>
        </w:rPr>
        <w:t xml:space="preserve">☐  </w:t>
      </w:r>
      <w:r>
        <w:rPr>
          <w:b/>
          <w:color w:val="0D6B68"/>
        </w:rPr>
        <w:t xml:space="preserve">[Sumukh lead; Prathyush review] </w:t>
      </w:r>
      <w:r>
        <w:t>Choose the baseline, candidate news-aware model, chronological date ranges, and storage approach.</w:t>
      </w:r>
      <w:r>
        <w:rPr>
          <w:i/>
          <w:color w:val="52616B"/>
          <w:sz w:val="16"/>
        </w:rPr>
        <w:t xml:space="preserve">  (DEC-05)</w:t>
      </w:r>
    </w:p>
    <w:p>
      <w:pPr>
        <w:spacing w:after="50"/>
        <w:ind w:left="173" w:hanging="173"/>
      </w:pPr>
      <w:r>
        <w:rPr>
          <w:rFonts w:ascii="DejaVu Sans" w:hAnsi="DejaVu Sans"/>
          <w:color w:val="0D6B68"/>
          <w:sz w:val="20"/>
        </w:rPr>
        <w:t xml:space="preserve">☐  </w:t>
      </w:r>
      <w:r>
        <w:rPr>
          <w:b/>
          <w:color w:val="0D6B68"/>
        </w:rPr>
        <w:t xml:space="preserve">[Shared] </w:t>
      </w:r>
      <w:r>
        <w:t>Choose the stack, repository layout, local setup method, and who owns each shared milestone.</w:t>
      </w:r>
      <w:r>
        <w:rPr>
          <w:i/>
          <w:color w:val="52616B"/>
          <w:sz w:val="16"/>
        </w:rPr>
        <w:t xml:space="preserve">  (DEC-06)</w:t>
      </w:r>
    </w:p>
    <w:p>
      <w:pPr>
        <w:pStyle w:val="Heading1"/>
      </w:pPr>
      <w:r>
        <w:rPr>
          <w:color w:val="000000"/>
        </w:rPr>
        <w:t>Phase 1  Set up the project and lock decisions</w:t>
      </w:r>
    </w:p>
    <w:p>
      <w:pPr>
        <w:spacing w:after="100"/>
      </w:pPr>
      <w:r>
        <w:rPr>
          <w:b/>
          <w:color w:val="0D6B68"/>
        </w:rPr>
        <w:t xml:space="preserve">Purpose  </w:t>
      </w:r>
      <w:r>
        <w:t>Make choices explicit before code so the data, API, model, and dashboard all use the same definitions.</w:t>
      </w:r>
    </w:p>
    <w:p>
      <w:pPr>
        <w:spacing w:after="50"/>
        <w:ind w:left="173" w:hanging="173"/>
      </w:pPr>
      <w:r>
        <w:rPr>
          <w:rFonts w:ascii="DejaVu Sans" w:hAnsi="DejaVu Sans"/>
          <w:color w:val="0D6B68"/>
          <w:sz w:val="20"/>
        </w:rPr>
        <w:t xml:space="preserve">☐  </w:t>
      </w:r>
      <w:r>
        <w:rPr>
          <w:b/>
          <w:color w:val="0D6B68"/>
        </w:rPr>
        <w:t xml:space="preserve">[Shared] </w:t>
      </w:r>
      <w:r>
        <w:t>Create the repository structure for backend, frontend, shared schemas or API docs, data scripts, tests, and project documentation.</w:t>
      </w:r>
      <w:r>
        <w:rPr>
          <w:i/>
          <w:color w:val="52616B"/>
          <w:sz w:val="16"/>
        </w:rPr>
        <w:t xml:space="preserve">  (NFR-06)</w:t>
      </w:r>
    </w:p>
    <w:p>
      <w:pPr>
        <w:spacing w:after="50"/>
        <w:ind w:left="173" w:hanging="173"/>
      </w:pPr>
      <w:r>
        <w:rPr>
          <w:rFonts w:ascii="DejaVu Sans" w:hAnsi="DejaVu Sans"/>
          <w:color w:val="0D6B68"/>
          <w:sz w:val="20"/>
        </w:rPr>
        <w:t xml:space="preserve">☐  </w:t>
      </w:r>
      <w:r>
        <w:rPr>
          <w:b/>
          <w:color w:val="0D6B68"/>
        </w:rPr>
        <w:t xml:space="preserve">[Shared] </w:t>
      </w:r>
      <w:r>
        <w:t>Add README sections for project purpose, scope, team roles, setup, environment variables, data sources, attribution, and demo steps.</w:t>
      </w:r>
      <w:r>
        <w:rPr>
          <w:i/>
          <w:color w:val="52616B"/>
          <w:sz w:val="16"/>
        </w:rPr>
        <w:t xml:space="preserve">  (NFR-06)</w:t>
      </w:r>
    </w:p>
    <w:p>
      <w:pPr>
        <w:spacing w:after="50"/>
        <w:ind w:left="173" w:hanging="173"/>
      </w:pPr>
      <w:r>
        <w:rPr>
          <w:rFonts w:ascii="DejaVu Sans" w:hAnsi="DejaVu Sans"/>
          <w:color w:val="0D6B68"/>
          <w:sz w:val="20"/>
        </w:rPr>
        <w:t xml:space="preserve">☐  </w:t>
      </w:r>
      <w:r>
        <w:rPr>
          <w:b/>
          <w:color w:val="0D6B68"/>
        </w:rPr>
        <w:t xml:space="preserve">[Sumukh] </w:t>
      </w:r>
      <w:r>
        <w:t>Add the selected market/index and ticker list with ticker, company display name, exchange identifier, and asset type.</w:t>
      </w:r>
      <w:r>
        <w:rPr>
          <w:i/>
          <w:color w:val="52616B"/>
          <w:sz w:val="16"/>
        </w:rPr>
        <w:t xml:space="preserve">  (FR-01)</w:t>
      </w:r>
    </w:p>
    <w:p>
      <w:pPr>
        <w:spacing w:after="50"/>
        <w:ind w:left="173" w:hanging="173"/>
      </w:pPr>
      <w:r>
        <w:rPr>
          <w:rFonts w:ascii="DejaVu Sans" w:hAnsi="DejaVu Sans"/>
          <w:color w:val="0D6B68"/>
          <w:sz w:val="20"/>
        </w:rPr>
        <w:t xml:space="preserve">☐  </w:t>
      </w:r>
      <w:r>
        <w:rPr>
          <w:b/>
          <w:color w:val="0D6B68"/>
        </w:rPr>
        <w:t xml:space="preserve">[Sumukh] </w:t>
      </w:r>
      <w:r>
        <w:t>Record the market timezone and UTC timestamp convention. State the regular-session cutoff rule and how holidays are handled.</w:t>
      </w:r>
      <w:r>
        <w:rPr>
          <w:i/>
          <w:color w:val="52616B"/>
          <w:sz w:val="16"/>
        </w:rPr>
        <w:t xml:space="preserve">  (DEC-01/03)</w:t>
      </w:r>
    </w:p>
    <w:p>
      <w:pPr>
        <w:spacing w:after="50"/>
        <w:ind w:left="173" w:hanging="173"/>
      </w:pPr>
      <w:r>
        <w:rPr>
          <w:rFonts w:ascii="DejaVu Sans" w:hAnsi="DejaVu Sans"/>
          <w:color w:val="0D6B68"/>
          <w:sz w:val="20"/>
        </w:rPr>
        <w:t xml:space="preserve">☐  </w:t>
      </w:r>
      <w:r>
        <w:rPr>
          <w:b/>
          <w:color w:val="0D6B68"/>
        </w:rPr>
        <w:t xml:space="preserve">[Shared] </w:t>
      </w:r>
      <w:r>
        <w:t>Record source names, access method, terms/permissions, rate limits, attribution, historical availability, and what may be stored.</w:t>
      </w:r>
      <w:r>
        <w:rPr>
          <w:i/>
          <w:color w:val="52616B"/>
          <w:sz w:val="16"/>
        </w:rPr>
        <w:t xml:space="preserve">  (DEC-02)</w:t>
      </w:r>
    </w:p>
    <w:p>
      <w:pPr>
        <w:spacing w:after="50"/>
        <w:ind w:left="173" w:hanging="173"/>
      </w:pPr>
      <w:r>
        <w:rPr>
          <w:rFonts w:ascii="DejaVu Sans" w:hAnsi="DejaVu Sans"/>
          <w:color w:val="0D6B68"/>
          <w:sz w:val="20"/>
        </w:rPr>
        <w:t xml:space="preserve">☐  </w:t>
      </w:r>
      <w:r>
        <w:rPr>
          <w:b/>
          <w:color w:val="0D6B68"/>
        </w:rPr>
        <w:t xml:space="preserve">[Shared] </w:t>
      </w:r>
      <w:r>
        <w:t>Document the exact target formula and units. Use percentage change as a percent value and errors as percentage points.</w:t>
      </w:r>
      <w:r>
        <w:rPr>
          <w:i/>
          <w:color w:val="52616B"/>
          <w:sz w:val="16"/>
        </w:rPr>
        <w:t xml:space="preserve">  (4.1)</w:t>
      </w:r>
    </w:p>
    <w:p>
      <w:pPr>
        <w:spacing w:after="50"/>
        <w:ind w:left="173" w:hanging="173"/>
      </w:pPr>
      <w:r>
        <w:rPr>
          <w:rFonts w:ascii="DejaVu Sans" w:hAnsi="DejaVu Sans"/>
          <w:color w:val="0D6B68"/>
          <w:sz w:val="20"/>
        </w:rPr>
        <w:t xml:space="preserve">☐  </w:t>
      </w:r>
      <w:r>
        <w:rPr>
          <w:b/>
          <w:color w:val="0D6B68"/>
        </w:rPr>
        <w:t xml:space="preserve">[Sumukh; Prathyush review] </w:t>
      </w:r>
      <w:r>
        <w:t>Agree the baseline and news-aware model candidates, the test range, and how the held-out test period stays untouched during tuning.</w:t>
      </w:r>
      <w:r>
        <w:rPr>
          <w:i/>
          <w:color w:val="52616B"/>
          <w:sz w:val="16"/>
        </w:rPr>
        <w:t xml:space="preserve">  (4.3)</w:t>
      </w:r>
    </w:p>
    <w:p>
      <w:pPr>
        <w:spacing w:after="50"/>
        <w:ind w:left="173" w:hanging="173"/>
      </w:pPr>
      <w:r>
        <w:rPr>
          <w:rFonts w:ascii="DejaVu Sans" w:hAnsi="DejaVu Sans"/>
          <w:color w:val="0D6B68"/>
          <w:sz w:val="20"/>
        </w:rPr>
        <w:t xml:space="preserve">☐  </w:t>
      </w:r>
      <w:r>
        <w:rPr>
          <w:b/>
          <w:color w:val="0D6B68"/>
        </w:rPr>
        <w:t xml:space="preserve">[Sumukh] </w:t>
      </w:r>
      <w:r>
        <w:t>Set the initial threshold θ = 0.25 percentage points and identify where operators can change it.</w:t>
      </w:r>
      <w:r>
        <w:rPr>
          <w:i/>
          <w:color w:val="52616B"/>
          <w:sz w:val="16"/>
        </w:rPr>
        <w:t xml:space="preserve">  (4.2)</w:t>
      </w:r>
    </w:p>
    <w:p>
      <w:pPr>
        <w:spacing w:after="50"/>
        <w:ind w:left="173" w:hanging="173"/>
      </w:pPr>
      <w:r>
        <w:rPr>
          <w:rFonts w:ascii="DejaVu Sans" w:hAnsi="DejaVu Sans"/>
          <w:color w:val="0D6B68"/>
          <w:sz w:val="20"/>
        </w:rPr>
        <w:t xml:space="preserve">☐  </w:t>
      </w:r>
      <w:r>
        <w:rPr>
          <w:b/>
          <w:color w:val="0D6B68"/>
        </w:rPr>
        <w:t xml:space="preserve">[Shared] </w:t>
      </w:r>
      <w:r>
        <w:t>Define what counts as stale news and stale prices for a run. Make limits explicit in configuration.</w:t>
      </w:r>
      <w:r>
        <w:rPr>
          <w:i/>
          <w:color w:val="52616B"/>
          <w:sz w:val="16"/>
        </w:rPr>
        <w:t xml:space="preserve">  (FR-17)</w:t>
      </w:r>
    </w:p>
    <w:p>
      <w:pPr>
        <w:spacing w:after="50"/>
        <w:ind w:left="173" w:hanging="173"/>
      </w:pPr>
      <w:r>
        <w:rPr>
          <w:rFonts w:ascii="DejaVu Sans" w:hAnsi="DejaVu Sans"/>
          <w:color w:val="0D6B68"/>
          <w:sz w:val="20"/>
        </w:rPr>
        <w:t xml:space="preserve">☐  </w:t>
      </w:r>
      <w:r>
        <w:rPr>
          <w:b/>
          <w:color w:val="0D6B68"/>
        </w:rPr>
        <w:t xml:space="preserve">[Prathyush draft; Sumukh validate] </w:t>
      </w:r>
      <w:r>
        <w:t>Create a short glossary in the README for reference close, prediction session, estimate, actual, signal label, MAE, and baseline.</w:t>
      </w:r>
      <w:r>
        <w:rPr>
          <w:i/>
          <w:color w:val="52616B"/>
          <w:sz w:val="16"/>
        </w:rPr>
        <w:t xml:space="preserve">  (NFR-07)</w:t>
      </w:r>
    </w:p>
    <w:p>
      <w:pPr>
        <w:spacing w:before="80" w:after="160"/>
      </w:pPr>
      <w:r>
        <w:rPr>
          <w:b/>
          <w:color w:val="18324B"/>
        </w:rPr>
        <w:t xml:space="preserve">PHASE EXIT  </w:t>
      </w:r>
      <w:r>
        <w:t>The README contains the six decisions from Section 12 of the SRS, and both contributors agree on the same target, timestamps, units, and source rules.</w:t>
      </w:r>
    </w:p>
    <w:p>
      <w:pPr>
        <w:pStyle w:val="Heading1"/>
      </w:pPr>
      <w:r>
        <w:rPr>
          <w:color w:val="000000"/>
        </w:rPr>
        <w:t>Phase 2  Agree the data and API contracts</w:t>
      </w:r>
    </w:p>
    <w:p>
      <w:pPr>
        <w:spacing w:after="100"/>
      </w:pPr>
      <w:r>
        <w:rPr>
          <w:b/>
          <w:color w:val="0D6B68"/>
        </w:rPr>
        <w:t xml:space="preserve">Purpose  </w:t>
      </w:r>
      <w:r>
        <w:t>Define exact names, types, units, null behavior, and examples before the frontend and backend are built in parallel.</w:t>
      </w:r>
    </w:p>
    <w:p>
      <w:pPr>
        <w:spacing w:after="50"/>
        <w:ind w:left="173" w:hanging="173"/>
      </w:pPr>
      <w:r>
        <w:rPr>
          <w:rFonts w:ascii="DejaVu Sans" w:hAnsi="DejaVu Sans"/>
          <w:color w:val="0D6B68"/>
          <w:sz w:val="20"/>
        </w:rPr>
        <w:t xml:space="preserve">☐  </w:t>
      </w:r>
      <w:r>
        <w:rPr>
          <w:b/>
          <w:color w:val="0D6B68"/>
        </w:rPr>
        <w:t xml:space="preserve">[Sumukh lead; Prathyush co-design] </w:t>
      </w:r>
      <w:r>
        <w:t>Create a versioned JSON contract for overview, stocks, predictions, metrics, status, refresh job response, and errors.</w:t>
      </w:r>
      <w:r>
        <w:rPr>
          <w:i/>
          <w:color w:val="52616B"/>
          <w:sz w:val="16"/>
        </w:rPr>
        <w:t xml:space="preserve">  (Section 5)</w:t>
      </w:r>
    </w:p>
    <w:p>
      <w:pPr>
        <w:spacing w:after="50"/>
        <w:ind w:left="173" w:hanging="173"/>
      </w:pPr>
      <w:r>
        <w:rPr>
          <w:rFonts w:ascii="DejaVu Sans" w:hAnsi="DejaVu Sans"/>
          <w:color w:val="0D6B68"/>
          <w:sz w:val="20"/>
        </w:rPr>
        <w:t xml:space="preserve">☐  </w:t>
      </w:r>
      <w:r>
        <w:rPr>
          <w:b/>
          <w:color w:val="0D6B68"/>
        </w:rPr>
        <w:t xml:space="preserve">[Sumukh] </w:t>
      </w:r>
      <w:r>
        <w:t>Use ISO 8601 timestamps in every response. Include timezone offsets or UTC markers; never send ambiguous local timestamps.</w:t>
      </w:r>
      <w:r>
        <w:rPr>
          <w:i/>
          <w:color w:val="52616B"/>
          <w:sz w:val="16"/>
        </w:rPr>
        <w:t xml:space="preserve">  (API)</w:t>
      </w:r>
    </w:p>
    <w:p>
      <w:pPr>
        <w:spacing w:after="50"/>
        <w:ind w:left="173" w:hanging="173"/>
      </w:pPr>
      <w:r>
        <w:rPr>
          <w:rFonts w:ascii="DejaVu Sans" w:hAnsi="DejaVu Sans"/>
          <w:color w:val="0D6B68"/>
          <w:sz w:val="20"/>
        </w:rPr>
        <w:t xml:space="preserve">☐  </w:t>
      </w:r>
      <w:r>
        <w:rPr>
          <w:b/>
          <w:color w:val="0D6B68"/>
        </w:rPr>
        <w:t xml:space="preserve">[Shared] </w:t>
      </w:r>
      <w:r>
        <w:t>Represent percentage changes consistently: 1.25 means 1.25%, not 0.0125. Name fields with a clear unit such as estimated_change_pct.</w:t>
      </w:r>
      <w:r>
        <w:rPr>
          <w:i/>
          <w:color w:val="52616B"/>
          <w:sz w:val="16"/>
        </w:rPr>
        <w:t xml:space="preserve">  (API)</w:t>
      </w:r>
    </w:p>
    <w:p>
      <w:pPr>
        <w:spacing w:after="50"/>
        <w:ind w:left="173" w:hanging="173"/>
      </w:pPr>
      <w:r>
        <w:rPr>
          <w:rFonts w:ascii="DejaVu Sans" w:hAnsi="DejaVu Sans"/>
          <w:color w:val="0D6B68"/>
          <w:sz w:val="20"/>
        </w:rPr>
        <w:t xml:space="preserve">☐  </w:t>
      </w:r>
      <w:r>
        <w:rPr>
          <w:b/>
          <w:color w:val="0D6B68"/>
        </w:rPr>
        <w:t xml:space="preserve">[Sumukh] </w:t>
      </w:r>
      <w:r>
        <w:t>Define a stable error body containing a machine-readable code and a readable message. Specify HTTP statuses for validation, missing data, and provider failures.</w:t>
      </w:r>
      <w:r>
        <w:rPr>
          <w:i/>
          <w:color w:val="52616B"/>
          <w:sz w:val="16"/>
        </w:rPr>
        <w:t xml:space="preserve">  (API)</w:t>
      </w:r>
    </w:p>
    <w:p>
      <w:pPr>
        <w:spacing w:after="50"/>
        <w:ind w:left="173" w:hanging="173"/>
      </w:pPr>
      <w:r>
        <w:rPr>
          <w:rFonts w:ascii="DejaVu Sans" w:hAnsi="DejaVu Sans"/>
          <w:color w:val="0D6B68"/>
          <w:sz w:val="20"/>
        </w:rPr>
        <w:t xml:space="preserve">☐  </w:t>
      </w:r>
      <w:r>
        <w:rPr>
          <w:b/>
          <w:color w:val="0D6B68"/>
        </w:rPr>
        <w:t xml:space="preserve">[Shared] </w:t>
      </w:r>
      <w:r>
        <w:t>Define null and pending behavior for actual close, actual change, signed error, and absolute error before the next session resolves.</w:t>
      </w:r>
      <w:r>
        <w:rPr>
          <w:i/>
          <w:color w:val="52616B"/>
          <w:sz w:val="16"/>
        </w:rPr>
        <w:t xml:space="preserve">  (FR-14)</w:t>
      </w:r>
    </w:p>
    <w:p>
      <w:pPr>
        <w:spacing w:after="50"/>
        <w:ind w:left="173" w:hanging="173"/>
      </w:pPr>
      <w:r>
        <w:rPr>
          <w:rFonts w:ascii="DejaVu Sans" w:hAnsi="DejaVu Sans"/>
          <w:color w:val="0D6B68"/>
          <w:sz w:val="20"/>
        </w:rPr>
        <w:t xml:space="preserve">☐  </w:t>
      </w:r>
      <w:r>
        <w:rPr>
          <w:b/>
          <w:color w:val="0D6B68"/>
        </w:rPr>
        <w:t xml:space="preserve">[Sumukh; Prathyush review] </w:t>
      </w:r>
      <w:r>
        <w:t>Define response fields for asset identity, reference close, horizon, cutoff, generated_at, label, model/version, freshness, and news evidence.</w:t>
      </w:r>
      <w:r>
        <w:rPr>
          <w:i/>
          <w:color w:val="52616B"/>
          <w:sz w:val="16"/>
        </w:rPr>
        <w:t xml:space="preserve">  (FR-13/16)</w:t>
      </w:r>
    </w:p>
    <w:p>
      <w:pPr>
        <w:spacing w:after="50"/>
        <w:ind w:left="173" w:hanging="173"/>
      </w:pPr>
      <w:r>
        <w:rPr>
          <w:rFonts w:ascii="DejaVu Sans" w:hAnsi="DejaVu Sans"/>
          <w:color w:val="0D6B68"/>
          <w:sz w:val="20"/>
        </w:rPr>
        <w:t xml:space="preserve">☐  </w:t>
      </w:r>
      <w:r>
        <w:rPr>
          <w:b/>
          <w:color w:val="0D6B68"/>
        </w:rPr>
        <w:t xml:space="preserve">[Shared] </w:t>
      </w:r>
      <w:r>
        <w:t>Define sorting for stocks to watch: descending absolute news-aware estimate; specify deterministic tie-breaker.</w:t>
      </w:r>
      <w:r>
        <w:rPr>
          <w:i/>
          <w:color w:val="52616B"/>
          <w:sz w:val="16"/>
        </w:rPr>
        <w:t xml:space="preserve">  (FR-12)</w:t>
      </w:r>
    </w:p>
    <w:p>
      <w:pPr>
        <w:spacing w:after="50"/>
        <w:ind w:left="173" w:hanging="173"/>
      </w:pPr>
      <w:r>
        <w:rPr>
          <w:rFonts w:ascii="DejaVu Sans" w:hAnsi="DejaVu Sans"/>
          <w:color w:val="0D6B68"/>
          <w:sz w:val="20"/>
        </w:rPr>
        <w:t xml:space="preserve">☐  </w:t>
      </w:r>
      <w:r>
        <w:rPr>
          <w:b/>
          <w:color w:val="0D6B68"/>
        </w:rPr>
        <w:t xml:space="preserve">[Sumukh produces; Prathyush consumes] </w:t>
      </w:r>
      <w:r>
        <w:t>Create mock JSON fixtures for one index, at least two stocks, unresolved outcomes, resolved outcomes, stale data, no linked news, and provider failure.</w:t>
      </w:r>
      <w:r>
        <w:rPr>
          <w:i/>
          <w:color w:val="52616B"/>
          <w:sz w:val="16"/>
        </w:rPr>
        <w:t xml:space="preserve">  (NFR-01/07)</w:t>
      </w:r>
    </w:p>
    <w:p>
      <w:pPr>
        <w:spacing w:after="50"/>
        <w:ind w:left="173" w:hanging="173"/>
      </w:pPr>
      <w:r>
        <w:rPr>
          <w:rFonts w:ascii="DejaVu Sans" w:hAnsi="DejaVu Sans"/>
          <w:color w:val="0D6B68"/>
          <w:sz w:val="20"/>
        </w:rPr>
        <w:t xml:space="preserve">☐  </w:t>
      </w:r>
      <w:r>
        <w:rPr>
          <w:b/>
          <w:color w:val="0D6B68"/>
        </w:rPr>
        <w:t xml:space="preserve">[Sumukh] </w:t>
      </w:r>
      <w:r>
        <w:t>Document endpoint query parameters and validation for asset, date, from, and to. Define behavior for unknown assets and invalid ranges.</w:t>
      </w:r>
      <w:r>
        <w:rPr>
          <w:i/>
          <w:color w:val="52616B"/>
          <w:sz w:val="16"/>
        </w:rPr>
        <w:t xml:space="preserve">  (API)</w:t>
      </w:r>
    </w:p>
    <w:p>
      <w:pPr>
        <w:spacing w:after="50"/>
        <w:ind w:left="173" w:hanging="173"/>
      </w:pPr>
      <w:r>
        <w:rPr>
          <w:rFonts w:ascii="DejaVu Sans" w:hAnsi="DejaVu Sans"/>
          <w:color w:val="0D6B68"/>
          <w:sz w:val="20"/>
        </w:rPr>
        <w:t xml:space="preserve">☐  </w:t>
      </w:r>
      <w:r>
        <w:rPr>
          <w:b/>
          <w:color w:val="0D6B68"/>
        </w:rPr>
        <w:t xml:space="preserve">[Shared] </w:t>
      </w:r>
      <w:r>
        <w:t>Review the fixtures together in a short contract meeting. Freeze an initial contract version before UI integration.</w:t>
      </w:r>
      <w:r>
        <w:rPr>
          <w:i/>
          <w:color w:val="52616B"/>
          <w:sz w:val="16"/>
        </w:rPr>
        <w:t xml:space="preserve">  (Integration gate)</w:t>
      </w:r>
    </w:p>
    <w:p>
      <w:pPr>
        <w:spacing w:before="80" w:after="160"/>
      </w:pPr>
      <w:r>
        <w:rPr>
          <w:b/>
          <w:color w:val="18324B"/>
        </w:rPr>
        <w:t xml:space="preserve">PHASE EXIT  </w:t>
      </w:r>
      <w:r>
        <w:t>Frontend can render realistic fixtures without guessing field names, units, timezones, or missing-value behavior.</w:t>
      </w:r>
    </w:p>
    <w:p>
      <w:pPr>
        <w:pStyle w:val="Heading1"/>
      </w:pPr>
      <w:r>
        <w:rPr>
          <w:color w:val="000000"/>
        </w:rPr>
        <w:t>Phase 3  Build the skeleton and a working vertical slice</w:t>
      </w:r>
    </w:p>
    <w:p>
      <w:pPr>
        <w:spacing w:after="100"/>
      </w:pPr>
      <w:r>
        <w:rPr>
          <w:b/>
          <w:color w:val="0D6B68"/>
        </w:rPr>
        <w:t xml:space="preserve">Purpose  </w:t>
      </w:r>
      <w:r>
        <w:t>Prove the full path with sample data early so integration risks appear before data and model work are complete.</w:t>
      </w:r>
    </w:p>
    <w:p>
      <w:pPr>
        <w:spacing w:after="50"/>
        <w:ind w:left="173" w:hanging="173"/>
      </w:pPr>
      <w:r>
        <w:rPr>
          <w:rFonts w:ascii="DejaVu Sans" w:hAnsi="DejaVu Sans"/>
          <w:color w:val="0D6B68"/>
          <w:sz w:val="20"/>
        </w:rPr>
        <w:t xml:space="preserve">☐  </w:t>
      </w:r>
      <w:r>
        <w:rPr>
          <w:b/>
          <w:color w:val="0D6B68"/>
        </w:rPr>
        <w:t xml:space="preserve">[Sumukh] </w:t>
      </w:r>
      <w:r>
        <w:t>Create the backend application, health/status route, configuration loader, and local run command.</w:t>
      </w:r>
      <w:r>
        <w:rPr>
          <w:i/>
          <w:color w:val="52616B"/>
          <w:sz w:val="16"/>
        </w:rPr>
        <w:t xml:space="preserve">  (NFR-06)</w:t>
      </w:r>
    </w:p>
    <w:p>
      <w:pPr>
        <w:spacing w:after="50"/>
        <w:ind w:left="173" w:hanging="173"/>
      </w:pPr>
      <w:r>
        <w:rPr>
          <w:rFonts w:ascii="DejaVu Sans" w:hAnsi="DejaVu Sans"/>
          <w:color w:val="0D6B68"/>
          <w:sz w:val="20"/>
        </w:rPr>
        <w:t xml:space="preserve">☐  </w:t>
      </w:r>
      <w:r>
        <w:rPr>
          <w:b/>
          <w:color w:val="0D6B68"/>
        </w:rPr>
        <w:t xml:space="preserve">[Prathyush] </w:t>
      </w:r>
      <w:r>
        <w:t>Create the frontend application shell, navigation or page structure, shared formatting helpers, and responsive layout.</w:t>
      </w:r>
      <w:r>
        <w:rPr>
          <w:i/>
          <w:color w:val="52616B"/>
          <w:sz w:val="16"/>
        </w:rPr>
        <w:t xml:space="preserve">  (FR-16)</w:t>
      </w:r>
    </w:p>
    <w:p>
      <w:pPr>
        <w:spacing w:after="50"/>
        <w:ind w:left="173" w:hanging="173"/>
      </w:pPr>
      <w:r>
        <w:rPr>
          <w:rFonts w:ascii="DejaVu Sans" w:hAnsi="DejaVu Sans"/>
          <w:color w:val="0D6B68"/>
          <w:sz w:val="20"/>
        </w:rPr>
        <w:t xml:space="preserve">☐  </w:t>
      </w:r>
      <w:r>
        <w:rPr>
          <w:b/>
          <w:color w:val="0D6B68"/>
        </w:rPr>
        <w:t xml:space="preserve">[Sumukh; Prathyush verify] </w:t>
      </w:r>
      <w:r>
        <w:t>Add example environment configuration without real secrets. Ignore local secret files in version control.</w:t>
      </w:r>
      <w:r>
        <w:rPr>
          <w:i/>
          <w:color w:val="52616B"/>
          <w:sz w:val="16"/>
        </w:rPr>
        <w:t xml:space="preserve">  (NFR-05)</w:t>
      </w:r>
    </w:p>
    <w:p>
      <w:pPr>
        <w:spacing w:after="50"/>
        <w:ind w:left="173" w:hanging="173"/>
      </w:pPr>
      <w:r>
        <w:rPr>
          <w:rFonts w:ascii="DejaVu Sans" w:hAnsi="DejaVu Sans"/>
          <w:color w:val="0D6B68"/>
          <w:sz w:val="20"/>
        </w:rPr>
        <w:t xml:space="preserve">☐  </w:t>
      </w:r>
      <w:r>
        <w:rPr>
          <w:b/>
          <w:color w:val="0D6B68"/>
        </w:rPr>
        <w:t xml:space="preserve">[Sumukh] </w:t>
      </w:r>
      <w:r>
        <w:t>Implement a small seeded-data endpoint that returns the agreed overview and stock contract.</w:t>
      </w:r>
      <w:r>
        <w:rPr>
          <w:i/>
          <w:color w:val="52616B"/>
          <w:sz w:val="16"/>
        </w:rPr>
        <w:t xml:space="preserve">  (FR-16)</w:t>
      </w:r>
    </w:p>
    <w:p>
      <w:pPr>
        <w:spacing w:after="50"/>
        <w:ind w:left="173" w:hanging="173"/>
      </w:pPr>
      <w:r>
        <w:rPr>
          <w:rFonts w:ascii="DejaVu Sans" w:hAnsi="DejaVu Sans"/>
          <w:color w:val="0D6B68"/>
          <w:sz w:val="20"/>
        </w:rPr>
        <w:t xml:space="preserve">☐  </w:t>
      </w:r>
      <w:r>
        <w:rPr>
          <w:b/>
          <w:color w:val="0D6B68"/>
        </w:rPr>
        <w:t xml:space="preserve">[Prathyush] </w:t>
      </w:r>
      <w:r>
        <w:t>Build the initial overview card and stock table from fixture data, with units and horizon visible.</w:t>
      </w:r>
      <w:r>
        <w:rPr>
          <w:i/>
          <w:color w:val="52616B"/>
          <w:sz w:val="16"/>
        </w:rPr>
        <w:t xml:space="preserve">  (NFR-01)</w:t>
      </w:r>
    </w:p>
    <w:p>
      <w:pPr>
        <w:spacing w:after="50"/>
        <w:ind w:left="173" w:hanging="173"/>
      </w:pPr>
      <w:r>
        <w:rPr>
          <w:rFonts w:ascii="DejaVu Sans" w:hAnsi="DejaVu Sans"/>
          <w:color w:val="0D6B68"/>
          <w:sz w:val="20"/>
        </w:rPr>
        <w:t xml:space="preserve">☐  </w:t>
      </w:r>
      <w:r>
        <w:rPr>
          <w:b/>
          <w:color w:val="0D6B68"/>
        </w:rPr>
        <w:t xml:space="preserve">[Prathyush; Sumukh supports] </w:t>
      </w:r>
      <w:r>
        <w:t>Wire the page to the seeded backend endpoint and handle loading, API failure, empty response, and stale response.</w:t>
      </w:r>
      <w:r>
        <w:rPr>
          <w:i/>
          <w:color w:val="52616B"/>
          <w:sz w:val="16"/>
        </w:rPr>
        <w:t xml:space="preserve">  (FR-17)</w:t>
      </w:r>
    </w:p>
    <w:p>
      <w:pPr>
        <w:spacing w:after="50"/>
        <w:ind w:left="173" w:hanging="173"/>
      </w:pPr>
      <w:r>
        <w:rPr>
          <w:rFonts w:ascii="DejaVu Sans" w:hAnsi="DejaVu Sans"/>
          <w:color w:val="0D6B68"/>
          <w:sz w:val="20"/>
        </w:rPr>
        <w:t xml:space="preserve">☐  </w:t>
      </w:r>
      <w:r>
        <w:rPr>
          <w:b/>
          <w:color w:val="0D6B68"/>
        </w:rPr>
        <w:t xml:space="preserve">[Shared] </w:t>
      </w:r>
      <w:r>
        <w:t>Add a local command or script that starts both applications using documented steps.</w:t>
      </w:r>
      <w:r>
        <w:rPr>
          <w:i/>
          <w:color w:val="52616B"/>
          <w:sz w:val="16"/>
        </w:rPr>
        <w:t xml:space="preserve">  (Acceptance)</w:t>
      </w:r>
    </w:p>
    <w:p>
      <w:pPr>
        <w:spacing w:after="50"/>
        <w:ind w:left="173" w:hanging="173"/>
      </w:pPr>
      <w:r>
        <w:rPr>
          <w:rFonts w:ascii="DejaVu Sans" w:hAnsi="DejaVu Sans"/>
          <w:color w:val="0D6B68"/>
          <w:sz w:val="20"/>
        </w:rPr>
        <w:t xml:space="preserve">☐  </w:t>
      </w:r>
      <w:r>
        <w:rPr>
          <w:b/>
          <w:color w:val="0D6B68"/>
        </w:rPr>
        <w:t xml:space="preserve">[Shared] </w:t>
      </w:r>
      <w:r>
        <w:t>Record the vertical-slice demo steps and confirm a new checkout can run them.</w:t>
      </w:r>
      <w:r>
        <w:rPr>
          <w:i/>
          <w:color w:val="52616B"/>
          <w:sz w:val="16"/>
        </w:rPr>
        <w:t xml:space="preserve">  (Acceptance)</w:t>
      </w:r>
    </w:p>
    <w:p>
      <w:pPr>
        <w:spacing w:before="80" w:after="160"/>
      </w:pPr>
      <w:r>
        <w:rPr>
          <w:b/>
          <w:color w:val="18324B"/>
        </w:rPr>
        <w:t xml:space="preserve">PHASE EXIT  </w:t>
      </w:r>
      <w:r>
        <w:t>A fresh local run shows a market estimate and stock estimates from the backend in the browser using the actual response contract.</w:t>
      </w:r>
    </w:p>
    <w:p>
      <w:pPr>
        <w:pStyle w:val="Heading1"/>
      </w:pPr>
      <w:r>
        <w:rPr>
          <w:color w:val="000000"/>
        </w:rPr>
        <w:t>Phase 4  Implement permitted data ingestion</w:t>
      </w:r>
    </w:p>
    <w:p>
      <w:pPr>
        <w:spacing w:after="100"/>
      </w:pPr>
      <w:r>
        <w:rPr>
          <w:b/>
          <w:color w:val="0D6B68"/>
        </w:rPr>
        <w:t xml:space="preserve">Purpose  </w:t>
      </w:r>
      <w:r>
        <w:t>Collect only data the project is allowed to use, preserve provenance, and keep provider problems visible.</w:t>
      </w:r>
    </w:p>
    <w:p>
      <w:pPr>
        <w:spacing w:after="50"/>
        <w:ind w:left="173" w:hanging="173"/>
      </w:pPr>
      <w:r>
        <w:rPr>
          <w:rFonts w:ascii="DejaVu Sans" w:hAnsi="DejaVu Sans"/>
          <w:color w:val="0D6B68"/>
          <w:sz w:val="20"/>
        </w:rPr>
        <w:t xml:space="preserve">☐  </w:t>
      </w:r>
      <w:r>
        <w:rPr>
          <w:b/>
          <w:color w:val="0D6B68"/>
        </w:rPr>
        <w:t xml:space="preserve">[Sumukh] </w:t>
      </w:r>
      <w:r>
        <w:t>Implement a price adapter for the index and every active watchlist asset. Retrieve daily OHLCV or, at minimum, adjusted close.</w:t>
      </w:r>
      <w:r>
        <w:rPr>
          <w:i/>
          <w:color w:val="52616B"/>
          <w:sz w:val="16"/>
        </w:rPr>
        <w:t xml:space="preserve">  (FR-03)</w:t>
      </w:r>
    </w:p>
    <w:p>
      <w:pPr>
        <w:spacing w:after="50"/>
        <w:ind w:left="173" w:hanging="173"/>
      </w:pPr>
      <w:r>
        <w:rPr>
          <w:rFonts w:ascii="DejaVu Sans" w:hAnsi="DejaVu Sans"/>
          <w:color w:val="0D6B68"/>
          <w:sz w:val="20"/>
        </w:rPr>
        <w:t xml:space="preserve">☐  </w:t>
      </w:r>
      <w:r>
        <w:rPr>
          <w:b/>
          <w:color w:val="0D6B68"/>
        </w:rPr>
        <w:t xml:space="preserve">[Sumukh] </w:t>
      </w:r>
      <w:r>
        <w:t>Store provider, retrieval timestamp, session date, raw close, adjusted close when available, and volume when supplied.</w:t>
      </w:r>
      <w:r>
        <w:rPr>
          <w:i/>
          <w:color w:val="52616B"/>
          <w:sz w:val="16"/>
        </w:rPr>
        <w:t xml:space="preserve">  (Data model)</w:t>
      </w:r>
    </w:p>
    <w:p>
      <w:pPr>
        <w:spacing w:after="50"/>
        <w:ind w:left="173" w:hanging="173"/>
      </w:pPr>
      <w:r>
        <w:rPr>
          <w:rFonts w:ascii="DejaVu Sans" w:hAnsi="DejaVu Sans"/>
          <w:color w:val="0D6B68"/>
          <w:sz w:val="20"/>
        </w:rPr>
        <w:t xml:space="preserve">☐  </w:t>
      </w:r>
      <w:r>
        <w:rPr>
          <w:b/>
          <w:color w:val="0D6B68"/>
        </w:rPr>
        <w:t xml:space="preserve">[Sumukh] </w:t>
      </w:r>
      <w:r>
        <w:t>Document the provider’s adjustment method and use adjusted close consistently where reliable. Do not silently mix adjusted and unadjusted prices.</w:t>
      </w:r>
      <w:r>
        <w:rPr>
          <w:i/>
          <w:color w:val="52616B"/>
          <w:sz w:val="16"/>
        </w:rPr>
        <w:t xml:space="preserve">  (Operating assumptions)</w:t>
      </w:r>
    </w:p>
    <w:p>
      <w:pPr>
        <w:spacing w:after="50"/>
        <w:ind w:left="173" w:hanging="173"/>
      </w:pPr>
      <w:r>
        <w:rPr>
          <w:rFonts w:ascii="DejaVu Sans" w:hAnsi="DejaVu Sans"/>
          <w:color w:val="0D6B68"/>
          <w:sz w:val="20"/>
        </w:rPr>
        <w:t xml:space="preserve">☐  </w:t>
      </w:r>
      <w:r>
        <w:rPr>
          <w:b/>
          <w:color w:val="0D6B68"/>
        </w:rPr>
        <w:t xml:space="preserve">[Sumukh] </w:t>
      </w:r>
      <w:r>
        <w:t>Implement a permitted news adapter that collects headline, source, URL or source ID, publication time, and provider ticker/entity tags when available.</w:t>
      </w:r>
      <w:r>
        <w:rPr>
          <w:i/>
          <w:color w:val="52616B"/>
          <w:sz w:val="16"/>
        </w:rPr>
        <w:t xml:space="preserve">  (FR-02)</w:t>
      </w:r>
    </w:p>
    <w:p>
      <w:pPr>
        <w:spacing w:after="50"/>
        <w:ind w:left="173" w:hanging="173"/>
      </w:pPr>
      <w:r>
        <w:rPr>
          <w:rFonts w:ascii="DejaVu Sans" w:hAnsi="DejaVu Sans"/>
          <w:color w:val="0D6B68"/>
          <w:sz w:val="20"/>
        </w:rPr>
        <w:t xml:space="preserve">☐  </w:t>
      </w:r>
      <w:r>
        <w:rPr>
          <w:b/>
          <w:color w:val="0D6B68"/>
        </w:rPr>
        <w:t xml:space="preserve">[Sumukh] </w:t>
      </w:r>
      <w:r>
        <w:t>Preserve both source/local timestamp context when known and normalized UTC publication time. Convert display times to the selected market timezone.</w:t>
      </w:r>
      <w:r>
        <w:rPr>
          <w:i/>
          <w:color w:val="52616B"/>
          <w:sz w:val="16"/>
        </w:rPr>
        <w:t xml:space="preserve">  (FR-02)</w:t>
      </w:r>
    </w:p>
    <w:p>
      <w:pPr>
        <w:spacing w:after="50"/>
        <w:ind w:left="173" w:hanging="173"/>
      </w:pPr>
      <w:r>
        <w:rPr>
          <w:rFonts w:ascii="DejaVu Sans" w:hAnsi="DejaVu Sans"/>
          <w:color w:val="0D6B68"/>
          <w:sz w:val="20"/>
        </w:rPr>
        <w:t xml:space="preserve">☐  </w:t>
      </w:r>
      <w:r>
        <w:rPr>
          <w:b/>
          <w:color w:val="0D6B68"/>
        </w:rPr>
        <w:t xml:space="preserve">[Sumukh] </w:t>
      </w:r>
      <w:r>
        <w:t>Retain full text only when the source terms permit it. Otherwise retain permitted headline/metadata and URL only.</w:t>
      </w:r>
      <w:r>
        <w:rPr>
          <w:i/>
          <w:color w:val="52616B"/>
          <w:sz w:val="16"/>
        </w:rPr>
        <w:t xml:space="preserve">  (Data requirements)</w:t>
      </w:r>
    </w:p>
    <w:p>
      <w:pPr>
        <w:spacing w:after="50"/>
        <w:ind w:left="173" w:hanging="173"/>
      </w:pPr>
      <w:r>
        <w:rPr>
          <w:rFonts w:ascii="DejaVu Sans" w:hAnsi="DejaVu Sans"/>
          <w:color w:val="0D6B68"/>
          <w:sz w:val="20"/>
        </w:rPr>
        <w:t xml:space="preserve">☐  </w:t>
      </w:r>
      <w:r>
        <w:rPr>
          <w:b/>
          <w:color w:val="0D6B68"/>
        </w:rPr>
        <w:t xml:space="preserve">[Sumukh] </w:t>
      </w:r>
      <w:r>
        <w:t>Add pagination, rate-limit handling, retries with bounded backoff, and provider error summaries that do not expose credentials.</w:t>
      </w:r>
      <w:r>
        <w:rPr>
          <w:i/>
          <w:color w:val="52616B"/>
          <w:sz w:val="16"/>
        </w:rPr>
        <w:t xml:space="preserve">  (NFR-03/05)</w:t>
      </w:r>
    </w:p>
    <w:p>
      <w:pPr>
        <w:spacing w:after="50"/>
        <w:ind w:left="173" w:hanging="173"/>
      </w:pPr>
      <w:r>
        <w:rPr>
          <w:rFonts w:ascii="DejaVu Sans" w:hAnsi="DejaVu Sans"/>
          <w:color w:val="0D6B68"/>
          <w:sz w:val="20"/>
        </w:rPr>
        <w:t xml:space="preserve">☐  </w:t>
      </w:r>
      <w:r>
        <w:rPr>
          <w:b/>
          <w:color w:val="0D6B68"/>
        </w:rPr>
        <w:t xml:space="preserve">[Sumukh] </w:t>
      </w:r>
      <w:r>
        <w:t>Prevent a failed provider fetch from deleting or overwriting the last successful records. Store run status and counts.</w:t>
      </w:r>
      <w:r>
        <w:rPr>
          <w:i/>
          <w:color w:val="52616B"/>
          <w:sz w:val="16"/>
        </w:rPr>
        <w:t xml:space="preserve">  (NFR-03)</w:t>
      </w:r>
    </w:p>
    <w:p>
      <w:pPr>
        <w:spacing w:after="50"/>
        <w:ind w:left="173" w:hanging="173"/>
      </w:pPr>
      <w:r>
        <w:rPr>
          <w:rFonts w:ascii="DejaVu Sans" w:hAnsi="DejaVu Sans"/>
          <w:color w:val="0D6B68"/>
          <w:sz w:val="20"/>
        </w:rPr>
        <w:t xml:space="preserve">☐  </w:t>
      </w:r>
      <w:r>
        <w:rPr>
          <w:b/>
          <w:color w:val="0D6B68"/>
        </w:rPr>
        <w:t xml:space="preserve">[Sumukh; Prathyush review frontend bundle] </w:t>
      </w:r>
      <w:r>
        <w:t>Create safe configuration for API keys and tokens outside source control and outside browser code.</w:t>
      </w:r>
      <w:r>
        <w:rPr>
          <w:i/>
          <w:color w:val="52616B"/>
          <w:sz w:val="16"/>
        </w:rPr>
        <w:t xml:space="preserve">  (NFR-05)</w:t>
      </w:r>
    </w:p>
    <w:p>
      <w:pPr>
        <w:spacing w:after="50"/>
        <w:ind w:left="173" w:hanging="173"/>
      </w:pPr>
      <w:r>
        <w:rPr>
          <w:rFonts w:ascii="DejaVu Sans" w:hAnsi="DejaVu Sans"/>
          <w:color w:val="0D6B68"/>
          <w:sz w:val="20"/>
        </w:rPr>
        <w:t xml:space="preserve">☐  </w:t>
      </w:r>
      <w:r>
        <w:rPr>
          <w:b/>
          <w:color w:val="0D6B68"/>
        </w:rPr>
        <w:t xml:space="preserve">[Sumukh; Prathyush test] </w:t>
      </w:r>
      <w:r>
        <w:t>Add a documented sample/historical dataset path so the prototype remains demoable if live providers are unavailable.</w:t>
      </w:r>
      <w:r>
        <w:rPr>
          <w:i/>
          <w:color w:val="52616B"/>
          <w:sz w:val="16"/>
        </w:rPr>
        <w:t xml:space="preserve">  (Acceptance)</w:t>
      </w:r>
    </w:p>
    <w:p>
      <w:pPr>
        <w:spacing w:after="50"/>
        <w:ind w:left="173" w:hanging="173"/>
      </w:pPr>
      <w:r>
        <w:rPr>
          <w:rFonts w:ascii="DejaVu Sans" w:hAnsi="DejaVu Sans"/>
          <w:color w:val="0D6B68"/>
          <w:sz w:val="20"/>
        </w:rPr>
        <w:t xml:space="preserve">☐  </w:t>
      </w:r>
      <w:r>
        <w:rPr>
          <w:b/>
          <w:color w:val="0D6B68"/>
        </w:rPr>
        <w:t xml:space="preserve">[Sumukh] </w:t>
      </w:r>
      <w:r>
        <w:t>Add ingestion tests for provider success, empty results, malformed records, timeout/rate limit, and safe failure handling.</w:t>
      </w:r>
      <w:r>
        <w:rPr>
          <w:i/>
          <w:color w:val="52616B"/>
          <w:sz w:val="16"/>
        </w:rPr>
        <w:t xml:space="preserve">  (Test plan)</w:t>
      </w:r>
    </w:p>
    <w:p>
      <w:pPr>
        <w:spacing w:before="80" w:after="160"/>
      </w:pPr>
      <w:r>
        <w:rPr>
          <w:b/>
          <w:color w:val="18324B"/>
        </w:rPr>
        <w:t xml:space="preserve">PHASE EXIT  </w:t>
      </w:r>
      <w:r>
        <w:t>The pipeline can load permitted data or the documented sample set, records provenance, and keeps previous successful data when a provider fails.</w:t>
      </w:r>
    </w:p>
    <w:p>
      <w:pPr>
        <w:pStyle w:val="Heading1"/>
      </w:pPr>
      <w:r>
        <w:rPr>
          <w:color w:val="000000"/>
        </w:rPr>
        <w:t>Phase 5  Normalize, deduplicate, and link news</w:t>
      </w:r>
    </w:p>
    <w:p>
      <w:pPr>
        <w:spacing w:after="100"/>
      </w:pPr>
      <w:r>
        <w:rPr>
          <w:b/>
          <w:color w:val="0D6B68"/>
        </w:rPr>
        <w:t xml:space="preserve">Purpose  </w:t>
      </w:r>
      <w:r>
        <w:t>Make each article’s identity, time, and relevance inspectable before calculating sentiment.</w:t>
      </w:r>
    </w:p>
    <w:p>
      <w:pPr>
        <w:spacing w:after="50"/>
        <w:ind w:left="173" w:hanging="173"/>
      </w:pPr>
      <w:r>
        <w:rPr>
          <w:rFonts w:ascii="DejaVu Sans" w:hAnsi="DejaVu Sans"/>
          <w:color w:val="0D6B68"/>
          <w:sz w:val="20"/>
        </w:rPr>
        <w:t xml:space="preserve">☐  </w:t>
      </w:r>
      <w:r>
        <w:rPr>
          <w:b/>
          <w:color w:val="0D6B68"/>
        </w:rPr>
        <w:t xml:space="preserve">[Sumukh] </w:t>
      </w:r>
      <w:r>
        <w:t>Normalize provider records to one internal schema and validate required fields before persistence.</w:t>
      </w:r>
      <w:r>
        <w:rPr>
          <w:i/>
          <w:color w:val="52616B"/>
          <w:sz w:val="16"/>
        </w:rPr>
        <w:t xml:space="preserve">  (FR-02)</w:t>
      </w:r>
    </w:p>
    <w:p>
      <w:pPr>
        <w:spacing w:after="50"/>
        <w:ind w:left="173" w:hanging="173"/>
      </w:pPr>
      <w:r>
        <w:rPr>
          <w:rFonts w:ascii="DejaVu Sans" w:hAnsi="DejaVu Sans"/>
          <w:color w:val="0D6B68"/>
          <w:sz w:val="20"/>
        </w:rPr>
        <w:t xml:space="preserve">☐  </w:t>
      </w:r>
      <w:r>
        <w:rPr>
          <w:b/>
          <w:color w:val="0D6B68"/>
        </w:rPr>
        <w:t xml:space="preserve">[Sumukh] </w:t>
      </w:r>
      <w:r>
        <w:t>Deduplicate by provider source ID when present; otherwise normalize URL and avoid counting the same story twice.</w:t>
      </w:r>
      <w:r>
        <w:rPr>
          <w:i/>
          <w:color w:val="52616B"/>
          <w:sz w:val="16"/>
        </w:rPr>
        <w:t xml:space="preserve">  (FR-04)</w:t>
      </w:r>
    </w:p>
    <w:p>
      <w:pPr>
        <w:spacing w:after="50"/>
        <w:ind w:left="173" w:hanging="173"/>
      </w:pPr>
      <w:r>
        <w:rPr>
          <w:rFonts w:ascii="DejaVu Sans" w:hAnsi="DejaVu Sans"/>
          <w:color w:val="0D6B68"/>
          <w:sz w:val="20"/>
        </w:rPr>
        <w:t xml:space="preserve">☐  </w:t>
      </w:r>
      <w:r>
        <w:rPr>
          <w:b/>
          <w:color w:val="0D6B68"/>
        </w:rPr>
        <w:t xml:space="preserve">[Sumukh] </w:t>
      </w:r>
      <w:r>
        <w:t>Normalize whitespace/case and handle URL tracking parameters for duplicate matching without discarding the original URL.</w:t>
      </w:r>
      <w:r>
        <w:rPr>
          <w:i/>
          <w:color w:val="52616B"/>
          <w:sz w:val="16"/>
        </w:rPr>
        <w:t xml:space="preserve">  (FR-04)</w:t>
      </w:r>
    </w:p>
    <w:p>
      <w:pPr>
        <w:spacing w:after="50"/>
        <w:ind w:left="173" w:hanging="173"/>
      </w:pPr>
      <w:r>
        <w:rPr>
          <w:rFonts w:ascii="DejaVu Sans" w:hAnsi="DejaVu Sans"/>
          <w:color w:val="0D6B68"/>
          <w:sz w:val="20"/>
        </w:rPr>
        <w:t xml:space="preserve">☐  </w:t>
      </w:r>
      <w:r>
        <w:rPr>
          <w:b/>
          <w:color w:val="0D6B68"/>
        </w:rPr>
        <w:t xml:space="preserve">[Sumukh] </w:t>
      </w:r>
      <w:r>
        <w:t>Link articles using trusted provider tags and/or company-name and ticker matching. Store which method linked each asset.</w:t>
      </w:r>
      <w:r>
        <w:rPr>
          <w:i/>
          <w:color w:val="52616B"/>
          <w:sz w:val="16"/>
        </w:rPr>
        <w:t xml:space="preserve">  (FR-05)</w:t>
      </w:r>
    </w:p>
    <w:p>
      <w:pPr>
        <w:spacing w:after="50"/>
        <w:ind w:left="173" w:hanging="173"/>
      </w:pPr>
      <w:r>
        <w:rPr>
          <w:rFonts w:ascii="DejaVu Sans" w:hAnsi="DejaVu Sans"/>
          <w:color w:val="0D6B68"/>
          <w:sz w:val="20"/>
        </w:rPr>
        <w:t xml:space="preserve">☐  </w:t>
      </w:r>
      <w:r>
        <w:rPr>
          <w:b/>
          <w:color w:val="0D6B68"/>
        </w:rPr>
        <w:t xml:space="preserve">[Sumukh] </w:t>
      </w:r>
      <w:r>
        <w:t>Mark ambiguous matches for review or exclude them from per-stock sentiment aggregation. Do not force uncertain matches.</w:t>
      </w:r>
      <w:r>
        <w:rPr>
          <w:i/>
          <w:color w:val="52616B"/>
          <w:sz w:val="16"/>
        </w:rPr>
        <w:t xml:space="preserve">  (FR-05)</w:t>
      </w:r>
    </w:p>
    <w:p>
      <w:pPr>
        <w:spacing w:after="50"/>
        <w:ind w:left="173" w:hanging="173"/>
      </w:pPr>
      <w:r>
        <w:rPr>
          <w:rFonts w:ascii="DejaVu Sans" w:hAnsi="DejaVu Sans"/>
          <w:color w:val="0D6B68"/>
          <w:sz w:val="20"/>
        </w:rPr>
        <w:t xml:space="preserve">☐  </w:t>
      </w:r>
      <w:r>
        <w:rPr>
          <w:b/>
          <w:color w:val="0D6B68"/>
        </w:rPr>
        <w:t xml:space="preserve">[Sumukh] </w:t>
      </w:r>
      <w:r>
        <w:t>Keep article-to-asset links many-to-many when one story concerns multiple watchlist companies.</w:t>
      </w:r>
      <w:r>
        <w:rPr>
          <w:i/>
          <w:color w:val="52616B"/>
          <w:sz w:val="16"/>
        </w:rPr>
        <w:t xml:space="preserve">  (Data model)</w:t>
      </w:r>
    </w:p>
    <w:p>
      <w:pPr>
        <w:spacing w:after="50"/>
        <w:ind w:left="173" w:hanging="173"/>
      </w:pPr>
      <w:r>
        <w:rPr>
          <w:rFonts w:ascii="DejaVu Sans" w:hAnsi="DejaVu Sans"/>
          <w:color w:val="0D6B68"/>
          <w:sz w:val="20"/>
        </w:rPr>
        <w:t xml:space="preserve">☐  </w:t>
      </w:r>
      <w:r>
        <w:rPr>
          <w:b/>
          <w:color w:val="0D6B68"/>
        </w:rPr>
        <w:t xml:space="preserve">[Sumukh] </w:t>
      </w:r>
      <w:r>
        <w:t>Enforce cutoff filtering using published_at, not ingested_at. Exclude articles published after the prediction cutoff.</w:t>
      </w:r>
      <w:r>
        <w:rPr>
          <w:i/>
          <w:color w:val="52616B"/>
          <w:sz w:val="16"/>
        </w:rPr>
        <w:t xml:space="preserve">  (No look-ahead)</w:t>
      </w:r>
    </w:p>
    <w:p>
      <w:pPr>
        <w:spacing w:after="50"/>
        <w:ind w:left="173" w:hanging="173"/>
      </w:pPr>
      <w:r>
        <w:rPr>
          <w:rFonts w:ascii="DejaVu Sans" w:hAnsi="DejaVu Sans"/>
          <w:color w:val="0D6B68"/>
          <w:sz w:val="20"/>
        </w:rPr>
        <w:t xml:space="preserve">☐  </w:t>
      </w:r>
      <w:r>
        <w:rPr>
          <w:b/>
          <w:color w:val="0D6B68"/>
        </w:rPr>
        <w:t xml:space="preserve">[Sumukh] </w:t>
      </w:r>
      <w:r>
        <w:t>Test duplicate links, ambiguous company names, missing publication times, different timezones, and after-cutoff articles.</w:t>
      </w:r>
      <w:r>
        <w:rPr>
          <w:i/>
          <w:color w:val="52616B"/>
          <w:sz w:val="16"/>
        </w:rPr>
        <w:t xml:space="preserve">  (Data quality)</w:t>
      </w:r>
    </w:p>
    <w:p>
      <w:pPr>
        <w:spacing w:before="80" w:after="160"/>
      </w:pPr>
      <w:r>
        <w:rPr>
          <w:b/>
          <w:color w:val="18324B"/>
        </w:rPr>
        <w:t xml:space="preserve">PHASE EXIT  </w:t>
      </w:r>
      <w:r>
        <w:t>A reviewer can inspect why an article was included or excluded for an asset and verify that it was available before the recorded cutoff.</w:t>
      </w:r>
    </w:p>
    <w:p>
      <w:pPr>
        <w:pStyle w:val="Heading1"/>
      </w:pPr>
      <w:r>
        <w:rPr>
          <w:color w:val="000000"/>
        </w:rPr>
        <w:t>Phase 6  Score sentiment and build features</w:t>
      </w:r>
    </w:p>
    <w:p>
      <w:pPr>
        <w:spacing w:after="100"/>
      </w:pPr>
      <w:r>
        <w:rPr>
          <w:b/>
          <w:color w:val="0D6B68"/>
        </w:rPr>
        <w:t xml:space="preserve">Purpose  </w:t>
      </w:r>
      <w:r>
        <w:t>Produce reproducible daily features from information available at prediction time.</w:t>
      </w:r>
    </w:p>
    <w:p>
      <w:pPr>
        <w:spacing w:after="50"/>
        <w:ind w:left="173" w:hanging="173"/>
      </w:pPr>
      <w:r>
        <w:rPr>
          <w:rFonts w:ascii="DejaVu Sans" w:hAnsi="DejaVu Sans"/>
          <w:color w:val="0D6B68"/>
          <w:sz w:val="20"/>
        </w:rPr>
        <w:t xml:space="preserve">☐  </w:t>
      </w:r>
      <w:r>
        <w:rPr>
          <w:b/>
          <w:color w:val="0D6B68"/>
        </w:rPr>
        <w:t xml:space="preserve">[Sumukh; Prathyush review wording] </w:t>
      </w:r>
      <w:r>
        <w:t>Choose and document a sentiment method/model suitable for headlines. Record name, version, classes, score meaning, and known limitations.</w:t>
      </w:r>
      <w:r>
        <w:rPr>
          <w:i/>
          <w:color w:val="52616B"/>
          <w:sz w:val="16"/>
        </w:rPr>
        <w:t xml:space="preserve">  (FR-06)</w:t>
      </w:r>
    </w:p>
    <w:p>
      <w:pPr>
        <w:spacing w:after="50"/>
        <w:ind w:left="173" w:hanging="173"/>
      </w:pPr>
      <w:r>
        <w:rPr>
          <w:rFonts w:ascii="DejaVu Sans" w:hAnsi="DejaVu Sans"/>
          <w:color w:val="0D6B68"/>
          <w:sz w:val="20"/>
        </w:rPr>
        <w:t xml:space="preserve">☐  </w:t>
      </w:r>
      <w:r>
        <w:rPr>
          <w:b/>
          <w:color w:val="0D6B68"/>
        </w:rPr>
        <w:t xml:space="preserve">[Sumukh] </w:t>
      </w:r>
      <w:r>
        <w:t>Store each eligible headline’s positive/neutral/negative label or score, model/version, and processing time.</w:t>
      </w:r>
      <w:r>
        <w:rPr>
          <w:i/>
          <w:color w:val="52616B"/>
          <w:sz w:val="16"/>
        </w:rPr>
        <w:t xml:space="preserve">  (FR-06)</w:t>
      </w:r>
    </w:p>
    <w:p>
      <w:pPr>
        <w:spacing w:after="50"/>
        <w:ind w:left="173" w:hanging="173"/>
      </w:pPr>
      <w:r>
        <w:rPr>
          <w:rFonts w:ascii="DejaVu Sans" w:hAnsi="DejaVu Sans"/>
          <w:color w:val="0D6B68"/>
          <w:sz w:val="20"/>
        </w:rPr>
        <w:t xml:space="preserve">☐  </w:t>
      </w:r>
      <w:r>
        <w:rPr>
          <w:b/>
          <w:color w:val="0D6B68"/>
        </w:rPr>
        <w:t xml:space="preserve">[Sumukh] </w:t>
      </w:r>
      <w:r>
        <w:t>Define deterministic handling for neutral, missing, and low-confidence sentiment outputs.</w:t>
      </w:r>
      <w:r>
        <w:rPr>
          <w:i/>
          <w:color w:val="52616B"/>
          <w:sz w:val="16"/>
        </w:rPr>
        <w:t xml:space="preserve">  (FR-06)</w:t>
      </w:r>
    </w:p>
    <w:p>
      <w:pPr>
        <w:spacing w:after="50"/>
        <w:ind w:left="173" w:hanging="173"/>
      </w:pPr>
      <w:r>
        <w:rPr>
          <w:rFonts w:ascii="DejaVu Sans" w:hAnsi="DejaVu Sans"/>
          <w:color w:val="0D6B68"/>
          <w:sz w:val="20"/>
        </w:rPr>
        <w:t xml:space="preserve">☐  </w:t>
      </w:r>
      <w:r>
        <w:rPr>
          <w:b/>
          <w:color w:val="0D6B68"/>
        </w:rPr>
        <w:t xml:space="preserve">[Sumukh] </w:t>
      </w:r>
      <w:r>
        <w:t>Aggregate by asset and prediction window: eligible article count and mean sentiment; include positive and negative counts.</w:t>
      </w:r>
      <w:r>
        <w:rPr>
          <w:i/>
          <w:color w:val="52616B"/>
          <w:sz w:val="16"/>
        </w:rPr>
        <w:t xml:space="preserve">  (FR-07)</w:t>
      </w:r>
    </w:p>
    <w:p>
      <w:pPr>
        <w:spacing w:after="50"/>
        <w:ind w:left="173" w:hanging="173"/>
      </w:pPr>
      <w:r>
        <w:rPr>
          <w:rFonts w:ascii="DejaVu Sans" w:hAnsi="DejaVu Sans"/>
          <w:color w:val="0D6B68"/>
          <w:sz w:val="20"/>
        </w:rPr>
        <w:t xml:space="preserve">☐  </w:t>
      </w:r>
      <w:r>
        <w:rPr>
          <w:b/>
          <w:color w:val="0D6B68"/>
        </w:rPr>
        <w:t xml:space="preserve">[Sumukh] </w:t>
      </w:r>
      <w:r>
        <w:t>If using recency weighting, define the formula and window; ensure the weights use only pre-cutoff publication times.</w:t>
      </w:r>
      <w:r>
        <w:rPr>
          <w:i/>
          <w:color w:val="52616B"/>
          <w:sz w:val="16"/>
        </w:rPr>
        <w:t xml:space="preserve">  (FR-07)</w:t>
      </w:r>
    </w:p>
    <w:p>
      <w:pPr>
        <w:spacing w:after="50"/>
        <w:ind w:left="173" w:hanging="173"/>
      </w:pPr>
      <w:r>
        <w:rPr>
          <w:rFonts w:ascii="DejaVu Sans" w:hAnsi="DejaVu Sans"/>
          <w:color w:val="0D6B68"/>
          <w:sz w:val="20"/>
        </w:rPr>
        <w:t xml:space="preserve">☐  </w:t>
      </w:r>
      <w:r>
        <w:rPr>
          <w:b/>
          <w:color w:val="0D6B68"/>
        </w:rPr>
        <w:t xml:space="preserve">[Sumukh] </w:t>
      </w:r>
      <w:r>
        <w:t>Calculate recent return features for each stock and index from price data available by cutoff.</w:t>
      </w:r>
      <w:r>
        <w:rPr>
          <w:i/>
          <w:color w:val="52616B"/>
          <w:sz w:val="16"/>
        </w:rPr>
        <w:t xml:space="preserve">  (FR-08)</w:t>
      </w:r>
    </w:p>
    <w:p>
      <w:pPr>
        <w:spacing w:after="50"/>
        <w:ind w:left="173" w:hanging="173"/>
      </w:pPr>
      <w:r>
        <w:rPr>
          <w:rFonts w:ascii="DejaVu Sans" w:hAnsi="DejaVu Sans"/>
          <w:color w:val="0D6B68"/>
          <w:sz w:val="20"/>
        </w:rPr>
        <w:t xml:space="preserve">☐  </w:t>
      </w:r>
      <w:r>
        <w:rPr>
          <w:b/>
          <w:color w:val="0D6B68"/>
        </w:rPr>
        <w:t xml:space="preserve">[Sumukh] </w:t>
      </w:r>
      <w:r>
        <w:t>Create a feature snapshot or reproducible feature reference for each prediction so inputs can be audited later.</w:t>
      </w:r>
      <w:r>
        <w:rPr>
          <w:i/>
          <w:color w:val="52616B"/>
          <w:sz w:val="16"/>
        </w:rPr>
        <w:t xml:space="preserve">  (FR-13/NFR-04)</w:t>
      </w:r>
    </w:p>
    <w:p>
      <w:pPr>
        <w:spacing w:after="50"/>
        <w:ind w:left="173" w:hanging="173"/>
      </w:pPr>
      <w:r>
        <w:rPr>
          <w:rFonts w:ascii="DejaVu Sans" w:hAnsi="DejaVu Sans"/>
          <w:color w:val="0D6B68"/>
          <w:sz w:val="20"/>
        </w:rPr>
        <w:t xml:space="preserve">☐  </w:t>
      </w:r>
      <w:r>
        <w:rPr>
          <w:b/>
          <w:color w:val="0D6B68"/>
        </w:rPr>
        <w:t xml:space="preserve">[Sumukh] </w:t>
      </w:r>
      <w:r>
        <w:t>Test sentiment aggregation by hand on a tiny known set, including zero articles and duplicate articles.</w:t>
      </w:r>
      <w:r>
        <w:rPr>
          <w:i/>
          <w:color w:val="52616B"/>
          <w:sz w:val="16"/>
        </w:rPr>
        <w:t xml:space="preserve">  (Unit tests)</w:t>
      </w:r>
    </w:p>
    <w:p>
      <w:pPr>
        <w:spacing w:after="50"/>
        <w:ind w:left="173" w:hanging="173"/>
      </w:pPr>
      <w:r>
        <w:rPr>
          <w:rFonts w:ascii="DejaVu Sans" w:hAnsi="DejaVu Sans"/>
          <w:color w:val="0D6B68"/>
          <w:sz w:val="20"/>
        </w:rPr>
        <w:t xml:space="preserve">☐  </w:t>
      </w:r>
      <w:r>
        <w:rPr>
          <w:b/>
          <w:color w:val="0D6B68"/>
        </w:rPr>
        <w:t xml:space="preserve">[Sumukh; Prathyush review] </w:t>
      </w:r>
      <w:r>
        <w:t>Expose enough headline evidence and source/time metadata for the UI to explain a signal without overclaiming causality.</w:t>
      </w:r>
      <w:r>
        <w:rPr>
          <w:i/>
          <w:color w:val="52616B"/>
          <w:sz w:val="16"/>
        </w:rPr>
        <w:t xml:space="preserve">  (FR-12/16)</w:t>
      </w:r>
    </w:p>
    <w:p>
      <w:pPr>
        <w:spacing w:before="80" w:after="160"/>
      </w:pPr>
      <w:r>
        <w:rPr>
          <w:b/>
          <w:color w:val="18324B"/>
        </w:rPr>
        <w:t xml:space="preserve">PHASE EXIT  </w:t>
      </w:r>
      <w:r>
        <w:t>Given the same stored input records and code/model versions, the pipeline recreates the same feature values within documented tolerance.</w:t>
      </w:r>
    </w:p>
    <w:p>
      <w:pPr>
        <w:pStyle w:val="Heading1"/>
      </w:pPr>
      <w:r>
        <w:rPr>
          <w:color w:val="000000"/>
        </w:rPr>
        <w:t>Phase 7  Train, predict, and evaluate honestly</w:t>
      </w:r>
    </w:p>
    <w:p>
      <w:pPr>
        <w:spacing w:after="100"/>
      </w:pPr>
      <w:r>
        <w:rPr>
          <w:b/>
          <w:color w:val="0D6B68"/>
        </w:rPr>
        <w:t xml:space="preserve">Purpose  </w:t>
      </w:r>
      <w:r>
        <w:t>Generate numeric estimates and demonstrate whether news improves on the price-only model without leaking future data.</w:t>
      </w:r>
    </w:p>
    <w:p>
      <w:pPr>
        <w:spacing w:after="50"/>
        <w:ind w:left="173" w:hanging="173"/>
      </w:pPr>
      <w:r>
        <w:rPr>
          <w:rFonts w:ascii="DejaVu Sans" w:hAnsi="DejaVu Sans"/>
          <w:color w:val="0D6B68"/>
          <w:sz w:val="20"/>
        </w:rPr>
        <w:t xml:space="preserve">☐  </w:t>
      </w:r>
      <w:r>
        <w:rPr>
          <w:b/>
          <w:color w:val="0D6B68"/>
        </w:rPr>
        <w:t xml:space="preserve">[Sumukh] </w:t>
      </w:r>
      <w:r>
        <w:t>Implement and record a simple price-only baseline first, such as zero-change or a simple regression on recent returns.</w:t>
      </w:r>
      <w:r>
        <w:rPr>
          <w:i/>
          <w:color w:val="52616B"/>
          <w:sz w:val="16"/>
        </w:rPr>
        <w:t xml:space="preserve">  (FR-09/4.3)</w:t>
      </w:r>
    </w:p>
    <w:p>
      <w:pPr>
        <w:spacing w:after="50"/>
        <w:ind w:left="173" w:hanging="173"/>
      </w:pPr>
      <w:r>
        <w:rPr>
          <w:rFonts w:ascii="DejaVu Sans" w:hAnsi="DejaVu Sans"/>
          <w:color w:val="0D6B68"/>
          <w:sz w:val="20"/>
        </w:rPr>
        <w:t xml:space="preserve">☐  </w:t>
      </w:r>
      <w:r>
        <w:rPr>
          <w:b/>
          <w:color w:val="0D6B68"/>
        </w:rPr>
        <w:t xml:space="preserve">[Sumukh] </w:t>
      </w:r>
      <w:r>
        <w:t>Implement a comparable news-aware regression model using the same target and chronological partitions plus news features.</w:t>
      </w:r>
      <w:r>
        <w:rPr>
          <w:i/>
          <w:color w:val="52616B"/>
          <w:sz w:val="16"/>
        </w:rPr>
        <w:t xml:space="preserve">  (FR-10)</w:t>
      </w:r>
    </w:p>
    <w:p>
      <w:pPr>
        <w:spacing w:after="50"/>
        <w:ind w:left="173" w:hanging="173"/>
      </w:pPr>
      <w:r>
        <w:rPr>
          <w:rFonts w:ascii="DejaVu Sans" w:hAnsi="DejaVu Sans"/>
          <w:color w:val="0D6B68"/>
          <w:sz w:val="20"/>
        </w:rPr>
        <w:t xml:space="preserve">☐  </w:t>
      </w:r>
      <w:r>
        <w:rPr>
          <w:b/>
          <w:color w:val="0D6B68"/>
        </w:rPr>
        <w:t xml:space="preserve">[Sumukh] </w:t>
      </w:r>
      <w:r>
        <w:t>Start with an interpretable model such as regularized linear regression or a simple tree-based regressor before trying complex models.</w:t>
      </w:r>
      <w:r>
        <w:rPr>
          <w:i/>
          <w:color w:val="52616B"/>
          <w:sz w:val="16"/>
        </w:rPr>
        <w:t xml:space="preserve">  (4.3)</w:t>
      </w:r>
    </w:p>
    <w:p>
      <w:pPr>
        <w:spacing w:after="50"/>
        <w:ind w:left="173" w:hanging="173"/>
      </w:pPr>
      <w:r>
        <w:rPr>
          <w:rFonts w:ascii="DejaVu Sans" w:hAnsi="DejaVu Sans"/>
          <w:color w:val="0D6B68"/>
          <w:sz w:val="20"/>
        </w:rPr>
        <w:t xml:space="preserve">☐  </w:t>
      </w:r>
      <w:r>
        <w:rPr>
          <w:b/>
          <w:color w:val="0D6B68"/>
        </w:rPr>
        <w:t xml:space="preserve">[Sumukh] </w:t>
      </w:r>
      <w:r>
        <w:t>Split rows chronologically into train, validation, and held-out test periods. Never shuffle time-series rows randomly.</w:t>
      </w:r>
      <w:r>
        <w:rPr>
          <w:i/>
          <w:color w:val="52616B"/>
          <w:sz w:val="16"/>
        </w:rPr>
        <w:t xml:space="preserve">  (4.3)</w:t>
      </w:r>
    </w:p>
    <w:p>
      <w:pPr>
        <w:spacing w:after="50"/>
        <w:ind w:left="173" w:hanging="173"/>
      </w:pPr>
      <w:r>
        <w:rPr>
          <w:rFonts w:ascii="DejaVu Sans" w:hAnsi="DejaVu Sans"/>
          <w:color w:val="0D6B68"/>
          <w:sz w:val="20"/>
        </w:rPr>
        <w:t xml:space="preserve">☐  </w:t>
      </w:r>
      <w:r>
        <w:rPr>
          <w:b/>
          <w:color w:val="0D6B68"/>
        </w:rPr>
        <w:t xml:space="preserve">[Sumukh] </w:t>
      </w:r>
      <w:r>
        <w:t>Tune only on train/validation data and freeze the final test period until final reporting.</w:t>
      </w:r>
      <w:r>
        <w:rPr>
          <w:i/>
          <w:color w:val="52616B"/>
          <w:sz w:val="16"/>
        </w:rPr>
        <w:t xml:space="preserve">  (4.3)</w:t>
      </w:r>
    </w:p>
    <w:p>
      <w:pPr>
        <w:spacing w:after="50"/>
        <w:ind w:left="173" w:hanging="173"/>
      </w:pPr>
      <w:r>
        <w:rPr>
          <w:rFonts w:ascii="DejaVu Sans" w:hAnsi="DejaVu Sans"/>
          <w:color w:val="0D6B68"/>
          <w:sz w:val="20"/>
        </w:rPr>
        <w:t xml:space="preserve">☐  </w:t>
      </w:r>
      <w:r>
        <w:rPr>
          <w:b/>
          <w:color w:val="0D6B68"/>
        </w:rPr>
        <w:t xml:space="preserve">[Sumukh] </w:t>
      </w:r>
      <w:r>
        <w:t>Ensure each feature existed by cutoff; assert timestamps and fail the run when a feature is from the future.</w:t>
      </w:r>
      <w:r>
        <w:rPr>
          <w:i/>
          <w:color w:val="52616B"/>
          <w:sz w:val="16"/>
        </w:rPr>
        <w:t xml:space="preserve">  (No look-ahead)</w:t>
      </w:r>
    </w:p>
    <w:p>
      <w:pPr>
        <w:spacing w:after="50"/>
        <w:ind w:left="173" w:hanging="173"/>
      </w:pPr>
      <w:r>
        <w:rPr>
          <w:rFonts w:ascii="DejaVu Sans" w:hAnsi="DejaVu Sans"/>
          <w:color w:val="0D6B68"/>
          <w:sz w:val="20"/>
        </w:rPr>
        <w:t xml:space="preserve">☐  </w:t>
      </w:r>
      <w:r>
        <w:rPr>
          <w:b/>
          <w:color w:val="0D6B68"/>
        </w:rPr>
        <w:t xml:space="preserve">[Sumukh] </w:t>
      </w:r>
      <w:r>
        <w:t>Use identical prediction dates and eligible assets for baseline and news model comparisons; report exclusions and sample counts.</w:t>
      </w:r>
      <w:r>
        <w:rPr>
          <w:i/>
          <w:color w:val="52616B"/>
          <w:sz w:val="16"/>
        </w:rPr>
        <w:t xml:space="preserve">  (FR-15)</w:t>
      </w:r>
    </w:p>
    <w:p>
      <w:pPr>
        <w:spacing w:after="50"/>
        <w:ind w:left="173" w:hanging="173"/>
      </w:pPr>
      <w:r>
        <w:rPr>
          <w:rFonts w:ascii="DejaVu Sans" w:hAnsi="DejaVu Sans"/>
          <w:color w:val="0D6B68"/>
          <w:sz w:val="20"/>
        </w:rPr>
        <w:t xml:space="preserve">☐  </w:t>
      </w:r>
      <w:r>
        <w:rPr>
          <w:b/>
          <w:color w:val="0D6B68"/>
        </w:rPr>
        <w:t xml:space="preserve">[Sumukh] </w:t>
      </w:r>
      <w:r>
        <w:t>Calculate MAE as mean absolute difference between estimate and actual, in percentage points.</w:t>
      </w:r>
      <w:r>
        <w:rPr>
          <w:i/>
          <w:color w:val="52616B"/>
          <w:sz w:val="16"/>
        </w:rPr>
        <w:t xml:space="preserve">  (FR-15)</w:t>
      </w:r>
    </w:p>
    <w:p>
      <w:pPr>
        <w:spacing w:after="50"/>
        <w:ind w:left="173" w:hanging="173"/>
      </w:pPr>
      <w:r>
        <w:rPr>
          <w:rFonts w:ascii="DejaVu Sans" w:hAnsi="DejaVu Sans"/>
          <w:color w:val="0D6B68"/>
          <w:sz w:val="20"/>
        </w:rPr>
        <w:t xml:space="preserve">☐  </w:t>
      </w:r>
      <w:r>
        <w:rPr>
          <w:b/>
          <w:color w:val="0D6B68"/>
        </w:rPr>
        <w:t xml:space="preserve">[Sumukh] </w:t>
      </w:r>
      <w:r>
        <w:t>Calculate directional accuracy as estimated sign matching actual sign, with zero treated as neutral.</w:t>
      </w:r>
      <w:r>
        <w:rPr>
          <w:i/>
          <w:color w:val="52616B"/>
          <w:sz w:val="16"/>
        </w:rPr>
        <w:t xml:space="preserve">  (4.4)</w:t>
      </w:r>
    </w:p>
    <w:p>
      <w:pPr>
        <w:spacing w:after="50"/>
        <w:ind w:left="173" w:hanging="173"/>
      </w:pPr>
      <w:r>
        <w:rPr>
          <w:rFonts w:ascii="DejaVu Sans" w:hAnsi="DejaVu Sans"/>
          <w:color w:val="0D6B68"/>
          <w:sz w:val="20"/>
        </w:rPr>
        <w:t xml:space="preserve">☐  </w:t>
      </w:r>
      <w:r>
        <w:rPr>
          <w:b/>
          <w:color w:val="0D6B68"/>
        </w:rPr>
        <w:t xml:space="preserve">[Sumukh; Prathyush review labels] </w:t>
      </w:r>
      <w:r>
        <w:t>Report metric definitions, date range, sample count, target, model names/versions, and baseline comparison.</w:t>
      </w:r>
      <w:r>
        <w:rPr>
          <w:i/>
          <w:color w:val="52616B"/>
          <w:sz w:val="16"/>
        </w:rPr>
        <w:t xml:space="preserve">  (FR-15)</w:t>
      </w:r>
    </w:p>
    <w:p>
      <w:pPr>
        <w:spacing w:after="50"/>
        <w:ind w:left="173" w:hanging="173"/>
      </w:pPr>
      <w:r>
        <w:rPr>
          <w:rFonts w:ascii="DejaVu Sans" w:hAnsi="DejaVu Sans"/>
          <w:color w:val="0D6B68"/>
          <w:sz w:val="20"/>
        </w:rPr>
        <w:t xml:space="preserve">☐  </w:t>
      </w:r>
      <w:r>
        <w:rPr>
          <w:b/>
          <w:color w:val="0D6B68"/>
        </w:rPr>
        <w:t xml:space="preserve">[Shared] </w:t>
      </w:r>
      <w:r>
        <w:t>Do not state that news improved unless the news-aware model beats the baseline on the held-out period under the reported metric.</w:t>
      </w:r>
      <w:r>
        <w:rPr>
          <w:i/>
          <w:color w:val="52616B"/>
          <w:sz w:val="16"/>
        </w:rPr>
        <w:t xml:space="preserve">  (4.3)</w:t>
      </w:r>
    </w:p>
    <w:p>
      <w:pPr>
        <w:spacing w:after="50"/>
        <w:ind w:left="173" w:hanging="173"/>
      </w:pPr>
      <w:r>
        <w:rPr>
          <w:rFonts w:ascii="DejaVu Sans" w:hAnsi="DejaVu Sans"/>
          <w:color w:val="0D6B68"/>
          <w:sz w:val="20"/>
        </w:rPr>
        <w:t xml:space="preserve">☐  </w:t>
      </w:r>
      <w:r>
        <w:rPr>
          <w:b/>
          <w:color w:val="0D6B68"/>
        </w:rPr>
        <w:t xml:space="preserve">[Sumukh] </w:t>
      </w:r>
      <w:r>
        <w:t>Persist each prediction with asset, prediction session, cutoff, reference close, estimate, label, model/version, feature reference, created time, and data status.</w:t>
      </w:r>
      <w:r>
        <w:rPr>
          <w:i/>
          <w:color w:val="52616B"/>
          <w:sz w:val="16"/>
        </w:rPr>
        <w:t xml:space="preserve">  (FR-13)</w:t>
      </w:r>
    </w:p>
    <w:p>
      <w:pPr>
        <w:spacing w:after="50"/>
        <w:ind w:left="173" w:hanging="173"/>
      </w:pPr>
      <w:r>
        <w:rPr>
          <w:rFonts w:ascii="DejaVu Sans" w:hAnsi="DejaVu Sans"/>
          <w:color w:val="0D6B68"/>
          <w:sz w:val="20"/>
        </w:rPr>
        <w:t xml:space="preserve">☐  </w:t>
      </w:r>
      <w:r>
        <w:rPr>
          <w:b/>
          <w:color w:val="0D6B68"/>
        </w:rPr>
        <w:t xml:space="preserve">[Sumukh] </w:t>
      </w:r>
      <w:r>
        <w:t>After next-session prices arrive, calculate actual change from the same reference close and store signed and absolute error.</w:t>
      </w:r>
      <w:r>
        <w:rPr>
          <w:i/>
          <w:color w:val="52616B"/>
          <w:sz w:val="16"/>
        </w:rPr>
        <w:t xml:space="preserve">  (FR-14)</w:t>
      </w:r>
    </w:p>
    <w:p>
      <w:pPr>
        <w:spacing w:after="50"/>
        <w:ind w:left="173" w:hanging="173"/>
      </w:pPr>
      <w:r>
        <w:rPr>
          <w:rFonts w:ascii="DejaVu Sans" w:hAnsi="DejaVu Sans"/>
          <w:color w:val="0D6B68"/>
          <w:sz w:val="20"/>
        </w:rPr>
        <w:t xml:space="preserve">☐  </w:t>
      </w:r>
      <w:r>
        <w:rPr>
          <w:b/>
          <w:color w:val="0D6B68"/>
        </w:rPr>
        <w:t xml:space="preserve">[Sumukh] </w:t>
      </w:r>
      <w:r>
        <w:t>Test target formula, threshold boundaries, zero actual, no look-ahead, chronological split, identical test rows, MAE, and directional accuracy.</w:t>
      </w:r>
      <w:r>
        <w:rPr>
          <w:i/>
          <w:color w:val="52616B"/>
          <w:sz w:val="16"/>
        </w:rPr>
        <w:t xml:space="preserve">  (Test plan)</w:t>
      </w:r>
    </w:p>
    <w:p>
      <w:pPr>
        <w:spacing w:before="80" w:after="160"/>
      </w:pPr>
      <w:r>
        <w:rPr>
          <w:b/>
          <w:color w:val="18324B"/>
        </w:rPr>
        <w:t xml:space="preserve">PHASE EXIT  </w:t>
      </w:r>
      <w:r>
        <w:t>For the test set, both models produce comparable predictions and reproducible metrics; the dashboard can show unresolved and resolved predictions.</w:t>
      </w:r>
    </w:p>
    <w:p>
      <w:pPr>
        <w:pStyle w:val="Heading1"/>
      </w:pPr>
      <w:r>
        <w:rPr>
          <w:color w:val="000000"/>
        </w:rPr>
        <w:t>Phase 8  Complete the REST API and pipeline status</w:t>
      </w:r>
    </w:p>
    <w:p>
      <w:pPr>
        <w:spacing w:after="100"/>
      </w:pPr>
      <w:r>
        <w:rPr>
          <w:b/>
          <w:color w:val="0D6B68"/>
        </w:rPr>
        <w:t xml:space="preserve">Purpose  </w:t>
      </w:r>
      <w:r>
        <w:t>Serve stable, safe, timestamped data that the frontend can trust.</w:t>
      </w:r>
    </w:p>
    <w:p>
      <w:pPr>
        <w:spacing w:after="50"/>
        <w:ind w:left="173" w:hanging="173"/>
      </w:pPr>
      <w:r>
        <w:rPr>
          <w:rFonts w:ascii="DejaVu Sans" w:hAnsi="DejaVu Sans"/>
          <w:color w:val="0D6B68"/>
          <w:sz w:val="20"/>
        </w:rPr>
        <w:t xml:space="preserve">☐  </w:t>
      </w:r>
      <w:r>
        <w:rPr>
          <w:b/>
          <w:color w:val="0D6B68"/>
        </w:rPr>
        <w:t xml:space="preserve">[Sumukh] </w:t>
      </w:r>
      <w:r>
        <w:t>Implement GET /api/v1/overview with index outlook, estimate, reference close, generated_at, horizon, model/version, and data_status.</w:t>
      </w:r>
      <w:r>
        <w:rPr>
          <w:i/>
          <w:color w:val="52616B"/>
          <w:sz w:val="16"/>
        </w:rPr>
        <w:t xml:space="preserve">  (Suggested API)</w:t>
      </w:r>
    </w:p>
    <w:p>
      <w:pPr>
        <w:spacing w:after="50"/>
        <w:ind w:left="173" w:hanging="173"/>
      </w:pPr>
      <w:r>
        <w:rPr>
          <w:rFonts w:ascii="DejaVu Sans" w:hAnsi="DejaVu Sans"/>
          <w:color w:val="0D6B68"/>
          <w:sz w:val="20"/>
        </w:rPr>
        <w:t xml:space="preserve">☐  </w:t>
      </w:r>
      <w:r>
        <w:rPr>
          <w:b/>
          <w:color w:val="0D6B68"/>
        </w:rPr>
        <w:t xml:space="preserve">[Sumukh] </w:t>
      </w:r>
      <w:r>
        <w:t>Implement GET /api/v1/stocks?date=YYYY-MM-DD with watchlist signals, labels, news summary, top headlines, and actual/error if available.</w:t>
      </w:r>
      <w:r>
        <w:rPr>
          <w:i/>
          <w:color w:val="52616B"/>
          <w:sz w:val="16"/>
        </w:rPr>
        <w:t xml:space="preserve">  (Suggested API)</w:t>
      </w:r>
    </w:p>
    <w:p>
      <w:pPr>
        <w:spacing w:after="50"/>
        <w:ind w:left="173" w:hanging="173"/>
      </w:pPr>
      <w:r>
        <w:rPr>
          <w:rFonts w:ascii="DejaVu Sans" w:hAnsi="DejaVu Sans"/>
          <w:color w:val="0D6B68"/>
          <w:sz w:val="20"/>
        </w:rPr>
        <w:t xml:space="preserve">☐  </w:t>
      </w:r>
      <w:r>
        <w:rPr>
          <w:b/>
          <w:color w:val="0D6B68"/>
        </w:rPr>
        <w:t xml:space="preserve">[Sumukh] </w:t>
      </w:r>
      <w:r>
        <w:t>Implement GET /api/v1/predictions?asset=&amp;from=&amp;to= with estimate history, outcomes, errors, and model identity.</w:t>
      </w:r>
      <w:r>
        <w:rPr>
          <w:i/>
          <w:color w:val="52616B"/>
          <w:sz w:val="16"/>
        </w:rPr>
        <w:t xml:space="preserve">  (Suggested API)</w:t>
      </w:r>
    </w:p>
    <w:p>
      <w:pPr>
        <w:spacing w:after="50"/>
        <w:ind w:left="173" w:hanging="173"/>
      </w:pPr>
      <w:r>
        <w:rPr>
          <w:rFonts w:ascii="DejaVu Sans" w:hAnsi="DejaVu Sans"/>
          <w:color w:val="0D6B68"/>
          <w:sz w:val="20"/>
        </w:rPr>
        <w:t xml:space="preserve">☐  </w:t>
      </w:r>
      <w:r>
        <w:rPr>
          <w:b/>
          <w:color w:val="0D6B68"/>
        </w:rPr>
        <w:t xml:space="preserve">[Sumukh] </w:t>
      </w:r>
      <w:r>
        <w:t>Implement GET /api/v1/metrics?from=&amp;to= with per-model MAE, directional accuracy, sample count, and evaluation dates.</w:t>
      </w:r>
      <w:r>
        <w:rPr>
          <w:i/>
          <w:color w:val="52616B"/>
          <w:sz w:val="16"/>
        </w:rPr>
        <w:t xml:space="preserve">  (Suggested API)</w:t>
      </w:r>
    </w:p>
    <w:p>
      <w:pPr>
        <w:spacing w:after="50"/>
        <w:ind w:left="173" w:hanging="173"/>
      </w:pPr>
      <w:r>
        <w:rPr>
          <w:rFonts w:ascii="DejaVu Sans" w:hAnsi="DejaVu Sans"/>
          <w:color w:val="0D6B68"/>
          <w:sz w:val="20"/>
        </w:rPr>
        <w:t xml:space="preserve">☐  </w:t>
      </w:r>
      <w:r>
        <w:rPr>
          <w:b/>
          <w:color w:val="0D6B68"/>
        </w:rPr>
        <w:t xml:space="preserve">[Sumukh] </w:t>
      </w:r>
      <w:r>
        <w:t>Implement GET /api/v1/status with recent ingestion/prediction run status, times, counts, safe error summary, and freshness.</w:t>
      </w:r>
      <w:r>
        <w:rPr>
          <w:i/>
          <w:color w:val="52616B"/>
          <w:sz w:val="16"/>
        </w:rPr>
        <w:t xml:space="preserve">  (FR-18)</w:t>
      </w:r>
    </w:p>
    <w:p>
      <w:pPr>
        <w:spacing w:after="50"/>
        <w:ind w:left="173" w:hanging="173"/>
      </w:pPr>
      <w:r>
        <w:rPr>
          <w:rFonts w:ascii="DejaVu Sans" w:hAnsi="DejaVu Sans"/>
          <w:color w:val="0D6B68"/>
          <w:sz w:val="20"/>
        </w:rPr>
        <w:t xml:space="preserve">☐  </w:t>
      </w:r>
      <w:r>
        <w:rPr>
          <w:b/>
          <w:color w:val="0D6B68"/>
        </w:rPr>
        <w:t xml:space="preserve">[Sumukh] </w:t>
      </w:r>
      <w:r>
        <w:t>Implement POST /api/v1/jobs/refresh only if an operator trigger is needed. Protect it from public use and validate input.</w:t>
      </w:r>
      <w:r>
        <w:rPr>
          <w:i/>
          <w:color w:val="52616B"/>
          <w:sz w:val="16"/>
        </w:rPr>
        <w:t xml:space="preserve">  (Suggested API/NFR-05)</w:t>
      </w:r>
    </w:p>
    <w:p>
      <w:pPr>
        <w:spacing w:after="50"/>
        <w:ind w:left="173" w:hanging="173"/>
      </w:pPr>
      <w:r>
        <w:rPr>
          <w:rFonts w:ascii="DejaVu Sans" w:hAnsi="DejaVu Sans"/>
          <w:color w:val="0D6B68"/>
          <w:sz w:val="20"/>
        </w:rPr>
        <w:t xml:space="preserve">☐  </w:t>
      </w:r>
      <w:r>
        <w:rPr>
          <w:b/>
          <w:color w:val="0D6B68"/>
        </w:rPr>
        <w:t xml:space="preserve">[Sumukh] </w:t>
      </w:r>
      <w:r>
        <w:t>Use the agreed stable JSON error format and ISO timestamps for every endpoint, including failures.</w:t>
      </w:r>
      <w:r>
        <w:rPr>
          <w:i/>
          <w:color w:val="52616B"/>
          <w:sz w:val="16"/>
        </w:rPr>
        <w:t xml:space="preserve">  (API)</w:t>
      </w:r>
    </w:p>
    <w:p>
      <w:pPr>
        <w:spacing w:after="50"/>
        <w:ind w:left="173" w:hanging="173"/>
      </w:pPr>
      <w:r>
        <w:rPr>
          <w:rFonts w:ascii="DejaVu Sans" w:hAnsi="DejaVu Sans"/>
          <w:color w:val="0D6B68"/>
          <w:sz w:val="20"/>
        </w:rPr>
        <w:t xml:space="preserve">☐  </w:t>
      </w:r>
      <w:r>
        <w:rPr>
          <w:b/>
          <w:color w:val="0D6B68"/>
        </w:rPr>
        <w:t xml:space="preserve">[Sumukh] </w:t>
      </w:r>
      <w:r>
        <w:t>Return explicit stale/missing status and withhold forecasts when required input is missing or outside freshness limits.</w:t>
      </w:r>
      <w:r>
        <w:rPr>
          <w:i/>
          <w:color w:val="52616B"/>
          <w:sz w:val="16"/>
        </w:rPr>
        <w:t xml:space="preserve">  (FR-17)</w:t>
      </w:r>
    </w:p>
    <w:p>
      <w:pPr>
        <w:spacing w:after="50"/>
        <w:ind w:left="173" w:hanging="173"/>
      </w:pPr>
      <w:r>
        <w:rPr>
          <w:rFonts w:ascii="DejaVu Sans" w:hAnsi="DejaVu Sans"/>
          <w:color w:val="0D6B68"/>
          <w:sz w:val="20"/>
        </w:rPr>
        <w:t xml:space="preserve">☐  </w:t>
      </w:r>
      <w:r>
        <w:rPr>
          <w:b/>
          <w:color w:val="0D6B68"/>
        </w:rPr>
        <w:t xml:space="preserve">[Sumukh] </w:t>
      </w:r>
      <w:r>
        <w:t>Ensure status and error responses never contain API keys, tokens, private source credentials, or sensitive stack traces.</w:t>
      </w:r>
      <w:r>
        <w:rPr>
          <w:i/>
          <w:color w:val="52616B"/>
          <w:sz w:val="16"/>
        </w:rPr>
        <w:t xml:space="preserve">  (NFR-05)</w:t>
      </w:r>
    </w:p>
    <w:p>
      <w:pPr>
        <w:spacing w:after="50"/>
        <w:ind w:left="173" w:hanging="173"/>
      </w:pPr>
      <w:r>
        <w:rPr>
          <w:rFonts w:ascii="DejaVu Sans" w:hAnsi="DejaVu Sans"/>
          <w:color w:val="0D6B68"/>
          <w:sz w:val="20"/>
        </w:rPr>
        <w:t xml:space="preserve">☐  </w:t>
      </w:r>
      <w:r>
        <w:rPr>
          <w:b/>
          <w:color w:val="0D6B68"/>
        </w:rPr>
        <w:t xml:space="preserve">[Sumukh; Prathyush co-authors one integration test] </w:t>
      </w:r>
      <w:r>
        <w:t>Add API tests for schema, types, units, invalid dates, unknown assets, empty results, provider outage, unauthorized refresh, and stale input.</w:t>
      </w:r>
      <w:r>
        <w:rPr>
          <w:i/>
          <w:color w:val="52616B"/>
          <w:sz w:val="16"/>
        </w:rPr>
        <w:t xml:space="preserve">  (Test plan)</w:t>
      </w:r>
    </w:p>
    <w:p>
      <w:pPr>
        <w:spacing w:before="80" w:after="160"/>
      </w:pPr>
      <w:r>
        <w:rPr>
          <w:b/>
          <w:color w:val="18324B"/>
        </w:rPr>
        <w:t xml:space="preserve">PHASE EXIT  </w:t>
      </w:r>
      <w:r>
        <w:t>All documented routes match the contract fixtures, and failure modes return useful safe errors instead of normal-looking false forecasts.</w:t>
      </w:r>
    </w:p>
    <w:p>
      <w:pPr>
        <w:pStyle w:val="Heading1"/>
      </w:pPr>
      <w:r>
        <w:rPr>
          <w:color w:val="000000"/>
        </w:rPr>
        <w:t>Phase 9  Build the dashboard and a small backend-owned UI contribution</w:t>
      </w:r>
    </w:p>
    <w:p>
      <w:pPr>
        <w:spacing w:after="100"/>
      </w:pPr>
      <w:r>
        <w:rPr>
          <w:b/>
          <w:color w:val="0D6B68"/>
        </w:rPr>
        <w:t xml:space="preserve">Purpose  </w:t>
      </w:r>
      <w:r>
        <w:t>Give viewers the context needed to interpret estimates and give each contributor work outside their main specialty.</w:t>
      </w:r>
    </w:p>
    <w:p>
      <w:pPr>
        <w:spacing w:after="50"/>
        <w:ind w:left="173" w:hanging="173"/>
      </w:pPr>
      <w:r>
        <w:rPr>
          <w:rFonts w:ascii="DejaVu Sans" w:hAnsi="DejaVu Sans"/>
          <w:color w:val="0D6B68"/>
          <w:sz w:val="20"/>
        </w:rPr>
        <w:t xml:space="preserve">☐  </w:t>
      </w:r>
      <w:r>
        <w:rPr>
          <w:b/>
          <w:color w:val="0D6B68"/>
        </w:rPr>
        <w:t xml:space="preserve">[Prathyush] </w:t>
      </w:r>
      <w:r>
        <w:t>Build the market overview with index name, reference close, estimated next-session percentage change, label, horizon, generated time, model/version, and data status.</w:t>
      </w:r>
      <w:r>
        <w:rPr>
          <w:i/>
          <w:color w:val="52616B"/>
          <w:sz w:val="16"/>
        </w:rPr>
        <w:t xml:space="preserve">  (FR-16/NFR-01)</w:t>
      </w:r>
    </w:p>
    <w:p>
      <w:pPr>
        <w:spacing w:after="50"/>
        <w:ind w:left="173" w:hanging="173"/>
      </w:pPr>
      <w:r>
        <w:rPr>
          <w:rFonts w:ascii="DejaVu Sans" w:hAnsi="DejaVu Sans"/>
          <w:color w:val="0D6B68"/>
          <w:sz w:val="20"/>
        </w:rPr>
        <w:t xml:space="preserve">☐  </w:t>
      </w:r>
      <w:r>
        <w:rPr>
          <w:b/>
          <w:color w:val="0D6B68"/>
        </w:rPr>
        <w:t xml:space="preserve">[Prathyush] </w:t>
      </w:r>
      <w:r>
        <w:t>Build the stocks-to-watch ranking by absolute news-aware estimate with ticker/company, estimate, label, news count, top linked headline/source/time, and actual/error when resolved.</w:t>
      </w:r>
      <w:r>
        <w:rPr>
          <w:i/>
          <w:color w:val="52616B"/>
          <w:sz w:val="16"/>
        </w:rPr>
        <w:t xml:space="preserve">  (FR-12)</w:t>
      </w:r>
    </w:p>
    <w:p>
      <w:pPr>
        <w:spacing w:after="50"/>
        <w:ind w:left="173" w:hanging="173"/>
      </w:pPr>
      <w:r>
        <w:rPr>
          <w:rFonts w:ascii="DejaVu Sans" w:hAnsi="DejaVu Sans"/>
          <w:color w:val="0D6B68"/>
          <w:sz w:val="20"/>
        </w:rPr>
        <w:t xml:space="preserve">☐  </w:t>
      </w:r>
      <w:r>
        <w:rPr>
          <w:b/>
          <w:color w:val="0D6B68"/>
        </w:rPr>
        <w:t xml:space="preserve">[Prathyush; Sumukh review] </w:t>
      </w:r>
      <w:r>
        <w:t>Use the label “signals to watch” or equivalent. Do not use buy/sell instructions or certainty language.</w:t>
      </w:r>
      <w:r>
        <w:rPr>
          <w:i/>
          <w:color w:val="52616B"/>
          <w:sz w:val="16"/>
        </w:rPr>
        <w:t xml:space="preserve">  (NFR-08)</w:t>
      </w:r>
    </w:p>
    <w:p>
      <w:pPr>
        <w:spacing w:after="50"/>
        <w:ind w:left="173" w:hanging="173"/>
      </w:pPr>
      <w:r>
        <w:rPr>
          <w:rFonts w:ascii="DejaVu Sans" w:hAnsi="DejaVu Sans"/>
          <w:color w:val="0D6B68"/>
          <w:sz w:val="20"/>
        </w:rPr>
        <w:t xml:space="preserve">☐  </w:t>
      </w:r>
      <w:r>
        <w:rPr>
          <w:b/>
          <w:color w:val="0D6B68"/>
        </w:rPr>
        <w:t xml:space="preserve">[Prathyush] </w:t>
      </w:r>
      <w:r>
        <w:t>Build prediction history with date, asset, estimated change, actual change, absolute error, and model; add asset/date filters.</w:t>
      </w:r>
      <w:r>
        <w:rPr>
          <w:i/>
          <w:color w:val="52616B"/>
          <w:sz w:val="16"/>
        </w:rPr>
        <w:t xml:space="preserve">  (Screen requirements)</w:t>
      </w:r>
    </w:p>
    <w:p>
      <w:pPr>
        <w:spacing w:after="50"/>
        <w:ind w:left="173" w:hanging="173"/>
      </w:pPr>
      <w:r>
        <w:rPr>
          <w:rFonts w:ascii="DejaVu Sans" w:hAnsi="DejaVu Sans"/>
          <w:color w:val="0D6B68"/>
          <w:sz w:val="20"/>
        </w:rPr>
        <w:t xml:space="preserve">☐  </w:t>
      </w:r>
      <w:r>
        <w:rPr>
          <w:b/>
          <w:color w:val="0D6B68"/>
        </w:rPr>
        <w:t xml:space="preserve">[Prathyush] </w:t>
      </w:r>
      <w:r>
        <w:t>Build model evaluation view comparing baseline and news-aware MAE and directional accuracy, with test dates, sample count, and metric definitions.</w:t>
      </w:r>
      <w:r>
        <w:rPr>
          <w:i/>
          <w:color w:val="52616B"/>
          <w:sz w:val="16"/>
        </w:rPr>
        <w:t xml:space="preserve">  (FR-15/16)</w:t>
      </w:r>
    </w:p>
    <w:p>
      <w:pPr>
        <w:spacing w:after="50"/>
        <w:ind w:left="173" w:hanging="173"/>
      </w:pPr>
      <w:r>
        <w:rPr>
          <w:rFonts w:ascii="DejaVu Sans" w:hAnsi="DejaVu Sans"/>
          <w:color w:val="0D6B68"/>
          <w:sz w:val="20"/>
        </w:rPr>
        <w:t xml:space="preserve">☐  </w:t>
      </w:r>
      <w:r>
        <w:rPr>
          <w:b/>
          <w:color w:val="0D6B68"/>
        </w:rPr>
        <w:t xml:space="preserve">[Prathyush] </w:t>
      </w:r>
      <w:r>
        <w:t>Add clear loading, no data, no linked news, unresolved actual, stale input, and provider/pipeline failure states.</w:t>
      </w:r>
      <w:r>
        <w:rPr>
          <w:i/>
          <w:color w:val="52616B"/>
          <w:sz w:val="16"/>
        </w:rPr>
        <w:t xml:space="preserve">  (FR-17)</w:t>
      </w:r>
    </w:p>
    <w:p>
      <w:pPr>
        <w:spacing w:after="50"/>
        <w:ind w:left="173" w:hanging="173"/>
      </w:pPr>
      <w:r>
        <w:rPr>
          <w:rFonts w:ascii="DejaVu Sans" w:hAnsi="DejaVu Sans"/>
          <w:color w:val="0D6B68"/>
          <w:sz w:val="20"/>
        </w:rPr>
        <w:t xml:space="preserve">☐  </w:t>
      </w:r>
      <w:r>
        <w:rPr>
          <w:b/>
          <w:color w:val="0D6B68"/>
        </w:rPr>
        <w:t xml:space="preserve">[Prathyush; Sumukh verifies contract] </w:t>
      </w:r>
      <w:r>
        <w:t>Format percentages consistently and distinguish percentage points for error. Never display missing values as zero.</w:t>
      </w:r>
      <w:r>
        <w:rPr>
          <w:i/>
          <w:color w:val="52616B"/>
          <w:sz w:val="16"/>
        </w:rPr>
        <w:t xml:space="preserve">  (NFR-07)</w:t>
      </w:r>
    </w:p>
    <w:p>
      <w:pPr>
        <w:spacing w:after="50"/>
        <w:ind w:left="173" w:hanging="173"/>
      </w:pPr>
      <w:r>
        <w:rPr>
          <w:rFonts w:ascii="DejaVu Sans" w:hAnsi="DejaVu Sans"/>
          <w:color w:val="0D6B68"/>
          <w:sz w:val="20"/>
        </w:rPr>
        <w:t xml:space="preserve">☐  </w:t>
      </w:r>
      <w:r>
        <w:rPr>
          <w:b/>
          <w:color w:val="0D6B68"/>
        </w:rPr>
        <w:t xml:space="preserve">[Prathyush] </w:t>
      </w:r>
      <w:r>
        <w:t>Show when a prediction was generated and which next regular session it covers; make the cutoff/timezone discoverable.</w:t>
      </w:r>
      <w:r>
        <w:rPr>
          <w:i/>
          <w:color w:val="52616B"/>
          <w:sz w:val="16"/>
        </w:rPr>
        <w:t xml:space="preserve">  (NFR-07)</w:t>
      </w:r>
    </w:p>
    <w:p>
      <w:pPr>
        <w:spacing w:after="50"/>
        <w:ind w:left="173" w:hanging="173"/>
      </w:pPr>
      <w:r>
        <w:rPr>
          <w:rFonts w:ascii="DejaVu Sans" w:hAnsi="DejaVu Sans"/>
          <w:color w:val="0D6B68"/>
          <w:sz w:val="20"/>
        </w:rPr>
        <w:t xml:space="preserve">☐  </w:t>
      </w:r>
      <w:r>
        <w:rPr>
          <w:b/>
          <w:color w:val="0D6B68"/>
        </w:rPr>
        <w:t xml:space="preserve">[Prathyush] </w:t>
      </w:r>
      <w:r>
        <w:t>Show top headline evidence with publisher, timestamp, and working source link when allowed. Clearly say when no eligible news exists.</w:t>
      </w:r>
      <w:r>
        <w:rPr>
          <w:i/>
          <w:color w:val="52616B"/>
          <w:sz w:val="16"/>
        </w:rPr>
        <w:t xml:space="preserve">  (FR-12/16)</w:t>
      </w:r>
    </w:p>
    <w:p>
      <w:pPr>
        <w:spacing w:after="50"/>
        <w:ind w:left="173" w:hanging="173"/>
      </w:pPr>
      <w:r>
        <w:rPr>
          <w:rFonts w:ascii="DejaVu Sans" w:hAnsi="DejaVu Sans"/>
          <w:color w:val="0D6B68"/>
          <w:sz w:val="20"/>
        </w:rPr>
        <w:t xml:space="preserve">☐  </w:t>
      </w:r>
      <w:r>
        <w:rPr>
          <w:b/>
          <w:color w:val="0D6B68"/>
        </w:rPr>
        <w:t xml:space="preserve">[Prathyush] </w:t>
      </w:r>
      <w:r>
        <w:t>Make the layout responsive and accessible: readable contrast, keyboard focus, semantic headings, labels, and chart/table alternatives.</w:t>
      </w:r>
      <w:r>
        <w:rPr>
          <w:i/>
          <w:color w:val="52616B"/>
          <w:sz w:val="16"/>
        </w:rPr>
        <w:t xml:space="preserve">  (NFR-01)</w:t>
      </w:r>
    </w:p>
    <w:p>
      <w:pPr>
        <w:spacing w:after="50"/>
        <w:ind w:left="173" w:hanging="173"/>
      </w:pPr>
      <w:r>
        <w:rPr>
          <w:rFonts w:ascii="DejaVu Sans" w:hAnsi="DejaVu Sans"/>
          <w:color w:val="0D6B68"/>
          <w:sz w:val="20"/>
        </w:rPr>
        <w:t xml:space="preserve">☐  </w:t>
      </w:r>
      <w:r>
        <w:rPr>
          <w:b/>
          <w:color w:val="0D6B68"/>
        </w:rPr>
        <w:t xml:space="preserve">[Sumukh] </w:t>
      </w:r>
      <w:r>
        <w:t>Sumukh builds one small UI component such as a data freshness badge or prediction history table, with tests or documented acceptance checks.</w:t>
      </w:r>
      <w:r>
        <w:rPr>
          <w:i/>
          <w:color w:val="52616B"/>
          <w:sz w:val="16"/>
        </w:rPr>
        <w:t xml:space="preserve">  (30% cross-functional)</w:t>
      </w:r>
    </w:p>
    <w:p>
      <w:pPr>
        <w:spacing w:after="50"/>
        <w:ind w:left="173" w:hanging="173"/>
      </w:pPr>
      <w:r>
        <w:rPr>
          <w:rFonts w:ascii="DejaVu Sans" w:hAnsi="DejaVu Sans"/>
          <w:color w:val="0D6B68"/>
          <w:sz w:val="20"/>
        </w:rPr>
        <w:t xml:space="preserve">☐  </w:t>
      </w:r>
      <w:r>
        <w:rPr>
          <w:b/>
          <w:color w:val="0D6B68"/>
        </w:rPr>
        <w:t xml:space="preserve">[Prathyush] </w:t>
      </w:r>
      <w:r>
        <w:t>Prathyush contributes one small backend item such as API integration tests or schema documentation and reviews the result with Sumukh.</w:t>
      </w:r>
      <w:r>
        <w:rPr>
          <w:i/>
          <w:color w:val="52616B"/>
          <w:sz w:val="16"/>
        </w:rPr>
        <w:t xml:space="preserve">  (30% cross-functional)</w:t>
      </w:r>
    </w:p>
    <w:p>
      <w:pPr>
        <w:spacing w:after="50"/>
        <w:ind w:left="173" w:hanging="173"/>
      </w:pPr>
      <w:r>
        <w:rPr>
          <w:rFonts w:ascii="DejaVu Sans" w:hAnsi="DejaVu Sans"/>
          <w:color w:val="0D6B68"/>
          <w:sz w:val="20"/>
        </w:rPr>
        <w:t xml:space="preserve">☐  </w:t>
      </w:r>
      <w:r>
        <w:rPr>
          <w:b/>
          <w:color w:val="0D6B68"/>
        </w:rPr>
        <w:t xml:space="preserve">[Shared] </w:t>
      </w:r>
      <w:r>
        <w:t>Review each other’s pull requests. Test all values and timestamps displayed in the browser against the raw API response.</w:t>
      </w:r>
      <w:r>
        <w:rPr>
          <w:i/>
          <w:color w:val="52616B"/>
          <w:sz w:val="16"/>
        </w:rPr>
        <w:t xml:space="preserve">  (Integration)</w:t>
      </w:r>
    </w:p>
    <w:p>
      <w:pPr>
        <w:spacing w:before="80" w:after="160"/>
      </w:pPr>
      <w:r>
        <w:rPr>
          <w:b/>
          <w:color w:val="18324B"/>
        </w:rPr>
        <w:t xml:space="preserve">PHASE EXIT  </w:t>
      </w:r>
      <w:r>
        <w:t>A first-time viewer can identify the index outlook, forecast horizon, top stock signals, freshness, and historical model comparison without reading setup documentation.</w:t>
      </w:r>
    </w:p>
    <w:p>
      <w:pPr>
        <w:pStyle w:val="Heading1"/>
      </w:pPr>
      <w:r>
        <w:rPr>
          <w:color w:val="000000"/>
        </w:rPr>
        <w:t>Phase 10  Integrate and test the full system</w:t>
      </w:r>
    </w:p>
    <w:p>
      <w:pPr>
        <w:spacing w:after="100"/>
      </w:pPr>
      <w:r>
        <w:rPr>
          <w:b/>
          <w:color w:val="0D6B68"/>
        </w:rPr>
        <w:t xml:space="preserve">Purpose  </w:t>
      </w:r>
      <w:r>
        <w:t>Verify the complete collection-to-outcome flow, including realistic failure and empty-data paths.</w:t>
      </w:r>
    </w:p>
    <w:p>
      <w:pPr>
        <w:spacing w:after="50"/>
        <w:ind w:left="173" w:hanging="173"/>
      </w:pPr>
      <w:r>
        <w:rPr>
          <w:rFonts w:ascii="DejaVu Sans" w:hAnsi="DejaVu Sans"/>
          <w:color w:val="0D6B68"/>
          <w:sz w:val="20"/>
        </w:rPr>
        <w:t xml:space="preserve">☐  </w:t>
      </w:r>
      <w:r>
        <w:rPr>
          <w:b/>
          <w:color w:val="0D6B68"/>
        </w:rPr>
        <w:t xml:space="preserve">[Sumukh] </w:t>
      </w:r>
      <w:r>
        <w:t>Run the pipeline from data fetch or sample import through normalization, linking, sentiment, features, models, predictions, and API responses.</w:t>
      </w:r>
      <w:r>
        <w:rPr>
          <w:i/>
          <w:color w:val="52616B"/>
          <w:sz w:val="16"/>
        </w:rPr>
        <w:t xml:space="preserve">  (End-to-end)</w:t>
      </w:r>
    </w:p>
    <w:p>
      <w:pPr>
        <w:spacing w:after="50"/>
        <w:ind w:left="173" w:hanging="173"/>
      </w:pPr>
      <w:r>
        <w:rPr>
          <w:rFonts w:ascii="DejaVu Sans" w:hAnsi="DejaVu Sans"/>
          <w:color w:val="0D6B68"/>
          <w:sz w:val="20"/>
        </w:rPr>
        <w:t xml:space="preserve">☐  </w:t>
      </w:r>
      <w:r>
        <w:rPr>
          <w:b/>
          <w:color w:val="0D6B68"/>
        </w:rPr>
        <w:t xml:space="preserve">[Prathyush] </w:t>
      </w:r>
      <w:r>
        <w:t>Load the dashboard from the running API and verify the index and each configured stock are represented correctly.</w:t>
      </w:r>
      <w:r>
        <w:rPr>
          <w:i/>
          <w:color w:val="52616B"/>
          <w:sz w:val="16"/>
        </w:rPr>
        <w:t xml:space="preserve">  (End-to-end)</w:t>
      </w:r>
    </w:p>
    <w:p>
      <w:pPr>
        <w:spacing w:after="50"/>
        <w:ind w:left="173" w:hanging="173"/>
      </w:pPr>
      <w:r>
        <w:rPr>
          <w:rFonts w:ascii="DejaVu Sans" w:hAnsi="DejaVu Sans"/>
          <w:color w:val="0D6B68"/>
          <w:sz w:val="20"/>
        </w:rPr>
        <w:t xml:space="preserve">☐  </w:t>
      </w:r>
      <w:r>
        <w:rPr>
          <w:b/>
          <w:color w:val="0D6B68"/>
        </w:rPr>
        <w:t xml:space="preserve">[Shared] </w:t>
      </w:r>
      <w:r>
        <w:t>Trace at least one prediction from its displayed estimate back to reference close, cutoff, feature inputs, model/version, and news evidence.</w:t>
      </w:r>
      <w:r>
        <w:rPr>
          <w:i/>
          <w:color w:val="52616B"/>
          <w:sz w:val="16"/>
        </w:rPr>
        <w:t xml:space="preserve">  (FR-13)</w:t>
      </w:r>
    </w:p>
    <w:p>
      <w:pPr>
        <w:spacing w:after="50"/>
        <w:ind w:left="173" w:hanging="173"/>
      </w:pPr>
      <w:r>
        <w:rPr>
          <w:rFonts w:ascii="DejaVu Sans" w:hAnsi="DejaVu Sans"/>
          <w:color w:val="0D6B68"/>
          <w:sz w:val="20"/>
        </w:rPr>
        <w:t xml:space="preserve">☐  </w:t>
      </w:r>
      <w:r>
        <w:rPr>
          <w:b/>
          <w:color w:val="0D6B68"/>
        </w:rPr>
        <w:t xml:space="preserve">[Sumukh; Prathyush checks visible evidence] </w:t>
      </w:r>
      <w:r>
        <w:t>Confirm that a headline published after cutoff is excluded even if it was ingested before a later rerun.</w:t>
      </w:r>
      <w:r>
        <w:rPr>
          <w:i/>
          <w:color w:val="52616B"/>
          <w:sz w:val="16"/>
        </w:rPr>
        <w:t xml:space="preserve">  (No look-ahead)</w:t>
      </w:r>
    </w:p>
    <w:p>
      <w:pPr>
        <w:spacing w:after="50"/>
        <w:ind w:left="173" w:hanging="173"/>
      </w:pPr>
      <w:r>
        <w:rPr>
          <w:rFonts w:ascii="DejaVu Sans" w:hAnsi="DejaVu Sans"/>
          <w:color w:val="0D6B68"/>
          <w:sz w:val="20"/>
        </w:rPr>
        <w:t xml:space="preserve">☐  </w:t>
      </w:r>
      <w:r>
        <w:rPr>
          <w:b/>
          <w:color w:val="0D6B68"/>
        </w:rPr>
        <w:t xml:space="preserve">[Shared] </w:t>
      </w:r>
      <w:r>
        <w:t>Resolve at least one prediction after next-session prices arrive and verify actual change and errors with a manual calculation.</w:t>
      </w:r>
      <w:r>
        <w:rPr>
          <w:i/>
          <w:color w:val="52616B"/>
          <w:sz w:val="16"/>
        </w:rPr>
        <w:t xml:space="preserve">  (FR-14)</w:t>
      </w:r>
    </w:p>
    <w:p>
      <w:pPr>
        <w:spacing w:after="50"/>
        <w:ind w:left="173" w:hanging="173"/>
      </w:pPr>
      <w:r>
        <w:rPr>
          <w:rFonts w:ascii="DejaVu Sans" w:hAnsi="DejaVu Sans"/>
          <w:color w:val="0D6B68"/>
          <w:sz w:val="20"/>
        </w:rPr>
        <w:t xml:space="preserve">☐  </w:t>
      </w:r>
      <w:r>
        <w:rPr>
          <w:b/>
          <w:color w:val="0D6B68"/>
        </w:rPr>
        <w:t xml:space="preserve">[Shared] </w:t>
      </w:r>
      <w:r>
        <w:t>Exercise stale price, stale news, provider outage, missing timestamp, no linked headlines, and delayed actual-price states.</w:t>
      </w:r>
      <w:r>
        <w:rPr>
          <w:i/>
          <w:color w:val="52616B"/>
          <w:sz w:val="16"/>
        </w:rPr>
        <w:t xml:space="preserve">  (FR-17/NFR-03)</w:t>
      </w:r>
    </w:p>
    <w:p>
      <w:pPr>
        <w:spacing w:after="50"/>
        <w:ind w:left="173" w:hanging="173"/>
      </w:pPr>
      <w:r>
        <w:rPr>
          <w:rFonts w:ascii="DejaVu Sans" w:hAnsi="DejaVu Sans"/>
          <w:color w:val="0D6B68"/>
          <w:sz w:val="20"/>
        </w:rPr>
        <w:t xml:space="preserve">☐  </w:t>
      </w:r>
      <w:r>
        <w:rPr>
          <w:b/>
          <w:color w:val="0D6B68"/>
        </w:rPr>
        <w:t xml:space="preserve">[Shared] </w:t>
      </w:r>
      <w:r>
        <w:t>Confirm previous successful data remains available after a provider failure and the UI visibly marks it stale.</w:t>
      </w:r>
      <w:r>
        <w:rPr>
          <w:i/>
          <w:color w:val="52616B"/>
          <w:sz w:val="16"/>
        </w:rPr>
        <w:t xml:space="preserve">  (NFR-03)</w:t>
      </w:r>
    </w:p>
    <w:p>
      <w:pPr>
        <w:spacing w:after="50"/>
        <w:ind w:left="173" w:hanging="173"/>
      </w:pPr>
      <w:r>
        <w:rPr>
          <w:rFonts w:ascii="DejaVu Sans" w:hAnsi="DejaVu Sans"/>
          <w:color w:val="0D6B68"/>
          <w:sz w:val="20"/>
        </w:rPr>
        <w:t xml:space="preserve">☐  </w:t>
      </w:r>
      <w:r>
        <w:rPr>
          <w:b/>
          <w:color w:val="0D6B68"/>
        </w:rPr>
        <w:t xml:space="preserve">[Sumukh; Prathyush helps measure] </w:t>
      </w:r>
      <w:r>
        <w:t>Check the endpoint response time target of under 3 seconds for overview and stock list with initial watchlist and cached data.</w:t>
      </w:r>
      <w:r>
        <w:rPr>
          <w:i/>
          <w:color w:val="52616B"/>
          <w:sz w:val="16"/>
        </w:rPr>
        <w:t xml:space="preserve">  (NFR-02)</w:t>
      </w:r>
    </w:p>
    <w:p>
      <w:pPr>
        <w:spacing w:after="50"/>
        <w:ind w:left="173" w:hanging="173"/>
      </w:pPr>
      <w:r>
        <w:rPr>
          <w:rFonts w:ascii="DejaVu Sans" w:hAnsi="DejaVu Sans"/>
          <w:color w:val="0D6B68"/>
          <w:sz w:val="20"/>
        </w:rPr>
        <w:t xml:space="preserve">☐  </w:t>
      </w:r>
      <w:r>
        <w:rPr>
          <w:b/>
          <w:color w:val="0D6B68"/>
        </w:rPr>
        <w:t xml:space="preserve">[Prathyush; Sumukh verifies data] </w:t>
      </w:r>
      <w:r>
        <w:t>Check mobile and desktop layouts, table sorting, filters, empty states, keyboard access, and visible units.</w:t>
      </w:r>
      <w:r>
        <w:rPr>
          <w:i/>
          <w:color w:val="52616B"/>
          <w:sz w:val="16"/>
        </w:rPr>
        <w:t xml:space="preserve">  (UI acceptance)</w:t>
      </w:r>
    </w:p>
    <w:p>
      <w:pPr>
        <w:spacing w:after="50"/>
        <w:ind w:left="173" w:hanging="173"/>
      </w:pPr>
      <w:r>
        <w:rPr>
          <w:rFonts w:ascii="DejaVu Sans" w:hAnsi="DejaVu Sans"/>
          <w:color w:val="0D6B68"/>
          <w:sz w:val="20"/>
        </w:rPr>
        <w:t xml:space="preserve">☐  </w:t>
      </w:r>
      <w:r>
        <w:rPr>
          <w:b/>
          <w:color w:val="0D6B68"/>
        </w:rPr>
        <w:t xml:space="preserve">[Shared] </w:t>
      </w:r>
      <w:r>
        <w:t>Run automated tests and record the command and result in README or project notes.</w:t>
      </w:r>
      <w:r>
        <w:rPr>
          <w:i/>
          <w:color w:val="52616B"/>
          <w:sz w:val="16"/>
        </w:rPr>
        <w:t xml:space="preserve">  (Test plan)</w:t>
      </w:r>
    </w:p>
    <w:p>
      <w:pPr>
        <w:spacing w:after="50"/>
        <w:ind w:left="173" w:hanging="173"/>
      </w:pPr>
      <w:r>
        <w:rPr>
          <w:rFonts w:ascii="DejaVu Sans" w:hAnsi="DejaVu Sans"/>
          <w:color w:val="0D6B68"/>
          <w:sz w:val="20"/>
        </w:rPr>
        <w:t xml:space="preserve">☐  </w:t>
      </w:r>
      <w:r>
        <w:rPr>
          <w:b/>
          <w:color w:val="0D6B68"/>
        </w:rPr>
        <w:t xml:space="preserve">[Shared] </w:t>
      </w:r>
      <w:r>
        <w:t>Fix contract mismatches at the source and update the fixture/docs when either side changes.</w:t>
      </w:r>
      <w:r>
        <w:rPr>
          <w:i/>
          <w:color w:val="52616B"/>
          <w:sz w:val="16"/>
        </w:rPr>
        <w:t xml:space="preserve">  (Integration)</w:t>
      </w:r>
    </w:p>
    <w:p>
      <w:pPr>
        <w:spacing w:before="80" w:after="160"/>
      </w:pPr>
      <w:r>
        <w:rPr>
          <w:b/>
          <w:color w:val="18324B"/>
        </w:rPr>
        <w:t xml:space="preserve">PHASE EXIT  </w:t>
      </w:r>
      <w:r>
        <w:t>The team completes one end-to-end demo path with valid data and one failure path with clear stale/error handling.</w:t>
      </w:r>
    </w:p>
    <w:p>
      <w:pPr>
        <w:pStyle w:val="Heading1"/>
      </w:pPr>
      <w:r>
        <w:rPr>
          <w:color w:val="000000"/>
        </w:rPr>
        <w:t>Phase 11  Document, package, and demo</w:t>
      </w:r>
    </w:p>
    <w:p>
      <w:pPr>
        <w:spacing w:after="100"/>
      </w:pPr>
      <w:r>
        <w:rPr>
          <w:b/>
          <w:color w:val="0D6B68"/>
        </w:rPr>
        <w:t xml:space="preserve">Purpose  </w:t>
      </w:r>
      <w:r>
        <w:t>Make it possible for an evaluator to understand the method, run the project, and interpret its limits.</w:t>
      </w:r>
    </w:p>
    <w:p>
      <w:pPr>
        <w:spacing w:after="50"/>
        <w:ind w:left="173" w:hanging="173"/>
      </w:pPr>
      <w:r>
        <w:rPr>
          <w:rFonts w:ascii="DejaVu Sans" w:hAnsi="DejaVu Sans"/>
          <w:color w:val="0D6B68"/>
          <w:sz w:val="20"/>
        </w:rPr>
        <w:t xml:space="preserve">☐  </w:t>
      </w:r>
      <w:r>
        <w:rPr>
          <w:b/>
          <w:color w:val="0D6B68"/>
        </w:rPr>
        <w:t xml:space="preserve">[Shared] </w:t>
      </w:r>
      <w:r>
        <w:t>Write setup instructions for prerequisites, dependencies, environment configuration, database/sample data, start commands, and troubleshooting.</w:t>
      </w:r>
      <w:r>
        <w:rPr>
          <w:i/>
          <w:color w:val="52616B"/>
          <w:sz w:val="16"/>
        </w:rPr>
        <w:t xml:space="preserve">  (Acceptance)</w:t>
      </w:r>
    </w:p>
    <w:p>
      <w:pPr>
        <w:spacing w:after="50"/>
        <w:ind w:left="173" w:hanging="173"/>
      </w:pPr>
      <w:r>
        <w:rPr>
          <w:rFonts w:ascii="DejaVu Sans" w:hAnsi="DejaVu Sans"/>
          <w:color w:val="0D6B68"/>
          <w:sz w:val="20"/>
        </w:rPr>
        <w:t xml:space="preserve">☐  </w:t>
      </w:r>
      <w:r>
        <w:rPr>
          <w:b/>
          <w:color w:val="0D6B68"/>
        </w:rPr>
        <w:t xml:space="preserve">[Sumukh] </w:t>
      </w:r>
      <w:r>
        <w:t>Document the approved data sources and their terms, rate limits, attribution, and any data retention limits.</w:t>
      </w:r>
      <w:r>
        <w:rPr>
          <w:i/>
          <w:color w:val="52616B"/>
          <w:sz w:val="16"/>
        </w:rPr>
        <w:t xml:space="preserve">  (DEC-02)</w:t>
      </w:r>
    </w:p>
    <w:p>
      <w:pPr>
        <w:spacing w:after="50"/>
        <w:ind w:left="173" w:hanging="173"/>
      </w:pPr>
      <w:r>
        <w:rPr>
          <w:rFonts w:ascii="DejaVu Sans" w:hAnsi="DejaVu Sans"/>
          <w:color w:val="0D6B68"/>
          <w:sz w:val="20"/>
        </w:rPr>
        <w:t xml:space="preserve">☐  </w:t>
      </w:r>
      <w:r>
        <w:rPr>
          <w:b/>
          <w:color w:val="0D6B68"/>
        </w:rPr>
        <w:t xml:space="preserve">[Sumukh drafts; Prathyush reviews] </w:t>
      </w:r>
      <w:r>
        <w:t>Document the watchlist, target formula, cutoff, timezone rules, threshold, sentiment method, baseline, news-aware model, and test date range.</w:t>
      </w:r>
      <w:r>
        <w:rPr>
          <w:i/>
          <w:color w:val="52616B"/>
          <w:sz w:val="16"/>
        </w:rPr>
        <w:t xml:space="preserve">  (DEC-01–05)</w:t>
      </w:r>
    </w:p>
    <w:p>
      <w:pPr>
        <w:spacing w:after="50"/>
        <w:ind w:left="173" w:hanging="173"/>
      </w:pPr>
      <w:r>
        <w:rPr>
          <w:rFonts w:ascii="DejaVu Sans" w:hAnsi="DejaVu Sans"/>
          <w:color w:val="0D6B68"/>
          <w:sz w:val="20"/>
        </w:rPr>
        <w:t xml:space="preserve">☐  </w:t>
      </w:r>
      <w:r>
        <w:rPr>
          <w:b/>
          <w:color w:val="0D6B68"/>
        </w:rPr>
        <w:t xml:space="preserve">[Prathyush] </w:t>
      </w:r>
      <w:r>
        <w:t>Explain the dashboard’s fields, signal labels, percent units, percentage-point errors, pending outcomes, and freshness indicators.</w:t>
      </w:r>
      <w:r>
        <w:rPr>
          <w:i/>
          <w:color w:val="52616B"/>
          <w:sz w:val="16"/>
        </w:rPr>
        <w:t xml:space="preserve">  (NFR-07)</w:t>
      </w:r>
    </w:p>
    <w:p>
      <w:pPr>
        <w:spacing w:after="50"/>
        <w:ind w:left="173" w:hanging="173"/>
      </w:pPr>
      <w:r>
        <w:rPr>
          <w:rFonts w:ascii="DejaVu Sans" w:hAnsi="DejaVu Sans"/>
          <w:color w:val="0D6B68"/>
          <w:sz w:val="20"/>
        </w:rPr>
        <w:t xml:space="preserve">☐  </w:t>
      </w:r>
      <w:r>
        <w:rPr>
          <w:b/>
          <w:color w:val="0D6B68"/>
        </w:rPr>
        <w:t xml:space="preserve">[Sumukh] </w:t>
      </w:r>
      <w:r>
        <w:t>Document how to reproduce the evaluation and why the test set was not used during tuning.</w:t>
      </w:r>
      <w:r>
        <w:rPr>
          <w:i/>
          <w:color w:val="52616B"/>
          <w:sz w:val="16"/>
        </w:rPr>
        <w:t xml:space="preserve">  (NFR-04)</w:t>
      </w:r>
    </w:p>
    <w:p>
      <w:pPr>
        <w:spacing w:after="50"/>
        <w:ind w:left="173" w:hanging="173"/>
      </w:pPr>
      <w:r>
        <w:rPr>
          <w:rFonts w:ascii="DejaVu Sans" w:hAnsi="DejaVu Sans"/>
          <w:color w:val="0D6B68"/>
          <w:sz w:val="20"/>
        </w:rPr>
        <w:t xml:space="preserve">☐  </w:t>
      </w:r>
      <w:r>
        <w:rPr>
          <w:b/>
          <w:color w:val="0D6B68"/>
        </w:rPr>
        <w:t xml:space="preserve">[Shared] </w:t>
      </w:r>
      <w:r>
        <w:t>State limitations: noisy daily returns, ambiguous news matching, sentiment errors, source access limits, survivorship/corporate action risks, and that accuracy does not prove profitability.</w:t>
      </w:r>
      <w:r>
        <w:rPr>
          <w:i/>
          <w:color w:val="52616B"/>
          <w:sz w:val="16"/>
        </w:rPr>
        <w:t xml:space="preserve">  (Risk section)</w:t>
      </w:r>
    </w:p>
    <w:p>
      <w:pPr>
        <w:spacing w:after="50"/>
        <w:ind w:left="173" w:hanging="173"/>
      </w:pPr>
      <w:r>
        <w:rPr>
          <w:rFonts w:ascii="DejaVu Sans" w:hAnsi="DejaVu Sans"/>
          <w:color w:val="0D6B68"/>
          <w:sz w:val="20"/>
        </w:rPr>
        <w:t xml:space="preserve">☐  </w:t>
      </w:r>
      <w:r>
        <w:rPr>
          <w:b/>
          <w:color w:val="0D6B68"/>
        </w:rPr>
        <w:t xml:space="preserve">[Shared] </w:t>
      </w:r>
      <w:r>
        <w:t>Prepare a demo sequence: show overview, ranked signals and evidence, prediction history, model comparison, and a stale/error state.</w:t>
      </w:r>
      <w:r>
        <w:rPr>
          <w:i/>
          <w:color w:val="52616B"/>
          <w:sz w:val="16"/>
        </w:rPr>
        <w:t xml:space="preserve">  (Demo)</w:t>
      </w:r>
    </w:p>
    <w:p>
      <w:pPr>
        <w:spacing w:after="50"/>
        <w:ind w:left="173" w:hanging="173"/>
      </w:pPr>
      <w:r>
        <w:rPr>
          <w:rFonts w:ascii="DejaVu Sans" w:hAnsi="DejaVu Sans"/>
          <w:color w:val="0D6B68"/>
          <w:sz w:val="20"/>
        </w:rPr>
        <w:t xml:space="preserve">☐  </w:t>
      </w:r>
      <w:r>
        <w:rPr>
          <w:b/>
          <w:color w:val="0D6B68"/>
        </w:rPr>
        <w:t xml:space="preserve">[Shared] </w:t>
      </w:r>
      <w:r>
        <w:t>Ensure the demo uses permitted live data or the documented sample/historical dataset and does not expose secrets.</w:t>
      </w:r>
      <w:r>
        <w:rPr>
          <w:i/>
          <w:color w:val="52616B"/>
          <w:sz w:val="16"/>
        </w:rPr>
        <w:t xml:space="preserve">  (Acceptance/NFR-05)</w:t>
      </w:r>
    </w:p>
    <w:p>
      <w:pPr>
        <w:spacing w:after="50"/>
        <w:ind w:left="173" w:hanging="173"/>
      </w:pPr>
      <w:r>
        <w:rPr>
          <w:rFonts w:ascii="DejaVu Sans" w:hAnsi="DejaVu Sans"/>
          <w:color w:val="0D6B68"/>
          <w:sz w:val="20"/>
        </w:rPr>
        <w:t xml:space="preserve">☐  </w:t>
      </w:r>
      <w:r>
        <w:rPr>
          <w:b/>
          <w:color w:val="0D6B68"/>
        </w:rPr>
        <w:t xml:space="preserve">[Shared] </w:t>
      </w:r>
      <w:r>
        <w:t>Capture a final checklist sign-off and list any known limitations or incomplete Should items honestly.</w:t>
      </w:r>
      <w:r>
        <w:rPr>
          <w:i/>
          <w:color w:val="52616B"/>
          <w:sz w:val="16"/>
        </w:rPr>
        <w:t xml:space="preserve">  (Release gate)</w:t>
      </w:r>
    </w:p>
    <w:p>
      <w:pPr>
        <w:spacing w:before="80" w:after="160"/>
      </w:pPr>
      <w:r>
        <w:rPr>
          <w:b/>
          <w:color w:val="18324B"/>
        </w:rPr>
        <w:t xml:space="preserve">PHASE EXIT  </w:t>
      </w:r>
      <w:r>
        <w:t>A reviewer can set up and demo the project using documented steps, and can see exactly what the metrics do and do not establish.</w:t>
      </w:r>
    </w:p>
    <w:p>
      <w:pPr>
        <w:pStyle w:val="Heading1"/>
      </w:pPr>
      <w:r>
        <w:rPr>
          <w:color w:val="000000"/>
        </w:rPr>
        <w:t>Responsibility map</w:t>
      </w:r>
    </w:p>
    <w:p>
      <w:r>
        <w:t>The lead owns delivery and review for the task. The supporting contributor participates in the contract, integration, or verification work named here. Both contributors share the milestone decisions and final acceptance.</w:t>
      </w:r>
    </w:p>
    <w:tbl>
      <w:tblPr>
        <w:tblW w:type="auto" w:w="0"/>
        <w:jc w:val="center"/>
        <w:tblLayout w:type="fixed"/>
        <w:tblLook w:firstColumn="1" w:firstRow="1" w:lastColumn="0" w:lastRow="0" w:noHBand="0" w:noVBand="1" w:val="04A0"/>
      </w:tblPr>
      <w:tblGrid>
        <w:gridCol w:w="2527"/>
        <w:gridCol w:w="2527"/>
        <w:gridCol w:w="2527"/>
        <w:gridCol w:w="2527"/>
      </w:tblGrid>
      <w:tr>
        <w:trPr>
          <w:tblHeader w:val="true"/>
          <w:cantSplit/>
        </w:trPr>
        <w:tc>
          <w:tcPr>
            <w:tcW w:type="dxa" w:w="1944"/>
            <w:shd w:fill="18324B"/>
            <w:tcMar>
              <w:top w:w="90" w:type="dxa"/>
              <w:start w:w="110" w:type="dxa"/>
              <w:bottom w:w="90" w:type="dxa"/>
              <w:end w:w="110" w:type="dxa"/>
            </w:tcMar>
            <w:vAlign w:val="center"/>
          </w:tcPr>
          <w:p>
            <w:pPr>
              <w:spacing w:after="0"/>
            </w:pPr>
            <w:r>
              <w:rPr>
                <w:b/>
                <w:color w:val="FFFFFF"/>
                <w:sz w:val="16"/>
              </w:rPr>
              <w:t>Work area</w:t>
            </w:r>
          </w:p>
        </w:tc>
        <w:tc>
          <w:tcPr>
            <w:tcW w:type="dxa" w:w="1512"/>
            <w:shd w:fill="18324B"/>
            <w:tcMar>
              <w:top w:w="90" w:type="dxa"/>
              <w:start w:w="110" w:type="dxa"/>
              <w:bottom w:w="90" w:type="dxa"/>
              <w:end w:w="110" w:type="dxa"/>
            </w:tcMar>
            <w:vAlign w:val="center"/>
          </w:tcPr>
          <w:p>
            <w:pPr>
              <w:spacing w:after="0"/>
            </w:pPr>
            <w:r>
              <w:rPr>
                <w:b/>
                <w:color w:val="FFFFFF"/>
                <w:sz w:val="16"/>
              </w:rPr>
              <w:t>Lead</w:t>
            </w:r>
          </w:p>
        </w:tc>
        <w:tc>
          <w:tcPr>
            <w:tcW w:type="dxa" w:w="3240"/>
            <w:shd w:fill="18324B"/>
            <w:tcMar>
              <w:top w:w="90" w:type="dxa"/>
              <w:start w:w="110" w:type="dxa"/>
              <w:bottom w:w="90" w:type="dxa"/>
              <w:end w:w="110" w:type="dxa"/>
            </w:tcMar>
            <w:vAlign w:val="center"/>
          </w:tcPr>
          <w:p>
            <w:pPr>
              <w:spacing w:after="0"/>
            </w:pPr>
            <w:r>
              <w:rPr>
                <w:b/>
                <w:color w:val="FFFFFF"/>
                <w:sz w:val="16"/>
              </w:rPr>
              <w:t>Supporting contribution</w:t>
            </w:r>
          </w:p>
        </w:tc>
        <w:tc>
          <w:tcPr>
            <w:tcW w:type="dxa" w:w="2880"/>
            <w:shd w:fill="18324B"/>
            <w:tcMar>
              <w:top w:w="90" w:type="dxa"/>
              <w:start w:w="110" w:type="dxa"/>
              <w:bottom w:w="90" w:type="dxa"/>
              <w:end w:w="110" w:type="dxa"/>
            </w:tcMar>
            <w:vAlign w:val="center"/>
          </w:tcPr>
          <w:p>
            <w:pPr>
              <w:spacing w:after="0"/>
            </w:pPr>
            <w:r>
              <w:rPr>
                <w:b/>
                <w:color w:val="FFFFFF"/>
                <w:sz w:val="16"/>
              </w:rPr>
              <w:t>Evidence of completion</w:t>
            </w:r>
          </w:p>
        </w:tc>
      </w:tr>
      <w:tr>
        <w:trPr>
          <w:cantSplit/>
        </w:trPr>
        <w:tc>
          <w:tcPr>
            <w:tcW w:type="dxa" w:w="1944"/>
            <w:tcMar>
              <w:top w:w="90" w:type="dxa"/>
              <w:start w:w="110" w:type="dxa"/>
              <w:bottom w:w="90" w:type="dxa"/>
              <w:end w:w="110" w:type="dxa"/>
            </w:tcMar>
            <w:vAlign w:val="center"/>
          </w:tcPr>
          <w:p>
            <w:pPr>
              <w:spacing w:after="0" w:line="240" w:lineRule="auto"/>
            </w:pPr>
            <w:r>
              <w:rPr>
                <w:sz w:val="16"/>
              </w:rPr>
              <w:t>Market, ticker, source, target decisions</w:t>
            </w:r>
          </w:p>
        </w:tc>
        <w:tc>
          <w:tcPr>
            <w:tcW w:type="dxa" w:w="1512"/>
            <w:tcMar>
              <w:top w:w="90" w:type="dxa"/>
              <w:start w:w="110" w:type="dxa"/>
              <w:bottom w:w="90" w:type="dxa"/>
              <w:end w:w="110" w:type="dxa"/>
            </w:tcMar>
            <w:vAlign w:val="center"/>
          </w:tcPr>
          <w:p>
            <w:pPr>
              <w:spacing w:after="0" w:line="240" w:lineRule="auto"/>
            </w:pPr>
            <w:r>
              <w:rPr>
                <w:sz w:val="16"/>
              </w:rPr>
              <w:t>Shared</w:t>
            </w:r>
          </w:p>
        </w:tc>
        <w:tc>
          <w:tcPr>
            <w:tcW w:type="dxa" w:w="3240"/>
            <w:tcMar>
              <w:top w:w="90" w:type="dxa"/>
              <w:start w:w="110" w:type="dxa"/>
              <w:bottom w:w="90" w:type="dxa"/>
              <w:end w:w="110" w:type="dxa"/>
            </w:tcMar>
            <w:vAlign w:val="center"/>
          </w:tcPr>
          <w:p>
            <w:pPr>
              <w:spacing w:after="0" w:line="240" w:lineRule="auto"/>
            </w:pPr>
            <w:r>
              <w:rPr>
                <w:sz w:val="16"/>
              </w:rPr>
              <w:t>Both approve README decisions.</w:t>
            </w:r>
          </w:p>
        </w:tc>
        <w:tc>
          <w:tcPr>
            <w:tcW w:type="dxa" w:w="2880"/>
            <w:tcMar>
              <w:top w:w="90" w:type="dxa"/>
              <w:start w:w="110" w:type="dxa"/>
              <w:bottom w:w="90" w:type="dxa"/>
              <w:end w:w="110" w:type="dxa"/>
            </w:tcMar>
            <w:vAlign w:val="center"/>
          </w:tcPr>
          <w:p>
            <w:pPr>
              <w:spacing w:after="0" w:line="240" w:lineRule="auto"/>
            </w:pPr>
            <w:r>
              <w:rPr>
                <w:sz w:val="16"/>
              </w:rPr>
              <w:t>Decision record and source notes</w:t>
            </w:r>
          </w:p>
        </w:tc>
      </w:tr>
      <w:tr>
        <w:trPr>
          <w:cantSplit/>
        </w:trPr>
        <w:tc>
          <w:tcPr>
            <w:tcW w:type="dxa" w:w="1944"/>
            <w:tcMar>
              <w:top w:w="90" w:type="dxa"/>
              <w:start w:w="110" w:type="dxa"/>
              <w:bottom w:w="90" w:type="dxa"/>
              <w:end w:w="110" w:type="dxa"/>
            </w:tcMar>
            <w:vAlign w:val="center"/>
            <w:shd w:fill="F4F6F8"/>
          </w:tcPr>
          <w:p>
            <w:pPr>
              <w:spacing w:after="0" w:line="240" w:lineRule="auto"/>
            </w:pPr>
            <w:r>
              <w:rPr>
                <w:sz w:val="16"/>
              </w:rPr>
              <w:t>Backend data and prediction pipeline</w:t>
            </w:r>
          </w:p>
        </w:tc>
        <w:tc>
          <w:tcPr>
            <w:tcW w:type="dxa" w:w="1512"/>
            <w:tcMar>
              <w:top w:w="90" w:type="dxa"/>
              <w:start w:w="110" w:type="dxa"/>
              <w:bottom w:w="90" w:type="dxa"/>
              <w:end w:w="110" w:type="dxa"/>
            </w:tcMar>
            <w:vAlign w:val="center"/>
            <w:shd w:fill="F4F6F8"/>
          </w:tcPr>
          <w:p>
            <w:pPr>
              <w:spacing w:after="0" w:line="240" w:lineRule="auto"/>
            </w:pPr>
            <w:r>
              <w:rPr>
                <w:sz w:val="16"/>
              </w:rPr>
              <w:t>Sumukh</w:t>
            </w:r>
          </w:p>
        </w:tc>
        <w:tc>
          <w:tcPr>
            <w:tcW w:type="dxa" w:w="3240"/>
            <w:tcMar>
              <w:top w:w="90" w:type="dxa"/>
              <w:start w:w="110" w:type="dxa"/>
              <w:bottom w:w="90" w:type="dxa"/>
              <w:end w:w="110" w:type="dxa"/>
            </w:tcMar>
            <w:vAlign w:val="center"/>
            <w:shd w:fill="F4F6F8"/>
          </w:tcPr>
          <w:p>
            <w:pPr>
              <w:spacing w:after="0" w:line="240" w:lineRule="auto"/>
            </w:pPr>
            <w:r>
              <w:rPr>
                <w:sz w:val="16"/>
              </w:rPr>
              <w:t>Prathyush reviews fields, units, and UI needs.</w:t>
            </w:r>
          </w:p>
        </w:tc>
        <w:tc>
          <w:tcPr>
            <w:tcW w:type="dxa" w:w="2880"/>
            <w:tcMar>
              <w:top w:w="90" w:type="dxa"/>
              <w:start w:w="110" w:type="dxa"/>
              <w:bottom w:w="90" w:type="dxa"/>
              <w:end w:w="110" w:type="dxa"/>
            </w:tcMar>
            <w:vAlign w:val="center"/>
            <w:shd w:fill="F4F6F8"/>
          </w:tcPr>
          <w:p>
            <w:pPr>
              <w:spacing w:after="0" w:line="240" w:lineRule="auto"/>
            </w:pPr>
            <w:r>
              <w:rPr>
                <w:sz w:val="16"/>
              </w:rPr>
              <w:t>Working pipeline, schema, tests, reproducible run</w:t>
            </w:r>
          </w:p>
        </w:tc>
      </w:tr>
      <w:tr>
        <w:trPr>
          <w:cantSplit/>
        </w:trPr>
        <w:tc>
          <w:tcPr>
            <w:tcW w:type="dxa" w:w="1944"/>
            <w:tcMar>
              <w:top w:w="90" w:type="dxa"/>
              <w:start w:w="110" w:type="dxa"/>
              <w:bottom w:w="90" w:type="dxa"/>
              <w:end w:w="110" w:type="dxa"/>
            </w:tcMar>
            <w:vAlign w:val="center"/>
          </w:tcPr>
          <w:p>
            <w:pPr>
              <w:spacing w:after="0" w:line="240" w:lineRule="auto"/>
            </w:pPr>
            <w:r>
              <w:rPr>
                <w:sz w:val="16"/>
              </w:rPr>
              <w:t>API and status behavior</w:t>
            </w:r>
          </w:p>
        </w:tc>
        <w:tc>
          <w:tcPr>
            <w:tcW w:type="dxa" w:w="1512"/>
            <w:tcMar>
              <w:top w:w="90" w:type="dxa"/>
              <w:start w:w="110" w:type="dxa"/>
              <w:bottom w:w="90" w:type="dxa"/>
              <w:end w:w="110" w:type="dxa"/>
            </w:tcMar>
            <w:vAlign w:val="center"/>
          </w:tcPr>
          <w:p>
            <w:pPr>
              <w:spacing w:after="0" w:line="240" w:lineRule="auto"/>
            </w:pPr>
            <w:r>
              <w:rPr>
                <w:sz w:val="16"/>
              </w:rPr>
              <w:t>Sumukh</w:t>
            </w:r>
          </w:p>
        </w:tc>
        <w:tc>
          <w:tcPr>
            <w:tcW w:type="dxa" w:w="3240"/>
            <w:tcMar>
              <w:top w:w="90" w:type="dxa"/>
              <w:start w:w="110" w:type="dxa"/>
              <w:bottom w:w="90" w:type="dxa"/>
              <w:end w:w="110" w:type="dxa"/>
            </w:tcMar>
            <w:vAlign w:val="center"/>
          </w:tcPr>
          <w:p>
            <w:pPr>
              <w:spacing w:after="0" w:line="240" w:lineRule="auto"/>
            </w:pPr>
            <w:r>
              <w:rPr>
                <w:sz w:val="16"/>
              </w:rPr>
              <w:t>Prathyush co-defines contract and writes one integration check.</w:t>
            </w:r>
          </w:p>
        </w:tc>
        <w:tc>
          <w:tcPr>
            <w:tcW w:type="dxa" w:w="2880"/>
            <w:tcMar>
              <w:top w:w="90" w:type="dxa"/>
              <w:start w:w="110" w:type="dxa"/>
              <w:bottom w:w="90" w:type="dxa"/>
              <w:end w:w="110" w:type="dxa"/>
            </w:tcMar>
            <w:vAlign w:val="center"/>
          </w:tcPr>
          <w:p>
            <w:pPr>
              <w:spacing w:after="0" w:line="240" w:lineRule="auto"/>
            </w:pPr>
            <w:r>
              <w:rPr>
                <w:sz w:val="16"/>
              </w:rPr>
              <w:t>OpenAPI or equivalent docs, fixtures, passing tests</w:t>
            </w:r>
          </w:p>
        </w:tc>
      </w:tr>
      <w:tr>
        <w:trPr>
          <w:cantSplit/>
        </w:trPr>
        <w:tc>
          <w:tcPr>
            <w:tcW w:type="dxa" w:w="1944"/>
            <w:tcMar>
              <w:top w:w="90" w:type="dxa"/>
              <w:start w:w="110" w:type="dxa"/>
              <w:bottom w:w="90" w:type="dxa"/>
              <w:end w:w="110" w:type="dxa"/>
            </w:tcMar>
            <w:vAlign w:val="center"/>
            <w:shd w:fill="F4F6F8"/>
          </w:tcPr>
          <w:p>
            <w:pPr>
              <w:spacing w:after="0" w:line="240" w:lineRule="auto"/>
            </w:pPr>
            <w:r>
              <w:rPr>
                <w:sz w:val="16"/>
              </w:rPr>
              <w:t>Dashboard and interaction design</w:t>
            </w:r>
          </w:p>
        </w:tc>
        <w:tc>
          <w:tcPr>
            <w:tcW w:type="dxa" w:w="1512"/>
            <w:tcMar>
              <w:top w:w="90" w:type="dxa"/>
              <w:start w:w="110" w:type="dxa"/>
              <w:bottom w:w="90" w:type="dxa"/>
              <w:end w:w="110" w:type="dxa"/>
            </w:tcMar>
            <w:vAlign w:val="center"/>
            <w:shd w:fill="F4F6F8"/>
          </w:tcPr>
          <w:p>
            <w:pPr>
              <w:spacing w:after="0" w:line="240" w:lineRule="auto"/>
            </w:pPr>
            <w:r>
              <w:rPr>
                <w:sz w:val="16"/>
              </w:rPr>
              <w:t>Prathyush</w:t>
            </w:r>
          </w:p>
        </w:tc>
        <w:tc>
          <w:tcPr>
            <w:tcW w:type="dxa" w:w="3240"/>
            <w:tcMar>
              <w:top w:w="90" w:type="dxa"/>
              <w:start w:w="110" w:type="dxa"/>
              <w:bottom w:w="90" w:type="dxa"/>
              <w:end w:w="110" w:type="dxa"/>
            </w:tcMar>
            <w:vAlign w:val="center"/>
            <w:shd w:fill="F4F6F8"/>
          </w:tcPr>
          <w:p>
            <w:pPr>
              <w:spacing w:after="0" w:line="240" w:lineRule="auto"/>
            </w:pPr>
            <w:r>
              <w:rPr>
                <w:sz w:val="16"/>
              </w:rPr>
              <w:t>Sumukh implements one UI component and checks values against API.</w:t>
            </w:r>
          </w:p>
        </w:tc>
        <w:tc>
          <w:tcPr>
            <w:tcW w:type="dxa" w:w="2880"/>
            <w:tcMar>
              <w:top w:w="90" w:type="dxa"/>
              <w:start w:w="110" w:type="dxa"/>
              <w:bottom w:w="90" w:type="dxa"/>
              <w:end w:w="110" w:type="dxa"/>
            </w:tcMar>
            <w:vAlign w:val="center"/>
            <w:shd w:fill="F4F6F8"/>
          </w:tcPr>
          <w:p>
            <w:pPr>
              <w:spacing w:after="0" w:line="240" w:lineRule="auto"/>
            </w:pPr>
            <w:r>
              <w:rPr>
                <w:sz w:val="16"/>
              </w:rPr>
              <w:t>Responsive screens and states</w:t>
            </w:r>
          </w:p>
        </w:tc>
      </w:tr>
      <w:tr>
        <w:trPr>
          <w:cantSplit/>
        </w:trPr>
        <w:tc>
          <w:tcPr>
            <w:tcW w:type="dxa" w:w="1944"/>
            <w:tcMar>
              <w:top w:w="90" w:type="dxa"/>
              <w:start w:w="110" w:type="dxa"/>
              <w:bottom w:w="90" w:type="dxa"/>
              <w:end w:w="110" w:type="dxa"/>
            </w:tcMar>
            <w:vAlign w:val="center"/>
          </w:tcPr>
          <w:p>
            <w:pPr>
              <w:spacing w:after="0" w:line="240" w:lineRule="auto"/>
            </w:pPr>
            <w:r>
              <w:rPr>
                <w:sz w:val="16"/>
              </w:rPr>
              <w:t>End-to-end integration</w:t>
            </w:r>
          </w:p>
        </w:tc>
        <w:tc>
          <w:tcPr>
            <w:tcW w:type="dxa" w:w="1512"/>
            <w:tcMar>
              <w:top w:w="90" w:type="dxa"/>
              <w:start w:w="110" w:type="dxa"/>
              <w:bottom w:w="90" w:type="dxa"/>
              <w:end w:w="110" w:type="dxa"/>
            </w:tcMar>
            <w:vAlign w:val="center"/>
          </w:tcPr>
          <w:p>
            <w:pPr>
              <w:spacing w:after="0" w:line="240" w:lineRule="auto"/>
            </w:pPr>
            <w:r>
              <w:rPr>
                <w:sz w:val="16"/>
              </w:rPr>
              <w:t>Shared</w:t>
            </w:r>
          </w:p>
        </w:tc>
        <w:tc>
          <w:tcPr>
            <w:tcW w:type="dxa" w:w="3240"/>
            <w:tcMar>
              <w:top w:w="90" w:type="dxa"/>
              <w:start w:w="110" w:type="dxa"/>
              <w:bottom w:w="90" w:type="dxa"/>
              <w:end w:w="110" w:type="dxa"/>
            </w:tcMar>
            <w:vAlign w:val="center"/>
          </w:tcPr>
          <w:p>
            <w:pPr>
              <w:spacing w:after="0" w:line="240" w:lineRule="auto"/>
            </w:pPr>
            <w:r>
              <w:rPr>
                <w:sz w:val="16"/>
              </w:rPr>
              <w:t>Each reviews the other’s main area.</w:t>
            </w:r>
          </w:p>
        </w:tc>
        <w:tc>
          <w:tcPr>
            <w:tcW w:type="dxa" w:w="2880"/>
            <w:tcMar>
              <w:top w:w="90" w:type="dxa"/>
              <w:start w:w="110" w:type="dxa"/>
              <w:bottom w:w="90" w:type="dxa"/>
              <w:end w:w="110" w:type="dxa"/>
            </w:tcMar>
            <w:vAlign w:val="center"/>
          </w:tcPr>
          <w:p>
            <w:pPr>
              <w:spacing w:after="0" w:line="240" w:lineRule="auto"/>
            </w:pPr>
            <w:r>
              <w:rPr>
                <w:sz w:val="16"/>
              </w:rPr>
              <w:t>Demo log and acceptance checklist</w:t>
            </w:r>
          </w:p>
        </w:tc>
      </w:tr>
      <w:tr>
        <w:trPr>
          <w:cantSplit/>
        </w:trPr>
        <w:tc>
          <w:tcPr>
            <w:tcW w:type="dxa" w:w="1944"/>
            <w:tcMar>
              <w:top w:w="90" w:type="dxa"/>
              <w:start w:w="110" w:type="dxa"/>
              <w:bottom w:w="90" w:type="dxa"/>
              <w:end w:w="110" w:type="dxa"/>
            </w:tcMar>
            <w:vAlign w:val="center"/>
            <w:shd w:fill="F4F6F8"/>
          </w:tcPr>
          <w:p>
            <w:pPr>
              <w:spacing w:after="0" w:line="240" w:lineRule="auto"/>
            </w:pPr>
            <w:r>
              <w:rPr>
                <w:sz w:val="16"/>
              </w:rPr>
              <w:t>Documentation and demo</w:t>
            </w:r>
          </w:p>
        </w:tc>
        <w:tc>
          <w:tcPr>
            <w:tcW w:type="dxa" w:w="1512"/>
            <w:tcMar>
              <w:top w:w="90" w:type="dxa"/>
              <w:start w:w="110" w:type="dxa"/>
              <w:bottom w:w="90" w:type="dxa"/>
              <w:end w:w="110" w:type="dxa"/>
            </w:tcMar>
            <w:vAlign w:val="center"/>
            <w:shd w:fill="F4F6F8"/>
          </w:tcPr>
          <w:p>
            <w:pPr>
              <w:spacing w:after="0" w:line="240" w:lineRule="auto"/>
            </w:pPr>
            <w:r>
              <w:rPr>
                <w:sz w:val="16"/>
              </w:rPr>
              <w:t>Shared</w:t>
            </w:r>
          </w:p>
        </w:tc>
        <w:tc>
          <w:tcPr>
            <w:tcW w:type="dxa" w:w="3240"/>
            <w:tcMar>
              <w:top w:w="90" w:type="dxa"/>
              <w:start w:w="110" w:type="dxa"/>
              <w:bottom w:w="90" w:type="dxa"/>
              <w:end w:w="110" w:type="dxa"/>
            </w:tcMar>
            <w:vAlign w:val="center"/>
            <w:shd w:fill="F4F6F8"/>
          </w:tcPr>
          <w:p>
            <w:pPr>
              <w:spacing w:after="0" w:line="240" w:lineRule="auto"/>
            </w:pPr>
            <w:r>
              <w:rPr>
                <w:sz w:val="16"/>
              </w:rPr>
              <w:t>Sumukh documents data/model; Prathyush documents UI; both rehearse.</w:t>
            </w:r>
          </w:p>
        </w:tc>
        <w:tc>
          <w:tcPr>
            <w:tcW w:type="dxa" w:w="2880"/>
            <w:tcMar>
              <w:top w:w="90" w:type="dxa"/>
              <w:start w:w="110" w:type="dxa"/>
              <w:bottom w:w="90" w:type="dxa"/>
              <w:end w:w="110" w:type="dxa"/>
            </w:tcMar>
            <w:vAlign w:val="center"/>
            <w:shd w:fill="F4F6F8"/>
          </w:tcPr>
          <w:p>
            <w:pPr>
              <w:spacing w:after="0" w:line="240" w:lineRule="auto"/>
            </w:pPr>
            <w:r>
              <w:rPr>
                <w:sz w:val="16"/>
              </w:rPr>
              <w:t>README, source/method notes, demo checklist</w:t>
            </w:r>
          </w:p>
        </w:tc>
      </w:tr>
    </w:tbl>
    <w:p>
      <w:pPr>
        <w:spacing w:after="20"/>
      </w:pPr>
    </w:p>
    <w:p>
      <w:pPr>
        <w:pStyle w:val="Heading1"/>
      </w:pPr>
      <w:r>
        <w:rPr>
          <w:color w:val="000000"/>
        </w:rPr>
        <w:t>Data contract field checklist</w:t>
      </w:r>
    </w:p>
    <w:tbl>
      <w:tblPr>
        <w:tblW w:type="auto" w:w="0"/>
        <w:jc w:val="center"/>
        <w:tblLayout w:type="fixed"/>
        <w:tblLook w:firstColumn="1" w:firstRow="1" w:lastColumn="0" w:lastRow="0" w:noHBand="0" w:noVBand="1" w:val="04A0"/>
      </w:tblPr>
      <w:tblGrid>
        <w:gridCol w:w="5054"/>
        <w:gridCol w:w="5054"/>
      </w:tblGrid>
      <w:tr>
        <w:trPr>
          <w:tblHeader w:val="true"/>
          <w:cantSplit/>
        </w:trPr>
        <w:tc>
          <w:tcPr>
            <w:tcW w:type="dxa" w:w="1872"/>
            <w:shd w:fill="18324B"/>
            <w:tcMar>
              <w:top w:w="90" w:type="dxa"/>
              <w:start w:w="110" w:type="dxa"/>
              <w:bottom w:w="90" w:type="dxa"/>
              <w:end w:w="110" w:type="dxa"/>
            </w:tcMar>
            <w:vAlign w:val="center"/>
          </w:tcPr>
          <w:p>
            <w:pPr>
              <w:spacing w:after="0"/>
            </w:pPr>
            <w:r>
              <w:rPr>
                <w:b/>
                <w:color w:val="FFFFFF"/>
                <w:sz w:val="16"/>
              </w:rPr>
              <w:t>Record</w:t>
            </w:r>
          </w:p>
        </w:tc>
        <w:tc>
          <w:tcPr>
            <w:tcW w:type="dxa" w:w="7704"/>
            <w:shd w:fill="18324B"/>
            <w:tcMar>
              <w:top w:w="90" w:type="dxa"/>
              <w:start w:w="110" w:type="dxa"/>
              <w:bottom w:w="90" w:type="dxa"/>
              <w:end w:w="110" w:type="dxa"/>
            </w:tcMar>
            <w:vAlign w:val="center"/>
          </w:tcPr>
          <w:p>
            <w:pPr>
              <w:spacing w:after="0"/>
            </w:pPr>
            <w:r>
              <w:rPr>
                <w:b/>
                <w:color w:val="FFFFFF"/>
                <w:sz w:val="16"/>
              </w:rPr>
              <w:t>Fields to include or explicitly decide</w:t>
            </w:r>
          </w:p>
        </w:tc>
      </w:tr>
      <w:tr>
        <w:trPr>
          <w:cantSplit/>
        </w:trPr>
        <w:tc>
          <w:tcPr>
            <w:tcW w:type="dxa" w:w="1872"/>
            <w:tcMar>
              <w:top w:w="90" w:type="dxa"/>
              <w:start w:w="110" w:type="dxa"/>
              <w:bottom w:w="90" w:type="dxa"/>
              <w:end w:w="110" w:type="dxa"/>
            </w:tcMar>
            <w:vAlign w:val="center"/>
          </w:tcPr>
          <w:p>
            <w:pPr>
              <w:spacing w:after="0" w:line="240" w:lineRule="auto"/>
            </w:pPr>
            <w:r>
              <w:rPr>
                <w:sz w:val="16"/>
              </w:rPr>
              <w:t>Asset</w:t>
            </w:r>
          </w:p>
        </w:tc>
        <w:tc>
          <w:tcPr>
            <w:tcW w:type="dxa" w:w="7704"/>
            <w:tcMar>
              <w:top w:w="90" w:type="dxa"/>
              <w:start w:w="110" w:type="dxa"/>
              <w:bottom w:w="90" w:type="dxa"/>
              <w:end w:w="110" w:type="dxa"/>
            </w:tcMar>
            <w:vAlign w:val="center"/>
          </w:tcPr>
          <w:p>
            <w:pPr>
              <w:spacing w:after="0" w:line="240" w:lineRule="auto"/>
            </w:pPr>
            <w:r>
              <w:rPr>
                <w:sz w:val="16"/>
              </w:rPr>
              <w:t>asset_id, ticker, display_name, exchange, asset_type (index or stock), active flag.</w:t>
            </w:r>
          </w:p>
        </w:tc>
      </w:tr>
      <w:tr>
        <w:trPr>
          <w:cantSplit/>
        </w:trPr>
        <w:tc>
          <w:tcPr>
            <w:tcW w:type="dxa" w:w="1872"/>
            <w:tcMar>
              <w:top w:w="90" w:type="dxa"/>
              <w:start w:w="110" w:type="dxa"/>
              <w:bottom w:w="90" w:type="dxa"/>
              <w:end w:w="110" w:type="dxa"/>
            </w:tcMar>
            <w:vAlign w:val="center"/>
            <w:shd w:fill="F4F6F8"/>
          </w:tcPr>
          <w:p>
            <w:pPr>
              <w:spacing w:after="0" w:line="240" w:lineRule="auto"/>
            </w:pPr>
            <w:r>
              <w:rPr>
                <w:sz w:val="16"/>
              </w:rPr>
              <w:t>Article</w:t>
            </w:r>
          </w:p>
        </w:tc>
        <w:tc>
          <w:tcPr>
            <w:tcW w:type="dxa" w:w="7704"/>
            <w:tcMar>
              <w:top w:w="90" w:type="dxa"/>
              <w:start w:w="110" w:type="dxa"/>
              <w:bottom w:w="90" w:type="dxa"/>
              <w:end w:w="110" w:type="dxa"/>
            </w:tcMar>
            <w:vAlign w:val="center"/>
            <w:shd w:fill="F4F6F8"/>
          </w:tcPr>
          <w:p>
            <w:pPr>
              <w:spacing w:after="0" w:line="240" w:lineRule="auto"/>
            </w:pPr>
            <w:r>
              <w:rPr>
                <w:sz w:val="16"/>
              </w:rPr>
              <w:t>article_id, source, URL/source ID, headline when permitted, published_at_utc, source timezone if known, ingested_at, linked asset IDs, sentiment label/score, model version, duplicate flag.</w:t>
            </w:r>
          </w:p>
        </w:tc>
      </w:tr>
      <w:tr>
        <w:trPr>
          <w:cantSplit/>
        </w:trPr>
        <w:tc>
          <w:tcPr>
            <w:tcW w:type="dxa" w:w="1872"/>
            <w:tcMar>
              <w:top w:w="90" w:type="dxa"/>
              <w:start w:w="110" w:type="dxa"/>
              <w:bottom w:w="90" w:type="dxa"/>
              <w:end w:w="110" w:type="dxa"/>
            </w:tcMar>
            <w:vAlign w:val="center"/>
          </w:tcPr>
          <w:p>
            <w:pPr>
              <w:spacing w:after="0" w:line="240" w:lineRule="auto"/>
            </w:pPr>
            <w:r>
              <w:rPr>
                <w:sz w:val="16"/>
              </w:rPr>
              <w:t>Daily price</w:t>
            </w:r>
          </w:p>
        </w:tc>
        <w:tc>
          <w:tcPr>
            <w:tcW w:type="dxa" w:w="7704"/>
            <w:tcMar>
              <w:top w:w="90" w:type="dxa"/>
              <w:start w:w="110" w:type="dxa"/>
              <w:bottom w:w="90" w:type="dxa"/>
              <w:end w:w="110" w:type="dxa"/>
            </w:tcMar>
            <w:vAlign w:val="center"/>
          </w:tcPr>
          <w:p>
            <w:pPr>
              <w:spacing w:after="0" w:line="240" w:lineRule="auto"/>
            </w:pPr>
            <w:r>
              <w:rPr>
                <w:sz w:val="16"/>
              </w:rPr>
              <w:t>asset_id, session_date, OHLC where available, adjusted_close when supported, volume, provider, retrieved_at.</w:t>
            </w:r>
          </w:p>
        </w:tc>
      </w:tr>
      <w:tr>
        <w:trPr>
          <w:cantSplit/>
        </w:trPr>
        <w:tc>
          <w:tcPr>
            <w:tcW w:type="dxa" w:w="1872"/>
            <w:tcMar>
              <w:top w:w="90" w:type="dxa"/>
              <w:start w:w="110" w:type="dxa"/>
              <w:bottom w:w="90" w:type="dxa"/>
              <w:end w:w="110" w:type="dxa"/>
            </w:tcMar>
            <w:vAlign w:val="center"/>
            <w:shd w:fill="F4F6F8"/>
          </w:tcPr>
          <w:p>
            <w:pPr>
              <w:spacing w:after="0" w:line="240" w:lineRule="auto"/>
            </w:pPr>
            <w:r>
              <w:rPr>
                <w:sz w:val="16"/>
              </w:rPr>
              <w:t>Prediction</w:t>
            </w:r>
          </w:p>
        </w:tc>
        <w:tc>
          <w:tcPr>
            <w:tcW w:type="dxa" w:w="7704"/>
            <w:tcMar>
              <w:top w:w="90" w:type="dxa"/>
              <w:start w:w="110" w:type="dxa"/>
              <w:bottom w:w="90" w:type="dxa"/>
              <w:end w:w="110" w:type="dxa"/>
            </w:tcMar>
            <w:vAlign w:val="center"/>
            <w:shd w:fill="F4F6F8"/>
          </w:tcPr>
          <w:p>
            <w:pPr>
              <w:spacing w:after="0" w:line="240" w:lineRule="auto"/>
            </w:pPr>
            <w:r>
              <w:rPr>
                <w:sz w:val="16"/>
              </w:rPr>
              <w:t>asset_id, prediction_session, cutoff_at, reference_close, estimated_change_pct, label, model name/version, feature snapshot/reference, created_at, data status.</w:t>
            </w:r>
          </w:p>
        </w:tc>
      </w:tr>
      <w:tr>
        <w:trPr>
          <w:cantSplit/>
        </w:trPr>
        <w:tc>
          <w:tcPr>
            <w:tcW w:type="dxa" w:w="1872"/>
            <w:tcMar>
              <w:top w:w="90" w:type="dxa"/>
              <w:start w:w="110" w:type="dxa"/>
              <w:bottom w:w="90" w:type="dxa"/>
              <w:end w:w="110" w:type="dxa"/>
            </w:tcMar>
            <w:vAlign w:val="center"/>
          </w:tcPr>
          <w:p>
            <w:pPr>
              <w:spacing w:after="0" w:line="240" w:lineRule="auto"/>
            </w:pPr>
            <w:r>
              <w:rPr>
                <w:sz w:val="16"/>
              </w:rPr>
              <w:t>Outcome</w:t>
            </w:r>
          </w:p>
        </w:tc>
        <w:tc>
          <w:tcPr>
            <w:tcW w:type="dxa" w:w="7704"/>
            <w:tcMar>
              <w:top w:w="90" w:type="dxa"/>
              <w:start w:w="110" w:type="dxa"/>
              <w:bottom w:w="90" w:type="dxa"/>
              <w:end w:w="110" w:type="dxa"/>
            </w:tcMar>
            <w:vAlign w:val="center"/>
          </w:tcPr>
          <w:p>
            <w:pPr>
              <w:spacing w:after="0" w:line="240" w:lineRule="auto"/>
            </w:pPr>
            <w:r>
              <w:rPr>
                <w:sz w:val="16"/>
              </w:rPr>
              <w:t>prediction_id, actual_close, actual_change_pct, signed_error_pct_points, absolute_error_pct_points, resolved_at.</w:t>
            </w:r>
          </w:p>
        </w:tc>
      </w:tr>
      <w:tr>
        <w:trPr>
          <w:cantSplit/>
        </w:trPr>
        <w:tc>
          <w:tcPr>
            <w:tcW w:type="dxa" w:w="1872"/>
            <w:tcMar>
              <w:top w:w="90" w:type="dxa"/>
              <w:start w:w="110" w:type="dxa"/>
              <w:bottom w:w="90" w:type="dxa"/>
              <w:end w:w="110" w:type="dxa"/>
            </w:tcMar>
            <w:vAlign w:val="center"/>
            <w:shd w:fill="F4F6F8"/>
          </w:tcPr>
          <w:p>
            <w:pPr>
              <w:spacing w:after="0" w:line="240" w:lineRule="auto"/>
            </w:pPr>
            <w:r>
              <w:rPr>
                <w:sz w:val="16"/>
              </w:rPr>
              <w:t>Pipeline run</w:t>
            </w:r>
          </w:p>
        </w:tc>
        <w:tc>
          <w:tcPr>
            <w:tcW w:type="dxa" w:w="7704"/>
            <w:tcMar>
              <w:top w:w="90" w:type="dxa"/>
              <w:start w:w="110" w:type="dxa"/>
              <w:bottom w:w="90" w:type="dxa"/>
              <w:end w:w="110" w:type="dxa"/>
            </w:tcMar>
            <w:vAlign w:val="center"/>
            <w:shd w:fill="F4F6F8"/>
          </w:tcPr>
          <w:p>
            <w:pPr>
              <w:spacing w:after="0" w:line="240" w:lineRule="auto"/>
            </w:pPr>
            <w:r>
              <w:rPr>
                <w:sz w:val="16"/>
              </w:rPr>
              <w:t>run_id, stage, start/end time, status, input/output counts, safe error summary.</w:t>
            </w:r>
          </w:p>
        </w:tc>
      </w:tr>
    </w:tbl>
    <w:p>
      <w:pPr>
        <w:spacing w:after="20"/>
      </w:pPr>
    </w:p>
    <w:p>
      <w:pPr>
        <w:pStyle w:val="Heading1"/>
      </w:pPr>
      <w:r>
        <w:rPr>
          <w:color w:val="000000"/>
        </w:rPr>
        <w:t>Endpoint checklist</w:t>
      </w:r>
    </w:p>
    <w:tbl>
      <w:tblPr>
        <w:tblW w:type="auto" w:w="0"/>
        <w:jc w:val="center"/>
        <w:tblLayout w:type="fixed"/>
        <w:tblLook w:firstColumn="1" w:firstRow="1" w:lastColumn="0" w:lastRow="0" w:noHBand="0" w:noVBand="1" w:val="04A0"/>
      </w:tblPr>
      <w:tblGrid>
        <w:gridCol w:w="5054"/>
        <w:gridCol w:w="5054"/>
      </w:tblGrid>
      <w:tr>
        <w:trPr>
          <w:tblHeader w:val="true"/>
          <w:cantSplit/>
        </w:trPr>
        <w:tc>
          <w:tcPr>
            <w:tcW w:type="dxa" w:w="3600"/>
            <w:shd w:fill="18324B"/>
            <w:tcMar>
              <w:top w:w="90" w:type="dxa"/>
              <w:start w:w="110" w:type="dxa"/>
              <w:bottom w:w="90" w:type="dxa"/>
              <w:end w:w="110" w:type="dxa"/>
            </w:tcMar>
            <w:vAlign w:val="center"/>
          </w:tcPr>
          <w:p>
            <w:pPr>
              <w:spacing w:after="0"/>
            </w:pPr>
            <w:r>
              <w:rPr>
                <w:b/>
                <w:color w:val="FFFFFF"/>
                <w:sz w:val="16"/>
              </w:rPr>
              <w:t>Method and path</w:t>
            </w:r>
          </w:p>
        </w:tc>
        <w:tc>
          <w:tcPr>
            <w:tcW w:type="dxa" w:w="5976"/>
            <w:shd w:fill="18324B"/>
            <w:tcMar>
              <w:top w:w="90" w:type="dxa"/>
              <w:start w:w="110" w:type="dxa"/>
              <w:bottom w:w="90" w:type="dxa"/>
              <w:end w:w="110" w:type="dxa"/>
            </w:tcMar>
            <w:vAlign w:val="center"/>
          </w:tcPr>
          <w:p>
            <w:pPr>
              <w:spacing w:after="0"/>
            </w:pPr>
            <w:r>
              <w:rPr>
                <w:b/>
                <w:color w:val="FFFFFF"/>
                <w:sz w:val="16"/>
              </w:rPr>
              <w:t>Must return or enforce</w:t>
            </w:r>
          </w:p>
        </w:tc>
      </w:tr>
      <w:tr>
        <w:trPr>
          <w:cantSplit/>
        </w:trPr>
        <w:tc>
          <w:tcPr>
            <w:tcW w:type="dxa" w:w="3600"/>
            <w:tcMar>
              <w:top w:w="90" w:type="dxa"/>
              <w:start w:w="110" w:type="dxa"/>
              <w:bottom w:w="90" w:type="dxa"/>
              <w:end w:w="110" w:type="dxa"/>
            </w:tcMar>
            <w:vAlign w:val="center"/>
          </w:tcPr>
          <w:p>
            <w:pPr>
              <w:spacing w:after="0" w:line="240" w:lineRule="auto"/>
            </w:pPr>
            <w:r>
              <w:rPr>
                <w:sz w:val="16"/>
              </w:rPr>
              <w:t>GET /api/v1/overview</w:t>
            </w:r>
          </w:p>
        </w:tc>
        <w:tc>
          <w:tcPr>
            <w:tcW w:type="dxa" w:w="5976"/>
            <w:tcMar>
              <w:top w:w="90" w:type="dxa"/>
              <w:start w:w="110" w:type="dxa"/>
              <w:bottom w:w="90" w:type="dxa"/>
              <w:end w:w="110" w:type="dxa"/>
            </w:tcMar>
            <w:vAlign w:val="center"/>
          </w:tcPr>
          <w:p>
            <w:pPr>
              <w:spacing w:after="0" w:line="240" w:lineRule="auto"/>
            </w:pPr>
            <w:r>
              <w:rPr>
                <w:sz w:val="16"/>
              </w:rPr>
              <w:t>Index outlook and estimate, reference close, generated_at, horizon, model/version, data_status.</w:t>
            </w:r>
          </w:p>
        </w:tc>
      </w:tr>
      <w:tr>
        <w:trPr>
          <w:cantSplit/>
        </w:trPr>
        <w:tc>
          <w:tcPr>
            <w:tcW w:type="dxa" w:w="3600"/>
            <w:tcMar>
              <w:top w:w="90" w:type="dxa"/>
              <w:start w:w="110" w:type="dxa"/>
              <w:bottom w:w="90" w:type="dxa"/>
              <w:end w:w="110" w:type="dxa"/>
            </w:tcMar>
            <w:vAlign w:val="center"/>
            <w:shd w:fill="F4F6F8"/>
          </w:tcPr>
          <w:p>
            <w:pPr>
              <w:spacing w:after="0" w:line="240" w:lineRule="auto"/>
            </w:pPr>
            <w:r>
              <w:rPr>
                <w:sz w:val="16"/>
              </w:rPr>
              <w:t>GET /api/v1/stocks?date=YYYY-MM-DD</w:t>
            </w:r>
          </w:p>
        </w:tc>
        <w:tc>
          <w:tcPr>
            <w:tcW w:type="dxa" w:w="5976"/>
            <w:tcMar>
              <w:top w:w="90" w:type="dxa"/>
              <w:start w:w="110" w:type="dxa"/>
              <w:bottom w:w="90" w:type="dxa"/>
              <w:end w:w="110" w:type="dxa"/>
            </w:tcMar>
            <w:vAlign w:val="center"/>
            <w:shd w:fill="F4F6F8"/>
          </w:tcPr>
          <w:p>
            <w:pPr>
              <w:spacing w:after="0" w:line="240" w:lineRule="auto"/>
            </w:pPr>
            <w:r>
              <w:rPr>
                <w:sz w:val="16"/>
              </w:rPr>
              <w:t>Ranked signals, estimated change and label, sentiment summary, news evidence, actual/error when resolved.</w:t>
            </w:r>
          </w:p>
        </w:tc>
      </w:tr>
      <w:tr>
        <w:trPr>
          <w:cantSplit/>
        </w:trPr>
        <w:tc>
          <w:tcPr>
            <w:tcW w:type="dxa" w:w="3600"/>
            <w:tcMar>
              <w:top w:w="90" w:type="dxa"/>
              <w:start w:w="110" w:type="dxa"/>
              <w:bottom w:w="90" w:type="dxa"/>
              <w:end w:w="110" w:type="dxa"/>
            </w:tcMar>
            <w:vAlign w:val="center"/>
          </w:tcPr>
          <w:p>
            <w:pPr>
              <w:spacing w:after="0" w:line="240" w:lineRule="auto"/>
            </w:pPr>
            <w:r>
              <w:rPr>
                <w:sz w:val="16"/>
              </w:rPr>
              <w:t>GET /api/v1/predictions?asset=&amp;from=&amp;to=</w:t>
            </w:r>
          </w:p>
        </w:tc>
        <w:tc>
          <w:tcPr>
            <w:tcW w:type="dxa" w:w="5976"/>
            <w:tcMar>
              <w:top w:w="90" w:type="dxa"/>
              <w:start w:w="110" w:type="dxa"/>
              <w:bottom w:w="90" w:type="dxa"/>
              <w:end w:w="110" w:type="dxa"/>
            </w:tcMar>
            <w:vAlign w:val="center"/>
          </w:tcPr>
          <w:p>
            <w:pPr>
              <w:spacing w:after="0" w:line="240" w:lineRule="auto"/>
            </w:pPr>
            <w:r>
              <w:rPr>
                <w:sz w:val="16"/>
              </w:rPr>
              <w:t>Prediction history and resolved outcomes; validate filters and date ranges.</w:t>
            </w:r>
          </w:p>
        </w:tc>
      </w:tr>
      <w:tr>
        <w:trPr>
          <w:cantSplit/>
        </w:trPr>
        <w:tc>
          <w:tcPr>
            <w:tcW w:type="dxa" w:w="3600"/>
            <w:tcMar>
              <w:top w:w="90" w:type="dxa"/>
              <w:start w:w="110" w:type="dxa"/>
              <w:bottom w:w="90" w:type="dxa"/>
              <w:end w:w="110" w:type="dxa"/>
            </w:tcMar>
            <w:vAlign w:val="center"/>
            <w:shd w:fill="F4F6F8"/>
          </w:tcPr>
          <w:p>
            <w:pPr>
              <w:spacing w:after="0" w:line="240" w:lineRule="auto"/>
            </w:pPr>
            <w:r>
              <w:rPr>
                <w:sz w:val="16"/>
              </w:rPr>
              <w:t>GET /api/v1/metrics?from=&amp;to=</w:t>
            </w:r>
          </w:p>
        </w:tc>
        <w:tc>
          <w:tcPr>
            <w:tcW w:type="dxa" w:w="5976"/>
            <w:tcMar>
              <w:top w:w="90" w:type="dxa"/>
              <w:start w:w="110" w:type="dxa"/>
              <w:bottom w:w="90" w:type="dxa"/>
              <w:end w:w="110" w:type="dxa"/>
            </w:tcMar>
            <w:vAlign w:val="center"/>
            <w:shd w:fill="F4F6F8"/>
          </w:tcPr>
          <w:p>
            <w:pPr>
              <w:spacing w:after="0" w:line="240" w:lineRule="auto"/>
            </w:pPr>
            <w:r>
              <w:rPr>
                <w:sz w:val="16"/>
              </w:rPr>
              <w:t>Per-model MAE, directional accuracy, sample count, evaluation dates.</w:t>
            </w:r>
          </w:p>
        </w:tc>
      </w:tr>
      <w:tr>
        <w:trPr>
          <w:cantSplit/>
        </w:trPr>
        <w:tc>
          <w:tcPr>
            <w:tcW w:type="dxa" w:w="3600"/>
            <w:tcMar>
              <w:top w:w="90" w:type="dxa"/>
              <w:start w:w="110" w:type="dxa"/>
              <w:bottom w:w="90" w:type="dxa"/>
              <w:end w:w="110" w:type="dxa"/>
            </w:tcMar>
            <w:vAlign w:val="center"/>
          </w:tcPr>
          <w:p>
            <w:pPr>
              <w:spacing w:after="0" w:line="240" w:lineRule="auto"/>
            </w:pPr>
            <w:r>
              <w:rPr>
                <w:sz w:val="16"/>
              </w:rPr>
              <w:t>GET /api/v1/status</w:t>
            </w:r>
          </w:p>
        </w:tc>
        <w:tc>
          <w:tcPr>
            <w:tcW w:type="dxa" w:w="5976"/>
            <w:tcMar>
              <w:top w:w="90" w:type="dxa"/>
              <w:start w:w="110" w:type="dxa"/>
              <w:bottom w:w="90" w:type="dxa"/>
              <w:end w:w="110" w:type="dxa"/>
            </w:tcMar>
            <w:vAlign w:val="center"/>
          </w:tcPr>
          <w:p>
            <w:pPr>
              <w:spacing w:after="0" w:line="240" w:lineRule="auto"/>
            </w:pPr>
            <w:r>
              <w:rPr>
                <w:sz w:val="16"/>
              </w:rPr>
              <w:t>Latest ingestion/prediction runs, status, times, counts, freshness, safe error summary; no secrets.</w:t>
            </w:r>
          </w:p>
        </w:tc>
      </w:tr>
      <w:tr>
        <w:trPr>
          <w:cantSplit/>
        </w:trPr>
        <w:tc>
          <w:tcPr>
            <w:tcW w:type="dxa" w:w="3600"/>
            <w:tcMar>
              <w:top w:w="90" w:type="dxa"/>
              <w:start w:w="110" w:type="dxa"/>
              <w:bottom w:w="90" w:type="dxa"/>
              <w:end w:w="110" w:type="dxa"/>
            </w:tcMar>
            <w:vAlign w:val="center"/>
            <w:shd w:fill="F4F6F8"/>
          </w:tcPr>
          <w:p>
            <w:pPr>
              <w:spacing w:after="0" w:line="240" w:lineRule="auto"/>
            </w:pPr>
            <w:r>
              <w:rPr>
                <w:sz w:val="16"/>
              </w:rPr>
              <w:t>POST /api/v1/jobs/refresh</w:t>
            </w:r>
          </w:p>
        </w:tc>
        <w:tc>
          <w:tcPr>
            <w:tcW w:type="dxa" w:w="5976"/>
            <w:tcMar>
              <w:top w:w="90" w:type="dxa"/>
              <w:start w:w="110" w:type="dxa"/>
              <w:bottom w:w="90" w:type="dxa"/>
              <w:end w:w="110" w:type="dxa"/>
            </w:tcMar>
            <w:vAlign w:val="center"/>
            <w:shd w:fill="F4F6F8"/>
          </w:tcPr>
          <w:p>
            <w:pPr>
              <w:spacing w:after="0" w:line="240" w:lineRule="auto"/>
            </w:pPr>
            <w:r>
              <w:rPr>
                <w:sz w:val="16"/>
              </w:rPr>
              <w:t>Optional operator trigger; return job ID/status and protect from public use.</w:t>
            </w:r>
          </w:p>
        </w:tc>
      </w:tr>
    </w:tbl>
    <w:p>
      <w:pPr>
        <w:spacing w:after="20"/>
      </w:pPr>
    </w:p>
    <w:p>
      <w:pPr>
        <w:pStyle w:val="Heading1"/>
      </w:pPr>
      <w:r>
        <w:rPr>
          <w:color w:val="000000"/>
        </w:rPr>
        <w:t>Final acceptance checklist</w:t>
      </w:r>
    </w:p>
    <w:p>
      <w:pPr>
        <w:spacing w:after="50"/>
        <w:ind w:left="173" w:hanging="173"/>
      </w:pPr>
      <w:r>
        <w:rPr>
          <w:rFonts w:ascii="DejaVu Sans" w:hAnsi="DejaVu Sans"/>
          <w:color w:val="0D6B68"/>
          <w:sz w:val="20"/>
        </w:rPr>
        <w:t xml:space="preserve">☐  </w:t>
      </w:r>
      <w:r>
        <w:t>The system produces one next-session index estimate and one estimate for each configured stock when valid prices and eligible pre-cutoff news exist.</w:t>
      </w:r>
      <w:r>
        <w:rPr>
          <w:i/>
          <w:color w:val="52616B"/>
          <w:sz w:val="16"/>
        </w:rPr>
        <w:t xml:space="preserve">  (AC-01)</w:t>
      </w:r>
    </w:p>
    <w:p>
      <w:pPr>
        <w:spacing w:after="50"/>
        <w:ind w:left="173" w:hanging="173"/>
      </w:pPr>
      <w:r>
        <w:rPr>
          <w:rFonts w:ascii="DejaVu Sans" w:hAnsi="DejaVu Sans"/>
          <w:color w:val="0D6B68"/>
          <w:sz w:val="20"/>
        </w:rPr>
        <w:t xml:space="preserve">☐  </w:t>
      </w:r>
      <w:r>
        <w:t>Every estimate has percent units, horizon, reference close, generated timestamp, label, model/version, and input freshness.</w:t>
      </w:r>
      <w:r>
        <w:rPr>
          <w:i/>
          <w:color w:val="52616B"/>
          <w:sz w:val="16"/>
        </w:rPr>
        <w:t xml:space="preserve">  (AC-02)</w:t>
      </w:r>
    </w:p>
    <w:p>
      <w:pPr>
        <w:spacing w:after="50"/>
        <w:ind w:left="173" w:hanging="173"/>
      </w:pPr>
      <w:r>
        <w:rPr>
          <w:rFonts w:ascii="DejaVu Sans" w:hAnsi="DejaVu Sans"/>
          <w:color w:val="0D6B68"/>
          <w:sz w:val="20"/>
        </w:rPr>
        <w:t xml:space="preserve">☐  </w:t>
      </w:r>
      <w:r>
        <w:t>Stocks to watch rank consistently by absolute news-aware estimate and show headline evidence or clearly report no eligible news.</w:t>
      </w:r>
      <w:r>
        <w:rPr>
          <w:i/>
          <w:color w:val="52616B"/>
          <w:sz w:val="16"/>
        </w:rPr>
        <w:t xml:space="preserve">  (AC-03)</w:t>
      </w:r>
    </w:p>
    <w:p>
      <w:pPr>
        <w:spacing w:after="50"/>
        <w:ind w:left="173" w:hanging="173"/>
      </w:pPr>
      <w:r>
        <w:rPr>
          <w:rFonts w:ascii="DejaVu Sans" w:hAnsi="DejaVu Sans"/>
          <w:color w:val="0D6B68"/>
          <w:sz w:val="20"/>
        </w:rPr>
        <w:t xml:space="preserve">☐  </w:t>
      </w:r>
      <w:r>
        <w:t>After next-session prices are available, actual change and absolute error use the same reference close and target formula.</w:t>
      </w:r>
      <w:r>
        <w:rPr>
          <w:i/>
          <w:color w:val="52616B"/>
          <w:sz w:val="16"/>
        </w:rPr>
        <w:t xml:space="preserve">  (AC-04)</w:t>
      </w:r>
    </w:p>
    <w:p>
      <w:pPr>
        <w:spacing w:after="50"/>
        <w:ind w:left="173" w:hanging="173"/>
      </w:pPr>
      <w:r>
        <w:rPr>
          <w:rFonts w:ascii="DejaVu Sans" w:hAnsi="DejaVu Sans"/>
          <w:color w:val="0D6B68"/>
          <w:sz w:val="20"/>
        </w:rPr>
        <w:t xml:space="preserve">☐  </w:t>
      </w:r>
      <w:r>
        <w:t>The evaluation view shows MAE, directional accuracy, sample count, date range, and both models over a chronological holdout.</w:t>
      </w:r>
      <w:r>
        <w:rPr>
          <w:i/>
          <w:color w:val="52616B"/>
          <w:sz w:val="16"/>
        </w:rPr>
        <w:t xml:space="preserve">  (AC-05)</w:t>
      </w:r>
    </w:p>
    <w:p>
      <w:pPr>
        <w:spacing w:after="50"/>
        <w:ind w:left="173" w:hanging="173"/>
      </w:pPr>
      <w:r>
        <w:rPr>
          <w:rFonts w:ascii="DejaVu Sans" w:hAnsi="DejaVu Sans"/>
          <w:color w:val="0D6B68"/>
          <w:sz w:val="20"/>
        </w:rPr>
        <w:t xml:space="preserve">☐  </w:t>
      </w:r>
      <w:r>
        <w:t>A provider failure is visible as stale/error and cannot silently produce a normal-looking forecast from missing inputs.</w:t>
      </w:r>
      <w:r>
        <w:rPr>
          <w:i/>
          <w:color w:val="52616B"/>
          <w:sz w:val="16"/>
        </w:rPr>
        <w:t xml:space="preserve">  (AC-06)</w:t>
      </w:r>
    </w:p>
    <w:p>
      <w:pPr>
        <w:spacing w:after="50"/>
        <w:ind w:left="173" w:hanging="173"/>
      </w:pPr>
      <w:r>
        <w:rPr>
          <w:rFonts w:ascii="DejaVu Sans" w:hAnsi="DejaVu Sans"/>
          <w:color w:val="0D6B68"/>
          <w:sz w:val="20"/>
        </w:rPr>
        <w:t xml:space="preserve">☐  </w:t>
      </w:r>
      <w:r>
        <w:t>The team demonstrates timestamp discipline for sample predictions and proves post-cutoff news was excluded.</w:t>
      </w:r>
      <w:r>
        <w:rPr>
          <w:i/>
          <w:color w:val="52616B"/>
          <w:sz w:val="16"/>
        </w:rPr>
        <w:t xml:space="preserve">  (AC-07)</w:t>
      </w:r>
    </w:p>
    <w:p>
      <w:pPr>
        <w:spacing w:after="50"/>
        <w:ind w:left="173" w:hanging="173"/>
      </w:pPr>
      <w:r>
        <w:rPr>
          <w:rFonts w:ascii="DejaVu Sans" w:hAnsi="DejaVu Sans"/>
          <w:color w:val="0D6B68"/>
          <w:sz w:val="20"/>
        </w:rPr>
        <w:t xml:space="preserve">☐  </w:t>
      </w:r>
      <w:r>
        <w:t>Documented setup supports an end-to-end demo using permitted live data or a documented sample dataset.</w:t>
      </w:r>
      <w:r>
        <w:rPr>
          <w:i/>
          <w:color w:val="52616B"/>
          <w:sz w:val="16"/>
        </w:rPr>
        <w:t xml:space="preserve">  (AC-08)</w:t>
      </w:r>
    </w:p>
    <w:p>
      <w:pPr>
        <w:spacing w:after="50"/>
        <w:ind w:left="173" w:hanging="173"/>
      </w:pPr>
      <w:r>
        <w:rPr>
          <w:rFonts w:ascii="DejaVu Sans" w:hAnsi="DejaVu Sans"/>
          <w:color w:val="0D6B68"/>
          <w:sz w:val="20"/>
        </w:rPr>
        <w:t xml:space="preserve">☐  </w:t>
      </w:r>
      <w:r>
        <w:t>No screen describes signals as certain or as personalized buy/sell advice, and no automated trading is present.</w:t>
      </w:r>
      <w:r>
        <w:rPr>
          <w:i/>
          <w:color w:val="52616B"/>
          <w:sz w:val="16"/>
        </w:rPr>
        <w:t xml:space="preserve">  (NFR-08)</w:t>
      </w:r>
    </w:p>
    <w:p>
      <w:pPr>
        <w:pStyle w:val="Heading1"/>
      </w:pPr>
      <w:r>
        <w:rPr>
          <w:color w:val="000000"/>
        </w:rPr>
        <w:t>Team sign-off</w:t>
      </w:r>
    </w:p>
    <w:p>
      <w:r>
        <w:t>Use this at the end of each milestone. Record date, what was demonstrated, and any blocked items in the repository issue tracker or project notes.</w:t>
      </w:r>
    </w:p>
    <w:tbl>
      <w:tblPr>
        <w:tblW w:type="auto" w:w="0"/>
        <w:jc w:val="center"/>
        <w:tblLayout w:type="fixed"/>
        <w:tblLook w:firstColumn="1" w:firstRow="1" w:lastColumn="0" w:lastRow="0" w:noHBand="0" w:noVBand="1" w:val="04A0"/>
      </w:tblPr>
      <w:tblGrid>
        <w:gridCol w:w="2527"/>
        <w:gridCol w:w="2527"/>
        <w:gridCol w:w="2527"/>
        <w:gridCol w:w="2527"/>
      </w:tblGrid>
      <w:tr>
        <w:trPr>
          <w:tblHeader w:val="true"/>
          <w:cantSplit/>
        </w:trPr>
        <w:tc>
          <w:tcPr>
            <w:tcW w:type="dxa" w:w="2232"/>
            <w:shd w:fill="18324B"/>
            <w:tcMar>
              <w:top w:w="90" w:type="dxa"/>
              <w:start w:w="110" w:type="dxa"/>
              <w:bottom w:w="90" w:type="dxa"/>
              <w:end w:w="110" w:type="dxa"/>
            </w:tcMar>
            <w:vAlign w:val="center"/>
          </w:tcPr>
          <w:p>
            <w:pPr>
              <w:spacing w:after="0"/>
            </w:pPr>
            <w:r>
              <w:rPr>
                <w:b/>
                <w:color w:val="FFFFFF"/>
                <w:sz w:val="16"/>
              </w:rPr>
              <w:t>Milestone</w:t>
            </w:r>
          </w:p>
        </w:tc>
        <w:tc>
          <w:tcPr>
            <w:tcW w:type="dxa" w:w="1440"/>
            <w:shd w:fill="18324B"/>
            <w:tcMar>
              <w:top w:w="90" w:type="dxa"/>
              <w:start w:w="110" w:type="dxa"/>
              <w:bottom w:w="90" w:type="dxa"/>
              <w:end w:w="110" w:type="dxa"/>
            </w:tcMar>
            <w:vAlign w:val="center"/>
          </w:tcPr>
          <w:p>
            <w:pPr>
              <w:spacing w:after="0"/>
            </w:pPr>
            <w:r>
              <w:rPr>
                <w:b/>
                <w:color w:val="FFFFFF"/>
                <w:sz w:val="16"/>
              </w:rPr>
              <w:t>Sumukh</w:t>
            </w:r>
          </w:p>
        </w:tc>
        <w:tc>
          <w:tcPr>
            <w:tcW w:type="dxa" w:w="1440"/>
            <w:shd w:fill="18324B"/>
            <w:tcMar>
              <w:top w:w="90" w:type="dxa"/>
              <w:start w:w="110" w:type="dxa"/>
              <w:bottom w:w="90" w:type="dxa"/>
              <w:end w:w="110" w:type="dxa"/>
            </w:tcMar>
            <w:vAlign w:val="center"/>
          </w:tcPr>
          <w:p>
            <w:pPr>
              <w:spacing w:after="0"/>
            </w:pPr>
            <w:r>
              <w:rPr>
                <w:b/>
                <w:color w:val="FFFFFF"/>
                <w:sz w:val="16"/>
              </w:rPr>
              <w:t>Prathyush</w:t>
            </w:r>
          </w:p>
        </w:tc>
        <w:tc>
          <w:tcPr>
            <w:tcW w:type="dxa" w:w="4464"/>
            <w:shd w:fill="18324B"/>
            <w:tcMar>
              <w:top w:w="90" w:type="dxa"/>
              <w:start w:w="110" w:type="dxa"/>
              <w:bottom w:w="90" w:type="dxa"/>
              <w:end w:w="110" w:type="dxa"/>
            </w:tcMar>
            <w:vAlign w:val="center"/>
          </w:tcPr>
          <w:p>
            <w:pPr>
              <w:spacing w:after="0"/>
            </w:pPr>
            <w:r>
              <w:rPr>
                <w:b/>
                <w:color w:val="FFFFFF"/>
                <w:sz w:val="16"/>
              </w:rPr>
              <w:t>Date and evidence link</w:t>
            </w:r>
          </w:p>
        </w:tc>
      </w:tr>
      <w:tr>
        <w:trPr>
          <w:cantSplit/>
        </w:trPr>
        <w:tc>
          <w:tcPr>
            <w:tcW w:type="dxa" w:w="2232"/>
            <w:tcMar>
              <w:top w:w="90" w:type="dxa"/>
              <w:start w:w="110" w:type="dxa"/>
              <w:bottom w:w="90" w:type="dxa"/>
              <w:end w:w="110" w:type="dxa"/>
            </w:tcMar>
            <w:vAlign w:val="center"/>
          </w:tcPr>
          <w:p>
            <w:pPr>
              <w:spacing w:after="0" w:line="240" w:lineRule="auto"/>
            </w:pPr>
            <w:r>
              <w:rPr>
                <w:sz w:val="16"/>
              </w:rPr>
              <w:t>Decisions and contracts</w:t>
            </w:r>
          </w:p>
        </w:tc>
        <w:tc>
          <w:tcPr>
            <w:tcW w:type="dxa" w:w="1440"/>
            <w:tcMar>
              <w:top w:w="90" w:type="dxa"/>
              <w:start w:w="110" w:type="dxa"/>
              <w:bottom w:w="90" w:type="dxa"/>
              <w:end w:w="110" w:type="dxa"/>
            </w:tcMar>
            <w:vAlign w:val="center"/>
          </w:tcPr>
          <w:p>
            <w:pPr>
              <w:spacing w:after="0" w:line="240" w:lineRule="auto"/>
            </w:pPr>
            <w:r>
              <w:rPr>
                <w:sz w:val="16"/>
              </w:rPr>
            </w:r>
          </w:p>
        </w:tc>
        <w:tc>
          <w:tcPr>
            <w:tcW w:type="dxa" w:w="1440"/>
            <w:tcMar>
              <w:top w:w="90" w:type="dxa"/>
              <w:start w:w="110" w:type="dxa"/>
              <w:bottom w:w="90" w:type="dxa"/>
              <w:end w:w="110" w:type="dxa"/>
            </w:tcMar>
            <w:vAlign w:val="center"/>
          </w:tcPr>
          <w:p>
            <w:pPr>
              <w:spacing w:after="0" w:line="240" w:lineRule="auto"/>
            </w:pPr>
            <w:r>
              <w:rPr>
                <w:sz w:val="16"/>
              </w:rPr>
            </w:r>
          </w:p>
        </w:tc>
        <w:tc>
          <w:tcPr>
            <w:tcW w:type="dxa" w:w="4464"/>
            <w:tcMar>
              <w:top w:w="90" w:type="dxa"/>
              <w:start w:w="110" w:type="dxa"/>
              <w:bottom w:w="90" w:type="dxa"/>
              <w:end w:w="110" w:type="dxa"/>
            </w:tcMar>
            <w:vAlign w:val="center"/>
          </w:tcPr>
          <w:p>
            <w:pPr>
              <w:spacing w:after="0" w:line="240" w:lineRule="auto"/>
            </w:pPr>
            <w:r>
              <w:rPr>
                <w:sz w:val="16"/>
              </w:rPr>
            </w:r>
          </w:p>
        </w:tc>
      </w:tr>
      <w:tr>
        <w:trPr>
          <w:cantSplit/>
        </w:trPr>
        <w:tc>
          <w:tcPr>
            <w:tcW w:type="dxa" w:w="2232"/>
            <w:tcMar>
              <w:top w:w="90" w:type="dxa"/>
              <w:start w:w="110" w:type="dxa"/>
              <w:bottom w:w="90" w:type="dxa"/>
              <w:end w:w="110" w:type="dxa"/>
            </w:tcMar>
            <w:vAlign w:val="center"/>
            <w:shd w:fill="F4F6F8"/>
          </w:tcPr>
          <w:p>
            <w:pPr>
              <w:spacing w:after="0" w:line="240" w:lineRule="auto"/>
            </w:pPr>
            <w:r>
              <w:rPr>
                <w:sz w:val="16"/>
              </w:rPr>
              <w:t>Vertical slice</w:t>
            </w:r>
          </w:p>
        </w:tc>
        <w:tc>
          <w:tcPr>
            <w:tcW w:type="dxa" w:w="1440"/>
            <w:tcMar>
              <w:top w:w="90" w:type="dxa"/>
              <w:start w:w="110" w:type="dxa"/>
              <w:bottom w:w="90" w:type="dxa"/>
              <w:end w:w="110" w:type="dxa"/>
            </w:tcMar>
            <w:vAlign w:val="center"/>
            <w:shd w:fill="F4F6F8"/>
          </w:tcPr>
          <w:p>
            <w:pPr>
              <w:spacing w:after="0" w:line="240" w:lineRule="auto"/>
            </w:pPr>
            <w:r>
              <w:rPr>
                <w:sz w:val="16"/>
              </w:rPr>
            </w:r>
          </w:p>
        </w:tc>
        <w:tc>
          <w:tcPr>
            <w:tcW w:type="dxa" w:w="1440"/>
            <w:tcMar>
              <w:top w:w="90" w:type="dxa"/>
              <w:start w:w="110" w:type="dxa"/>
              <w:bottom w:w="90" w:type="dxa"/>
              <w:end w:w="110" w:type="dxa"/>
            </w:tcMar>
            <w:vAlign w:val="center"/>
            <w:shd w:fill="F4F6F8"/>
          </w:tcPr>
          <w:p>
            <w:pPr>
              <w:spacing w:after="0" w:line="240" w:lineRule="auto"/>
            </w:pPr>
            <w:r>
              <w:rPr>
                <w:sz w:val="16"/>
              </w:rPr>
            </w:r>
          </w:p>
        </w:tc>
        <w:tc>
          <w:tcPr>
            <w:tcW w:type="dxa" w:w="4464"/>
            <w:tcMar>
              <w:top w:w="90" w:type="dxa"/>
              <w:start w:w="110" w:type="dxa"/>
              <w:bottom w:w="90" w:type="dxa"/>
              <w:end w:w="110" w:type="dxa"/>
            </w:tcMar>
            <w:vAlign w:val="center"/>
            <w:shd w:fill="F4F6F8"/>
          </w:tcPr>
          <w:p>
            <w:pPr>
              <w:spacing w:after="0" w:line="240" w:lineRule="auto"/>
            </w:pPr>
            <w:r>
              <w:rPr>
                <w:sz w:val="16"/>
              </w:rPr>
            </w:r>
          </w:p>
        </w:tc>
      </w:tr>
      <w:tr>
        <w:trPr>
          <w:cantSplit/>
        </w:trPr>
        <w:tc>
          <w:tcPr>
            <w:tcW w:type="dxa" w:w="2232"/>
            <w:tcMar>
              <w:top w:w="90" w:type="dxa"/>
              <w:start w:w="110" w:type="dxa"/>
              <w:bottom w:w="90" w:type="dxa"/>
              <w:end w:w="110" w:type="dxa"/>
            </w:tcMar>
            <w:vAlign w:val="center"/>
          </w:tcPr>
          <w:p>
            <w:pPr>
              <w:spacing w:after="0" w:line="240" w:lineRule="auto"/>
            </w:pPr>
            <w:r>
              <w:rPr>
                <w:sz w:val="16"/>
              </w:rPr>
              <w:t>Data pipeline</w:t>
            </w:r>
          </w:p>
        </w:tc>
        <w:tc>
          <w:tcPr>
            <w:tcW w:type="dxa" w:w="1440"/>
            <w:tcMar>
              <w:top w:w="90" w:type="dxa"/>
              <w:start w:w="110" w:type="dxa"/>
              <w:bottom w:w="90" w:type="dxa"/>
              <w:end w:w="110" w:type="dxa"/>
            </w:tcMar>
            <w:vAlign w:val="center"/>
          </w:tcPr>
          <w:p>
            <w:pPr>
              <w:spacing w:after="0" w:line="240" w:lineRule="auto"/>
            </w:pPr>
            <w:r>
              <w:rPr>
                <w:sz w:val="16"/>
              </w:rPr>
            </w:r>
          </w:p>
        </w:tc>
        <w:tc>
          <w:tcPr>
            <w:tcW w:type="dxa" w:w="1440"/>
            <w:tcMar>
              <w:top w:w="90" w:type="dxa"/>
              <w:start w:w="110" w:type="dxa"/>
              <w:bottom w:w="90" w:type="dxa"/>
              <w:end w:w="110" w:type="dxa"/>
            </w:tcMar>
            <w:vAlign w:val="center"/>
          </w:tcPr>
          <w:p>
            <w:pPr>
              <w:spacing w:after="0" w:line="240" w:lineRule="auto"/>
            </w:pPr>
            <w:r>
              <w:rPr>
                <w:sz w:val="16"/>
              </w:rPr>
            </w:r>
          </w:p>
        </w:tc>
        <w:tc>
          <w:tcPr>
            <w:tcW w:type="dxa" w:w="4464"/>
            <w:tcMar>
              <w:top w:w="90" w:type="dxa"/>
              <w:start w:w="110" w:type="dxa"/>
              <w:bottom w:w="90" w:type="dxa"/>
              <w:end w:w="110" w:type="dxa"/>
            </w:tcMar>
            <w:vAlign w:val="center"/>
          </w:tcPr>
          <w:p>
            <w:pPr>
              <w:spacing w:after="0" w:line="240" w:lineRule="auto"/>
            </w:pPr>
            <w:r>
              <w:rPr>
                <w:sz w:val="16"/>
              </w:rPr>
            </w:r>
          </w:p>
        </w:tc>
      </w:tr>
      <w:tr>
        <w:trPr>
          <w:cantSplit/>
        </w:trPr>
        <w:tc>
          <w:tcPr>
            <w:tcW w:type="dxa" w:w="2232"/>
            <w:tcMar>
              <w:top w:w="90" w:type="dxa"/>
              <w:start w:w="110" w:type="dxa"/>
              <w:bottom w:w="90" w:type="dxa"/>
              <w:end w:w="110" w:type="dxa"/>
            </w:tcMar>
            <w:vAlign w:val="center"/>
            <w:shd w:fill="F4F6F8"/>
          </w:tcPr>
          <w:p>
            <w:pPr>
              <w:spacing w:after="0" w:line="240" w:lineRule="auto"/>
            </w:pPr>
            <w:r>
              <w:rPr>
                <w:sz w:val="16"/>
              </w:rPr>
              <w:t>Model and evaluation</w:t>
            </w:r>
          </w:p>
        </w:tc>
        <w:tc>
          <w:tcPr>
            <w:tcW w:type="dxa" w:w="1440"/>
            <w:tcMar>
              <w:top w:w="90" w:type="dxa"/>
              <w:start w:w="110" w:type="dxa"/>
              <w:bottom w:w="90" w:type="dxa"/>
              <w:end w:w="110" w:type="dxa"/>
            </w:tcMar>
            <w:vAlign w:val="center"/>
            <w:shd w:fill="F4F6F8"/>
          </w:tcPr>
          <w:p>
            <w:pPr>
              <w:spacing w:after="0" w:line="240" w:lineRule="auto"/>
            </w:pPr>
            <w:r>
              <w:rPr>
                <w:sz w:val="16"/>
              </w:rPr>
            </w:r>
          </w:p>
        </w:tc>
        <w:tc>
          <w:tcPr>
            <w:tcW w:type="dxa" w:w="1440"/>
            <w:tcMar>
              <w:top w:w="90" w:type="dxa"/>
              <w:start w:w="110" w:type="dxa"/>
              <w:bottom w:w="90" w:type="dxa"/>
              <w:end w:w="110" w:type="dxa"/>
            </w:tcMar>
            <w:vAlign w:val="center"/>
            <w:shd w:fill="F4F6F8"/>
          </w:tcPr>
          <w:p>
            <w:pPr>
              <w:spacing w:after="0" w:line="240" w:lineRule="auto"/>
            </w:pPr>
            <w:r>
              <w:rPr>
                <w:sz w:val="16"/>
              </w:rPr>
            </w:r>
          </w:p>
        </w:tc>
        <w:tc>
          <w:tcPr>
            <w:tcW w:type="dxa" w:w="4464"/>
            <w:tcMar>
              <w:top w:w="90" w:type="dxa"/>
              <w:start w:w="110" w:type="dxa"/>
              <w:bottom w:w="90" w:type="dxa"/>
              <w:end w:w="110" w:type="dxa"/>
            </w:tcMar>
            <w:vAlign w:val="center"/>
            <w:shd w:fill="F4F6F8"/>
          </w:tcPr>
          <w:p>
            <w:pPr>
              <w:spacing w:after="0" w:line="240" w:lineRule="auto"/>
            </w:pPr>
            <w:r>
              <w:rPr>
                <w:sz w:val="16"/>
              </w:rPr>
            </w:r>
          </w:p>
        </w:tc>
      </w:tr>
      <w:tr>
        <w:trPr>
          <w:cantSplit/>
        </w:trPr>
        <w:tc>
          <w:tcPr>
            <w:tcW w:type="dxa" w:w="2232"/>
            <w:tcMar>
              <w:top w:w="90" w:type="dxa"/>
              <w:start w:w="110" w:type="dxa"/>
              <w:bottom w:w="90" w:type="dxa"/>
              <w:end w:w="110" w:type="dxa"/>
            </w:tcMar>
            <w:vAlign w:val="center"/>
          </w:tcPr>
          <w:p>
            <w:pPr>
              <w:spacing w:after="0" w:line="240" w:lineRule="auto"/>
            </w:pPr>
            <w:r>
              <w:rPr>
                <w:sz w:val="16"/>
              </w:rPr>
              <w:t>Integrated dashboard</w:t>
            </w:r>
          </w:p>
        </w:tc>
        <w:tc>
          <w:tcPr>
            <w:tcW w:type="dxa" w:w="1440"/>
            <w:tcMar>
              <w:top w:w="90" w:type="dxa"/>
              <w:start w:w="110" w:type="dxa"/>
              <w:bottom w:w="90" w:type="dxa"/>
              <w:end w:w="110" w:type="dxa"/>
            </w:tcMar>
            <w:vAlign w:val="center"/>
          </w:tcPr>
          <w:p>
            <w:pPr>
              <w:spacing w:after="0" w:line="240" w:lineRule="auto"/>
            </w:pPr>
            <w:r>
              <w:rPr>
                <w:sz w:val="16"/>
              </w:rPr>
            </w:r>
          </w:p>
        </w:tc>
        <w:tc>
          <w:tcPr>
            <w:tcW w:type="dxa" w:w="1440"/>
            <w:tcMar>
              <w:top w:w="90" w:type="dxa"/>
              <w:start w:w="110" w:type="dxa"/>
              <w:bottom w:w="90" w:type="dxa"/>
              <w:end w:w="110" w:type="dxa"/>
            </w:tcMar>
            <w:vAlign w:val="center"/>
          </w:tcPr>
          <w:p>
            <w:pPr>
              <w:spacing w:after="0" w:line="240" w:lineRule="auto"/>
            </w:pPr>
            <w:r>
              <w:rPr>
                <w:sz w:val="16"/>
              </w:rPr>
            </w:r>
          </w:p>
        </w:tc>
        <w:tc>
          <w:tcPr>
            <w:tcW w:type="dxa" w:w="4464"/>
            <w:tcMar>
              <w:top w:w="90" w:type="dxa"/>
              <w:start w:w="110" w:type="dxa"/>
              <w:bottom w:w="90" w:type="dxa"/>
              <w:end w:w="110" w:type="dxa"/>
            </w:tcMar>
            <w:vAlign w:val="center"/>
          </w:tcPr>
          <w:p>
            <w:pPr>
              <w:spacing w:after="0" w:line="240" w:lineRule="auto"/>
            </w:pPr>
            <w:r>
              <w:rPr>
                <w:sz w:val="16"/>
              </w:rPr>
            </w:r>
          </w:p>
        </w:tc>
      </w:tr>
      <w:tr>
        <w:trPr>
          <w:cantSplit/>
        </w:trPr>
        <w:tc>
          <w:tcPr>
            <w:tcW w:type="dxa" w:w="2232"/>
            <w:tcMar>
              <w:top w:w="90" w:type="dxa"/>
              <w:start w:w="110" w:type="dxa"/>
              <w:bottom w:w="90" w:type="dxa"/>
              <w:end w:w="110" w:type="dxa"/>
            </w:tcMar>
            <w:vAlign w:val="center"/>
            <w:shd w:fill="F4F6F8"/>
          </w:tcPr>
          <w:p>
            <w:pPr>
              <w:spacing w:after="0" w:line="240" w:lineRule="auto"/>
            </w:pPr>
            <w:r>
              <w:rPr>
                <w:sz w:val="16"/>
              </w:rPr>
              <w:t>Final demo</w:t>
            </w:r>
          </w:p>
        </w:tc>
        <w:tc>
          <w:tcPr>
            <w:tcW w:type="dxa" w:w="1440"/>
            <w:tcMar>
              <w:top w:w="90" w:type="dxa"/>
              <w:start w:w="110" w:type="dxa"/>
              <w:bottom w:w="90" w:type="dxa"/>
              <w:end w:w="110" w:type="dxa"/>
            </w:tcMar>
            <w:vAlign w:val="center"/>
            <w:shd w:fill="F4F6F8"/>
          </w:tcPr>
          <w:p>
            <w:pPr>
              <w:spacing w:after="0" w:line="240" w:lineRule="auto"/>
            </w:pPr>
            <w:r>
              <w:rPr>
                <w:sz w:val="16"/>
              </w:rPr>
            </w:r>
          </w:p>
        </w:tc>
        <w:tc>
          <w:tcPr>
            <w:tcW w:type="dxa" w:w="1440"/>
            <w:tcMar>
              <w:top w:w="90" w:type="dxa"/>
              <w:start w:w="110" w:type="dxa"/>
              <w:bottom w:w="90" w:type="dxa"/>
              <w:end w:w="110" w:type="dxa"/>
            </w:tcMar>
            <w:vAlign w:val="center"/>
            <w:shd w:fill="F4F6F8"/>
          </w:tcPr>
          <w:p>
            <w:pPr>
              <w:spacing w:after="0" w:line="240" w:lineRule="auto"/>
            </w:pPr>
            <w:r>
              <w:rPr>
                <w:sz w:val="16"/>
              </w:rPr>
            </w:r>
          </w:p>
        </w:tc>
        <w:tc>
          <w:tcPr>
            <w:tcW w:type="dxa" w:w="4464"/>
            <w:tcMar>
              <w:top w:w="90" w:type="dxa"/>
              <w:start w:w="110" w:type="dxa"/>
              <w:bottom w:w="90" w:type="dxa"/>
              <w:end w:w="110" w:type="dxa"/>
            </w:tcMar>
            <w:vAlign w:val="center"/>
            <w:shd w:fill="F4F6F8"/>
          </w:tcPr>
          <w:p>
            <w:pPr>
              <w:spacing w:after="0" w:line="240" w:lineRule="auto"/>
            </w:pPr>
            <w:r>
              <w:rPr>
                <w:sz w:val="16"/>
              </w:rPr>
            </w:r>
          </w:p>
        </w:tc>
      </w:tr>
    </w:tbl>
    <w:p>
      <w:pPr>
        <w:spacing w:after="20"/>
      </w:pPr>
    </w:p>
    <w:sectPr w:rsidR="00FC693F" w:rsidRPr="0006063C" w:rsidSect="00034616">
      <w:headerReference w:type="default" r:id="rId9"/>
      <w:footerReference w:type="default" r:id="rId10"/>
      <w:pgSz w:w="12240" w:h="15840"/>
      <w:pgMar w:top="979" w:right="1066" w:bottom="979"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6B"/>
        <w:sz w:val="16"/>
      </w:rPr>
      <w:t xml:space="preserve">Working checklist based on NewsPulse SRS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D6B68"/>
        <w:sz w:val="16"/>
      </w:rPr>
      <w:t>NEWSPULSE  |  TEAM BUILD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NewsPulse Team Build Checklist</dc:title>
  <dc:subject>Detailed implementation checklist for Sumukh and Prathyush</dc:subject>
  <dc:creator>NewsPulse Project Team</dc:creator>
  <cp:keywords>NewsPulse, SRS, checklist,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