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after="240" w:before="0" w:line="276" w:lineRule="auto"/>
        <w:jc w:val="left"/>
      </w:pPr>
      <w:r>
        <w:rPr>
          <w:rFonts w:ascii="Times New Roman" w:hAnsi="Times New Roman" w:eastAsia="Times New Roman"/>
          <w:b w:val="0"/>
          <w:sz w:val="22"/>
        </w:rPr>
        <w:t>Document note. The original dissertation Word file was not present in the repository or in the files supplied with this request. This file contains Chapter 4 only, formatted for insertion into the existing dissertation. The application source at commit 7803baa was not modified. Untracked files under dissertation/ are evidence and this chapter.</w:t>
      </w:r>
    </w:p>
    <w:p>
      <w:pPr>
        <w:pStyle w:val="Heading1"/>
      </w:pPr>
      <w:r>
        <w:t>Chapter 4: Experimental Results and Discussion</w:t>
      </w:r>
    </w:p>
    <w:p>
      <w:pPr>
        <w:keepNext w:val="0"/>
        <w:keepLines w:val="0"/>
        <w:widowControl/>
        <w:spacing w:after="120" w:before="0" w:line="360" w:lineRule="auto"/>
        <w:jc w:val="both"/>
      </w:pPr>
      <w:r>
        <w:rPr>
          <w:rFonts w:ascii="Times New Roman" w:hAnsi="Times New Roman" w:eastAsia="Times New Roman"/>
          <w:b w:val="0"/>
          <w:sz w:val="24"/>
        </w:rPr>
        <w:t>This chapter reports the tests, optimiser benchmarks, reproducibility checks and source inspections that were executed against GSIP at commit 7803baa721a12ca19e26e700425fe7be94bfc3a4. The working tree for application source was clean. Files created under dissertation/ are supporting evidence for this chapter and were not part of the submitted platform. No numerical result below is taken from documentation alone. Where a claim could not be verified, that limit is stated.</w:t>
      </w:r>
    </w:p>
    <w:p>
      <w:pPr>
        <w:pStyle w:val="Heading2"/>
      </w:pPr>
      <w:r>
        <w:t>4.1 Experimental setup</w:t>
      </w:r>
    </w:p>
    <w:p>
      <w:pPr>
        <w:keepNext w:val="0"/>
        <w:keepLines w:val="0"/>
        <w:widowControl/>
        <w:spacing w:after="120" w:before="0" w:line="360" w:lineRule="auto"/>
        <w:jc w:val="both"/>
      </w:pPr>
      <w:r>
        <w:rPr>
          <w:rFonts w:ascii="Times New Roman" w:hAnsi="Times New Roman" w:eastAsia="Times New Roman"/>
          <w:b w:val="0"/>
          <w:sz w:val="24"/>
        </w:rPr>
        <w:t>The audit of available evidence was completed before any comparative interpretation. Directly verified items were: the Python unit suite, the web Vitest suite, Ruff, Alembic migrations against a live PostgreSQL 16 database with pgvector 0.6.0, one hundred and twenty equal-budget optimiser runs, a same-seed replay, a changed-seed check, in-process domain-pack simulations used only to populate the user interface, and screenshots of the running web, admin and OpenAPI surfaces. GitHub Actions logs supported the same Python and web suites on ubuntu-latest, together with a successful migration job and a successful application-image build; those logs did not replace the local executions. Documentation, including LOCAL_RUN.md and the Phase 0 optimiser note, was treated as context rather than as results. LOCAL_RUN.md records 214 Python tests passed; the suite executed for this chapter produced 223 passed and one skipped, so the document figure was not reused.</w:t>
      </w:r>
    </w:p>
    <w:p>
      <w:pPr>
        <w:keepNext w:val="0"/>
        <w:keepLines w:val="0"/>
        <w:widowControl/>
        <w:spacing w:after="120" w:before="0" w:line="360" w:lineRule="auto"/>
        <w:jc w:val="both"/>
      </w:pPr>
      <w:r>
        <w:rPr>
          <w:rFonts w:ascii="Times New Roman" w:hAnsi="Times New Roman" w:eastAsia="Times New Roman"/>
          <w:b w:val="0"/>
          <w:sz w:val="24"/>
        </w:rPr>
        <w:t>Incomplete items were recorded before analysis. The original dissertation Word document was not supplied, so this chapter cannot be inserted into the pre-existing front matter by the experimenter. Docker overlay2 could not be initialised in the experimental environment, so Temporal, MinIO, Milvus and the Compose PostgreSQL 15 image were not started. A random-search baseline is not registered in services/optimizer/backends.py; it was added only as an external harness that called the same evaluators and metrics. Canonical thirty-variable ZDT problems from zdt_canonical.yaml were not run. Integration tests that require testcontainers were skipped. No user study was conducted. These gaps bound every later claim.</w:t>
      </w:r>
    </w:p>
    <w:p>
      <w:pPr>
        <w:pStyle w:val="Heading3"/>
      </w:pPr>
      <w:r>
        <w:t>Hardware, software and commands</w:t>
      </w:r>
    </w:p>
    <w:p>
      <w:pPr>
        <w:keepNext w:val="0"/>
        <w:keepLines w:val="0"/>
        <w:widowControl/>
        <w:spacing w:after="120" w:before="0" w:line="360" w:lineRule="auto"/>
        <w:jc w:val="both"/>
      </w:pPr>
      <w:r>
        <w:rPr>
          <w:rFonts w:ascii="Times New Roman" w:hAnsi="Times New Roman" w:eastAsia="Times New Roman"/>
          <w:b w:val="0"/>
          <w:sz w:val="24"/>
        </w:rPr>
        <w:t>Experiments were run on 27 August 2026 on Ubuntu 24.04.4 LTS, kernel 6.12.94+, with a four-core Intel Xeon processor, 15 GiB of memory and no graphics processor. Python 3.12.3, Node.js 22.14.0, npm 10.9.7, PostgreSQL 16.15, Redis 7.0.15 and LibreOffice 24.2.7 were used. Important Python packages included numpy 2.0.2, scipy 1.14.1, scikit-learn 1.5.2, FastAPI 0.111.0, SQLAlchemy 2.0.30, Alembic 1.13.1, pytest 8.2.0, ruff 0.14.3, temporalio 1.6.0 and ray 2.53.0. The web application used Next.js 14.2.0 and React 18.3.1. Docker 29.1.3 was installed but the daemon failed with overlay2 unsupported, so containers were not used. Native PostgreSQL listened on port 5432 rather than the Compose mapping 5433. DATABASE_URL was therefore postgresql+asyncpg://gsip:gsip_password@localhost:5432/gsip. RAY_ADDRESS was local. GSIP_DEMO_AUTH remained at its default of true. No passwords or API keys beyond the local database role already published in .env.example were introduced. Temporal, MinIO and a Ray cluster were not started.</w:t>
      </w:r>
    </w:p>
    <w:p>
      <w:pPr>
        <w:keepNext w:val="0"/>
        <w:keepLines w:val="0"/>
        <w:widowControl/>
        <w:spacing w:after="120" w:before="0" w:line="360" w:lineRule="auto"/>
        <w:jc w:val="both"/>
      </w:pPr>
      <w:r>
        <w:rPr>
          <w:rFonts w:ascii="Times New Roman" w:hAnsi="Times New Roman" w:eastAsia="Times New Roman"/>
          <w:b w:val="0"/>
          <w:sz w:val="24"/>
        </w:rPr>
        <w:t>Services were started with: sudo service postgresql start; sudo service redis-server start; alembic upgrade head in services/api; python scripts/seed_data.py; uvicorn services.api.main:app --host 127.0.0.1 --port 8000; npm run dev in apps/web; and npm run dev in apps/admin. Tests used pytest -m "not integration and not slow" --cov, ruff check core/ libs/ compute/ services/ scripts/ tests/, and npm test -- --run in apps/web. Benchmarks used python dissertation/chapter4/run_benchmark_campaign.py, which calls the unmodified run_benchmark harness. The random-seed policy was the integer sequence 1 to 10 inclusive, applied independently to every backend and problem. Termination was by completed objective evaluations, not by a backend-specific stopping rule. Wall time included initialisation of the backend. Parallel evaluation inside a run was not enabled; two worker processes ran independent seeds. Timeouts and retries from the Temporal workflow were not exercised.</w:t>
      </w:r>
    </w:p>
    <w:p>
      <w:pPr>
        <w:pStyle w:val="Heading3"/>
      </w:pPr>
      <w:r>
        <w:t>Benchmark problems and optimiser settings</w:t>
      </w:r>
    </w:p>
    <w:p>
      <w:pPr>
        <w:keepNext w:val="0"/>
        <w:keepLines w:val="0"/>
        <w:widowControl/>
        <w:spacing w:after="120" w:before="0" w:line="360" w:lineRule="auto"/>
        <w:jc w:val="both"/>
      </w:pPr>
      <w:r>
        <w:rPr>
          <w:rFonts w:ascii="Times New Roman" w:hAnsi="Times New Roman" w:eastAsia="Times New Roman"/>
          <w:b w:val="0"/>
          <w:sz w:val="24"/>
        </w:rPr>
        <w:t>The measuring instruments are the analytic ZDT and DTLZ problems implemented in services/optimizer/benchmarks/problems.py, following Zitzler, Deb and Thiele (2000) and Deb, Thiele, Laumanns and Zitzler (2002). All objectives are minimised. Variable bounds are [0, 1] on every coordinate used here. There are no explicit constraints. Hypervolume used the problem reference point stored with the implementation: (1.1, 1.1) for ZDT1 and ZDT2, and (1.2, 1.2, 1.2) for DTLZ2. Two-objective hypervolume was exact. Three-objective hypervolume was a seeded Monte Carlo estimate with 200,000 samples. IGD used a 200-point sample of the analytic front. Hypervolume values were never compared across different reference points. IGD values were never compared across different reference fronts.</w:t>
      </w:r>
    </w:p>
    <w:p>
      <w:pPr>
        <w:keepNext w:val="0"/>
        <w:keepLines w:val="0"/>
        <w:widowControl/>
        <w:spacing w:after="120" w:before="0" w:line="360" w:lineRule="auto"/>
        <w:jc w:val="both"/>
      </w:pPr>
      <w:r>
        <w:rPr>
          <w:rFonts w:ascii="Times New Roman" w:hAnsi="Times New Roman" w:eastAsia="Times New Roman"/>
          <w:b w:val="0"/>
          <w:sz w:val="24"/>
        </w:rPr>
        <w:t>The evaluation budget was 200 completed objective evaluations and the batch size was 20, matching configs/benchmarks/zdt1_smoke.yaml rather than the canonical thirty-variable, 5,000-evaluation sweep in zdt_canonical.yaml. ZDT1 and ZDT2 used five decision variables for the same reason. That is a deliberate deviation from the literature sizes and from Chapter 3's canonical discussion if that chapter specified thirty variables: it keeps the Bayesian and hybrid backends computationally feasible at ten seeds, but it prevents any claim that the ranking would hold at canonical dimension. DTLZ2 used the implementation default of three objectives and twelve variables. Evolutionary population size remained 50. Bayesian n_restarts remained at the backend default of 5. Hybrid used UnifiedOptimizer with its Bayesian half fitted to the first objective only, which is the behaviour of the submitted code. The external random-search harness sampled uniformly in the box with the same budget, batch size and seeds. Failed evaluations were not observed: every analytic call returned a finite vector, so the failure-handling rule was not triggered. All four methods received the same number of completed evaluations on every run.</w:t>
      </w:r>
    </w:p>
    <w:p>
      <w:pPr>
        <w:keepNext w:val="0"/>
        <w:keepLines w:val="0"/>
        <w:widowControl/>
        <w:spacing w:after="60" w:before="0" w:line="276" w:lineRule="auto"/>
        <w:jc w:val="center"/>
      </w:pPr>
      <w:r>
        <w:rPr>
          <w:rFonts w:ascii="Times New Roman" w:hAnsi="Times New Roman" w:eastAsia="Times New Roman"/>
          <w:b/>
          <w:sz w:val="20"/>
        </w:rPr>
        <w:t>Table 4.1. Benchmark configuration used for the equal-budget campaign.</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shd w:fill="1F4E79" w:val="clear"/>
          </w:tcPr>
          <w:p>
            <w:pPr>
              <w:spacing w:after="0" w:before="0" w:line="240" w:lineRule="auto"/>
              <w:jc w:val="center"/>
            </w:pPr>
            <w:r/>
            <w:r>
              <w:rPr>
                <w:rFonts w:ascii="Times New Roman" w:hAnsi="Times New Roman" w:eastAsia="Times New Roman"/>
                <w:b/>
                <w:color w:val="FFFFFF"/>
                <w:sz w:val="18"/>
              </w:rPr>
              <w:t>Problem</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Backend</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Variables</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Objectives</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Budget</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Seeds</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Important settings</w:t>
            </w:r>
          </w:p>
        </w:tc>
      </w:tr>
      <w:tr>
        <w:tc>
          <w:tcPr>
            <w:tcW w:type="dxa" w:w="1234"/>
            <w:shd w:fill="E8EEF4" w:val="clear"/>
          </w:tcPr>
          <w:p>
            <w:pPr>
              <w:spacing w:after="0" w:before="0" w:line="240" w:lineRule="auto"/>
              <w:jc w:val="left"/>
            </w:pPr>
            <w:r/>
            <w:r>
              <w:rPr>
                <w:rFonts w:ascii="Times New Roman" w:hAnsi="Times New Roman" w:eastAsia="Times New Roman"/>
                <w:b w:val="0"/>
                <w:sz w:val="18"/>
              </w:rPr>
              <w:t>ZDT1</w:t>
            </w:r>
          </w:p>
        </w:tc>
        <w:tc>
          <w:tcPr>
            <w:tcW w:type="dxa" w:w="1234"/>
            <w:shd w:fill="E8EEF4" w:val="clear"/>
          </w:tcPr>
          <w:p>
            <w:pPr>
              <w:spacing w:after="0" w:before="0" w:line="240" w:lineRule="auto"/>
              <w:jc w:val="center"/>
            </w:pPr>
            <w:r/>
            <w:r>
              <w:rPr>
                <w:rFonts w:ascii="Times New Roman" w:hAnsi="Times New Roman" w:eastAsia="Times New Roman"/>
                <w:b w:val="0"/>
                <w:sz w:val="18"/>
              </w:rPr>
              <w:t>evolutionary, Bayesian, hybrid, random</w:t>
            </w:r>
          </w:p>
        </w:tc>
        <w:tc>
          <w:tcPr>
            <w:tcW w:type="dxa" w:w="1234"/>
            <w:shd w:fill="E8EEF4" w:val="clear"/>
          </w:tcPr>
          <w:p>
            <w:pPr>
              <w:spacing w:after="0" w:before="0" w:line="240" w:lineRule="auto"/>
              <w:jc w:val="center"/>
            </w:pPr>
            <w:r/>
            <w:r>
              <w:rPr>
                <w:rFonts w:ascii="Times New Roman" w:hAnsi="Times New Roman" w:eastAsia="Times New Roman"/>
                <w:b w:val="0"/>
                <w:sz w:val="18"/>
              </w:rPr>
              <w:t>5</w:t>
            </w:r>
          </w:p>
        </w:tc>
        <w:tc>
          <w:tcPr>
            <w:tcW w:type="dxa" w:w="1234"/>
            <w:shd w:fill="E8EEF4" w:val="clear"/>
          </w:tcPr>
          <w:p>
            <w:pPr>
              <w:spacing w:after="0" w:before="0" w:line="240" w:lineRule="auto"/>
              <w:jc w:val="center"/>
            </w:pPr>
            <w:r/>
            <w:r>
              <w:rPr>
                <w:rFonts w:ascii="Times New Roman" w:hAnsi="Times New Roman" w:eastAsia="Times New Roman"/>
                <w:b w:val="0"/>
                <w:sz w:val="18"/>
              </w:rPr>
              <w:t>2</w:t>
            </w:r>
          </w:p>
        </w:tc>
        <w:tc>
          <w:tcPr>
            <w:tcW w:type="dxa" w:w="1234"/>
            <w:shd w:fill="E8EEF4" w:val="clear"/>
          </w:tcPr>
          <w:p>
            <w:pPr>
              <w:spacing w:after="0" w:before="0" w:line="240" w:lineRule="auto"/>
              <w:jc w:val="center"/>
            </w:pPr>
            <w:r/>
            <w:r>
              <w:rPr>
                <w:rFonts w:ascii="Times New Roman" w:hAnsi="Times New Roman" w:eastAsia="Times New Roman"/>
                <w:b w:val="0"/>
                <w:sz w:val="18"/>
              </w:rPr>
              <w:t>200</w:t>
            </w:r>
          </w:p>
        </w:tc>
        <w:tc>
          <w:tcPr>
            <w:tcW w:type="dxa" w:w="1234"/>
            <w:shd w:fill="E8EEF4" w:val="clear"/>
          </w:tcPr>
          <w:p>
            <w:pPr>
              <w:spacing w:after="0" w:before="0" w:line="240" w:lineRule="auto"/>
              <w:jc w:val="center"/>
            </w:pPr>
            <w:r/>
            <w:r>
              <w:rPr>
                <w:rFonts w:ascii="Times New Roman" w:hAnsi="Times New Roman" w:eastAsia="Times New Roman"/>
                <w:b w:val="0"/>
                <w:sz w:val="18"/>
              </w:rPr>
              <w:t>10</w:t>
            </w:r>
          </w:p>
        </w:tc>
        <w:tc>
          <w:tcPr>
            <w:tcW w:type="dxa" w:w="1234"/>
            <w:shd w:fill="E8EEF4" w:val="clear"/>
          </w:tcPr>
          <w:p>
            <w:pPr>
              <w:spacing w:after="0" w:before="0" w:line="240" w:lineRule="auto"/>
              <w:jc w:val="center"/>
            </w:pPr>
            <w:r/>
            <w:r>
              <w:rPr>
                <w:rFonts w:ascii="Times New Roman" w:hAnsi="Times New Roman" w:eastAsia="Times New Roman"/>
                <w:b w:val="0"/>
                <w:sz w:val="18"/>
              </w:rPr>
              <w:t>Batch 20; HV ref (1.1, 1.1); exact HV</w:t>
            </w:r>
          </w:p>
        </w:tc>
      </w:tr>
      <w:tr>
        <w:tc>
          <w:tcPr>
            <w:tcW w:type="dxa" w:w="1234"/>
            <w:shd w:fill="FFFFFF" w:val="clear"/>
          </w:tcPr>
          <w:p>
            <w:pPr>
              <w:spacing w:after="0" w:before="0" w:line="240" w:lineRule="auto"/>
              <w:jc w:val="left"/>
            </w:pPr>
            <w:r/>
            <w:r>
              <w:rPr>
                <w:rFonts w:ascii="Times New Roman" w:hAnsi="Times New Roman" w:eastAsia="Times New Roman"/>
                <w:b w:val="0"/>
                <w:sz w:val="18"/>
              </w:rPr>
              <w:t>ZDT2</w:t>
            </w:r>
          </w:p>
        </w:tc>
        <w:tc>
          <w:tcPr>
            <w:tcW w:type="dxa" w:w="1234"/>
            <w:shd w:fill="FFFFFF" w:val="clear"/>
          </w:tcPr>
          <w:p>
            <w:pPr>
              <w:spacing w:after="0" w:before="0" w:line="240" w:lineRule="auto"/>
              <w:jc w:val="center"/>
            </w:pPr>
            <w:r/>
            <w:r>
              <w:rPr>
                <w:rFonts w:ascii="Times New Roman" w:hAnsi="Times New Roman" w:eastAsia="Times New Roman"/>
                <w:b w:val="0"/>
                <w:sz w:val="18"/>
              </w:rPr>
              <w:t>evolutionary, Bayesian, hybrid, random</w:t>
            </w:r>
          </w:p>
        </w:tc>
        <w:tc>
          <w:tcPr>
            <w:tcW w:type="dxa" w:w="1234"/>
            <w:shd w:fill="FFFFFF" w:val="clear"/>
          </w:tcPr>
          <w:p>
            <w:pPr>
              <w:spacing w:after="0" w:before="0" w:line="240" w:lineRule="auto"/>
              <w:jc w:val="center"/>
            </w:pPr>
            <w:r/>
            <w:r>
              <w:rPr>
                <w:rFonts w:ascii="Times New Roman" w:hAnsi="Times New Roman" w:eastAsia="Times New Roman"/>
                <w:b w:val="0"/>
                <w:sz w:val="18"/>
              </w:rPr>
              <w:t>5</w:t>
            </w:r>
          </w:p>
        </w:tc>
        <w:tc>
          <w:tcPr>
            <w:tcW w:type="dxa" w:w="1234"/>
            <w:shd w:fill="FFFFFF" w:val="clear"/>
          </w:tcPr>
          <w:p>
            <w:pPr>
              <w:spacing w:after="0" w:before="0" w:line="240" w:lineRule="auto"/>
              <w:jc w:val="center"/>
            </w:pPr>
            <w:r/>
            <w:r>
              <w:rPr>
                <w:rFonts w:ascii="Times New Roman" w:hAnsi="Times New Roman" w:eastAsia="Times New Roman"/>
                <w:b w:val="0"/>
                <w:sz w:val="18"/>
              </w:rPr>
              <w:t>2</w:t>
            </w:r>
          </w:p>
        </w:tc>
        <w:tc>
          <w:tcPr>
            <w:tcW w:type="dxa" w:w="1234"/>
            <w:shd w:fill="FFFFFF" w:val="clear"/>
          </w:tcPr>
          <w:p>
            <w:pPr>
              <w:spacing w:after="0" w:before="0" w:line="240" w:lineRule="auto"/>
              <w:jc w:val="center"/>
            </w:pPr>
            <w:r/>
            <w:r>
              <w:rPr>
                <w:rFonts w:ascii="Times New Roman" w:hAnsi="Times New Roman" w:eastAsia="Times New Roman"/>
                <w:b w:val="0"/>
                <w:sz w:val="18"/>
              </w:rPr>
              <w:t>200</w:t>
            </w:r>
          </w:p>
        </w:tc>
        <w:tc>
          <w:tcPr>
            <w:tcW w:type="dxa" w:w="1234"/>
            <w:shd w:fill="FFFFFF" w:val="clear"/>
          </w:tcPr>
          <w:p>
            <w:pPr>
              <w:spacing w:after="0" w:before="0" w:line="240" w:lineRule="auto"/>
              <w:jc w:val="center"/>
            </w:pPr>
            <w:r/>
            <w:r>
              <w:rPr>
                <w:rFonts w:ascii="Times New Roman" w:hAnsi="Times New Roman" w:eastAsia="Times New Roman"/>
                <w:b w:val="0"/>
                <w:sz w:val="18"/>
              </w:rPr>
              <w:t>10</w:t>
            </w:r>
          </w:p>
        </w:tc>
        <w:tc>
          <w:tcPr>
            <w:tcW w:type="dxa" w:w="1234"/>
            <w:shd w:fill="FFFFFF" w:val="clear"/>
          </w:tcPr>
          <w:p>
            <w:pPr>
              <w:spacing w:after="0" w:before="0" w:line="240" w:lineRule="auto"/>
              <w:jc w:val="center"/>
            </w:pPr>
            <w:r/>
            <w:r>
              <w:rPr>
                <w:rFonts w:ascii="Times New Roman" w:hAnsi="Times New Roman" w:eastAsia="Times New Roman"/>
                <w:b w:val="0"/>
                <w:sz w:val="18"/>
              </w:rPr>
              <w:t>Batch 20; HV ref (1.1, 1.1); concave front</w:t>
            </w:r>
          </w:p>
        </w:tc>
      </w:tr>
      <w:tr>
        <w:tc>
          <w:tcPr>
            <w:tcW w:type="dxa" w:w="1234"/>
            <w:shd w:fill="E8EEF4" w:val="clear"/>
          </w:tcPr>
          <w:p>
            <w:pPr>
              <w:spacing w:after="0" w:before="0" w:line="240" w:lineRule="auto"/>
              <w:jc w:val="left"/>
            </w:pPr>
            <w:r/>
            <w:r>
              <w:rPr>
                <w:rFonts w:ascii="Times New Roman" w:hAnsi="Times New Roman" w:eastAsia="Times New Roman"/>
                <w:b w:val="0"/>
                <w:sz w:val="18"/>
              </w:rPr>
              <w:t>DTLZ2</w:t>
            </w:r>
          </w:p>
        </w:tc>
        <w:tc>
          <w:tcPr>
            <w:tcW w:type="dxa" w:w="1234"/>
            <w:shd w:fill="E8EEF4" w:val="clear"/>
          </w:tcPr>
          <w:p>
            <w:pPr>
              <w:spacing w:after="0" w:before="0" w:line="240" w:lineRule="auto"/>
              <w:jc w:val="center"/>
            </w:pPr>
            <w:r/>
            <w:r>
              <w:rPr>
                <w:rFonts w:ascii="Times New Roman" w:hAnsi="Times New Roman" w:eastAsia="Times New Roman"/>
                <w:b w:val="0"/>
                <w:sz w:val="18"/>
              </w:rPr>
              <w:t>evolutionary, Bayesian, hybrid, random</w:t>
            </w:r>
          </w:p>
        </w:tc>
        <w:tc>
          <w:tcPr>
            <w:tcW w:type="dxa" w:w="1234"/>
            <w:shd w:fill="E8EEF4" w:val="clear"/>
          </w:tcPr>
          <w:p>
            <w:pPr>
              <w:spacing w:after="0" w:before="0" w:line="240" w:lineRule="auto"/>
              <w:jc w:val="center"/>
            </w:pPr>
            <w:r/>
            <w:r>
              <w:rPr>
                <w:rFonts w:ascii="Times New Roman" w:hAnsi="Times New Roman" w:eastAsia="Times New Roman"/>
                <w:b w:val="0"/>
                <w:sz w:val="18"/>
              </w:rPr>
              <w:t>12</w:t>
            </w:r>
          </w:p>
        </w:tc>
        <w:tc>
          <w:tcPr>
            <w:tcW w:type="dxa" w:w="1234"/>
            <w:shd w:fill="E8EEF4" w:val="clear"/>
          </w:tcPr>
          <w:p>
            <w:pPr>
              <w:spacing w:after="0" w:before="0" w:line="240" w:lineRule="auto"/>
              <w:jc w:val="center"/>
            </w:pPr>
            <w:r/>
            <w:r>
              <w:rPr>
                <w:rFonts w:ascii="Times New Roman" w:hAnsi="Times New Roman" w:eastAsia="Times New Roman"/>
                <w:b w:val="0"/>
                <w:sz w:val="18"/>
              </w:rPr>
              <w:t>3</w:t>
            </w:r>
          </w:p>
        </w:tc>
        <w:tc>
          <w:tcPr>
            <w:tcW w:type="dxa" w:w="1234"/>
            <w:shd w:fill="E8EEF4" w:val="clear"/>
          </w:tcPr>
          <w:p>
            <w:pPr>
              <w:spacing w:after="0" w:before="0" w:line="240" w:lineRule="auto"/>
              <w:jc w:val="center"/>
            </w:pPr>
            <w:r/>
            <w:r>
              <w:rPr>
                <w:rFonts w:ascii="Times New Roman" w:hAnsi="Times New Roman" w:eastAsia="Times New Roman"/>
                <w:b w:val="0"/>
                <w:sz w:val="18"/>
              </w:rPr>
              <w:t>200</w:t>
            </w:r>
          </w:p>
        </w:tc>
        <w:tc>
          <w:tcPr>
            <w:tcW w:type="dxa" w:w="1234"/>
            <w:shd w:fill="E8EEF4" w:val="clear"/>
          </w:tcPr>
          <w:p>
            <w:pPr>
              <w:spacing w:after="0" w:before="0" w:line="240" w:lineRule="auto"/>
              <w:jc w:val="center"/>
            </w:pPr>
            <w:r/>
            <w:r>
              <w:rPr>
                <w:rFonts w:ascii="Times New Roman" w:hAnsi="Times New Roman" w:eastAsia="Times New Roman"/>
                <w:b w:val="0"/>
                <w:sz w:val="18"/>
              </w:rPr>
              <w:t>10</w:t>
            </w:r>
          </w:p>
        </w:tc>
        <w:tc>
          <w:tcPr>
            <w:tcW w:type="dxa" w:w="1234"/>
            <w:shd w:fill="E8EEF4" w:val="clear"/>
          </w:tcPr>
          <w:p>
            <w:pPr>
              <w:spacing w:after="0" w:before="0" w:line="240" w:lineRule="auto"/>
              <w:jc w:val="center"/>
            </w:pPr>
            <w:r/>
            <w:r>
              <w:rPr>
                <w:rFonts w:ascii="Times New Roman" w:hAnsi="Times New Roman" w:eastAsia="Times New Roman"/>
                <w:b w:val="0"/>
                <w:sz w:val="18"/>
              </w:rPr>
              <w:t>Batch 20; HV ref (1.2)^3; Monte Carlo HV</w:t>
            </w:r>
          </w:p>
        </w:tc>
      </w:tr>
    </w:tbl>
    <w:p>
      <w:pPr>
        <w:keepNext w:val="0"/>
        <w:keepLines w:val="0"/>
        <w:widowControl/>
        <w:spacing w:after="120" w:before="0" w:line="240" w:lineRule="auto"/>
        <w:jc w:val="both"/>
      </w:pPr>
    </w:p>
    <w:p>
      <w:pPr>
        <w:pStyle w:val="Heading3"/>
      </w:pPr>
      <w:r>
        <w:t>Measures</w:t>
      </w:r>
    </w:p>
    <w:p>
      <w:pPr>
        <w:keepNext w:val="0"/>
        <w:keepLines w:val="0"/>
        <w:widowControl/>
        <w:spacing w:after="120" w:before="0" w:line="360" w:lineRule="auto"/>
        <w:jc w:val="both"/>
      </w:pPr>
      <w:r>
        <w:rPr>
          <w:rFonts w:ascii="Times New Roman" w:hAnsi="Times New Roman" w:eastAsia="Times New Roman"/>
          <w:b w:val="0"/>
          <w:sz w:val="24"/>
        </w:rPr>
        <w:t>Hypervolume measures the volume of objective space dominated by the non-dominated archive relative to a reference point. Higher is better. It was computed by the exact two-dimensional sweep in services/optimizer/benchmarks/metrics.py, or by Monte Carlo for DTLZ2. Its main limitation is dependence on the reference point and, in three objectives, sampling error. IGD is the mean Euclidean distance from each reference-front point to the nearest archive point. Lower is better. It punishes gaps in coverage as well as distance, and it is undefined for an empty front, in which case the implementation returns infinity; no empty front occurred. Non-dominated front size is a count of mutually non-dominated points; larger is not automatically better because a large front can lie far from the true surface. Feasibility rate was not applicable to these unconstrained analytic problems and is reported as not evaluated. Completed evaluation count was 200 on every run. Failed evaluation count was zero. Wall-clock time is seconds of process time including initialisation. Convergence is hypervolume against evaluation count. Variation across seeds is summarised by the median, interquartile range, mean, standard deviation, minimum and maximum. Reproducibility used exact equality of hypervolume, IGD, front and history under seed 123 at a 60-evaluation budget. Sensitivity to changed seeds compared seeds 123 and 124. Kruskal-Wallis tests compared four independent groups of ten runs, with Bonferroni-corrected Mann-Whitney tests and a rank-biserial effect size. Statistical significance was not treated as a ranking by itself.</w:t>
      </w:r>
    </w:p>
    <w:p>
      <w:pPr>
        <w:pStyle w:val="Heading2"/>
      </w:pPr>
      <w:r>
        <w:t>4.2 Functional correctness and test evidence</w:t>
      </w:r>
    </w:p>
    <w:p>
      <w:pPr>
        <w:keepNext w:val="0"/>
        <w:keepLines w:val="0"/>
        <w:widowControl/>
        <w:spacing w:after="120" w:before="0" w:line="360" w:lineRule="auto"/>
        <w:jc w:val="both"/>
      </w:pPr>
      <w:r>
        <w:rPr>
          <w:rFonts w:ascii="Times New Roman" w:hAnsi="Times New Roman" w:eastAsia="Times New Roman"/>
          <w:b w:val="0"/>
          <w:sz w:val="24"/>
        </w:rPr>
        <w:t>Automated tests were executed from a virtual environment that installed requirements-dev.txt. A passing test verifies only the assertion that it encodes. The suite does not establish domain validity, usability or security of the platform as a whole.</w:t>
      </w:r>
    </w:p>
    <w:p>
      <w:pPr>
        <w:keepNext w:val="0"/>
        <w:keepLines w:val="0"/>
        <w:widowControl/>
        <w:spacing w:after="60" w:before="0" w:line="276" w:lineRule="auto"/>
        <w:jc w:val="center"/>
      </w:pPr>
      <w:r>
        <w:rPr>
          <w:rFonts w:ascii="Times New Roman" w:hAnsi="Times New Roman" w:eastAsia="Times New Roman"/>
          <w:b/>
          <w:sz w:val="20"/>
        </w:rPr>
        <w:t>Table 4.2. Automated checks executed for this chapter.</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shd w:fill="1F4E79" w:val="clear"/>
          </w:tcPr>
          <w:p>
            <w:pPr>
              <w:spacing w:after="0" w:before="0" w:line="240" w:lineRule="auto"/>
              <w:jc w:val="center"/>
            </w:pPr>
            <w:r/>
            <w:r>
              <w:rPr>
                <w:rFonts w:ascii="Times New Roman" w:hAnsi="Times New Roman" w:eastAsia="Times New Roman"/>
                <w:b/>
                <w:color w:val="FFFFFF"/>
                <w:sz w:val="18"/>
              </w:rPr>
              <w:t>Check</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Command or job</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Passed</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Failed</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Skipped</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Evidence</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Interpretation</w:t>
            </w:r>
          </w:p>
        </w:tc>
      </w:tr>
      <w:tr>
        <w:tc>
          <w:tcPr>
            <w:tcW w:type="dxa" w:w="1234"/>
            <w:shd w:fill="E8EEF4" w:val="clear"/>
          </w:tcPr>
          <w:p>
            <w:pPr>
              <w:spacing w:after="0" w:before="0" w:line="240" w:lineRule="auto"/>
              <w:jc w:val="left"/>
            </w:pPr>
            <w:r/>
            <w:r>
              <w:rPr>
                <w:rFonts w:ascii="Times New Roman" w:hAnsi="Times New Roman" w:eastAsia="Times New Roman"/>
                <w:b w:val="0"/>
                <w:sz w:val="18"/>
              </w:rPr>
              <w:t>Python unit tests</w:t>
            </w:r>
          </w:p>
        </w:tc>
        <w:tc>
          <w:tcPr>
            <w:tcW w:type="dxa" w:w="1234"/>
            <w:shd w:fill="E8EEF4" w:val="clear"/>
          </w:tcPr>
          <w:p>
            <w:pPr>
              <w:spacing w:after="0" w:before="0" w:line="240" w:lineRule="auto"/>
              <w:jc w:val="center"/>
            </w:pPr>
            <w:r/>
            <w:r>
              <w:rPr>
                <w:rFonts w:ascii="Times New Roman" w:hAnsi="Times New Roman" w:eastAsia="Times New Roman"/>
                <w:b w:val="0"/>
                <w:sz w:val="18"/>
              </w:rPr>
              <w:t>pytest -m "not integration and not slow" --cov</w:t>
            </w:r>
          </w:p>
        </w:tc>
        <w:tc>
          <w:tcPr>
            <w:tcW w:type="dxa" w:w="1234"/>
            <w:shd w:fill="E8EEF4" w:val="clear"/>
          </w:tcPr>
          <w:p>
            <w:pPr>
              <w:spacing w:after="0" w:before="0" w:line="240" w:lineRule="auto"/>
              <w:jc w:val="center"/>
            </w:pPr>
            <w:r/>
            <w:r>
              <w:rPr>
                <w:rFonts w:ascii="Times New Roman" w:hAnsi="Times New Roman" w:eastAsia="Times New Roman"/>
                <w:b w:val="0"/>
                <w:sz w:val="18"/>
              </w:rPr>
              <w:t>223</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1</w:t>
            </w:r>
          </w:p>
        </w:tc>
        <w:tc>
          <w:tcPr>
            <w:tcW w:type="dxa" w:w="1234"/>
            <w:shd w:fill="E8EEF4" w:val="clear"/>
          </w:tcPr>
          <w:p>
            <w:pPr>
              <w:spacing w:after="0" w:before="0" w:line="240" w:lineRule="auto"/>
              <w:jc w:val="center"/>
            </w:pPr>
            <w:r/>
            <w:r>
              <w:rPr>
                <w:rFonts w:ascii="Times New Roman" w:hAnsi="Times New Roman" w:eastAsia="Times New Roman"/>
                <w:b w:val="0"/>
                <w:sz w:val="18"/>
              </w:rPr>
              <w:t>dissertation/chapter4/logs/pytest.txt; 64.86 s; coverage 56%</w:t>
            </w:r>
          </w:p>
        </w:tc>
        <w:tc>
          <w:tcPr>
            <w:tcW w:type="dxa" w:w="1234"/>
            <w:shd w:fill="E8EEF4" w:val="clear"/>
          </w:tcPr>
          <w:p>
            <w:pPr>
              <w:spacing w:after="0" w:before="0" w:line="240" w:lineRule="auto"/>
              <w:jc w:val="center"/>
            </w:pPr>
            <w:r/>
            <w:r>
              <w:rPr>
                <w:rFonts w:ascii="Times New Roman" w:hAnsi="Times New Roman" w:eastAsia="Times New Roman"/>
                <w:b w:val="0"/>
                <w:sz w:val="18"/>
              </w:rPr>
              <w:t>Core formaliser, packs, optimiser harness, hashing and scoring assertions passed locally.</w:t>
            </w:r>
          </w:p>
        </w:tc>
      </w:tr>
      <w:tr>
        <w:tc>
          <w:tcPr>
            <w:tcW w:type="dxa" w:w="1234"/>
            <w:shd w:fill="FFFFFF" w:val="clear"/>
          </w:tcPr>
          <w:p>
            <w:pPr>
              <w:spacing w:after="0" w:before="0" w:line="240" w:lineRule="auto"/>
              <w:jc w:val="left"/>
            </w:pPr>
            <w:r/>
            <w:r>
              <w:rPr>
                <w:rFonts w:ascii="Times New Roman" w:hAnsi="Times New Roman" w:eastAsia="Times New Roman"/>
                <w:b w:val="0"/>
                <w:sz w:val="18"/>
              </w:rPr>
              <w:t>Python integration</w:t>
            </w:r>
          </w:p>
        </w:tc>
        <w:tc>
          <w:tcPr>
            <w:tcW w:type="dxa" w:w="1234"/>
            <w:shd w:fill="FFFFFF" w:val="clear"/>
          </w:tcPr>
          <w:p>
            <w:pPr>
              <w:spacing w:after="0" w:before="0" w:line="240" w:lineRule="auto"/>
              <w:jc w:val="center"/>
            </w:pPr>
            <w:r/>
            <w:r>
              <w:rPr>
                <w:rFonts w:ascii="Times New Roman" w:hAnsi="Times New Roman" w:eastAsia="Times New Roman"/>
                <w:b w:val="0"/>
                <w:sz w:val="18"/>
              </w:rPr>
              <w:t>tests/test_api_crud.py (testcontainers)</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1</w:t>
            </w:r>
          </w:p>
        </w:tc>
        <w:tc>
          <w:tcPr>
            <w:tcW w:type="dxa" w:w="1234"/>
            <w:shd w:fill="FFFFFF" w:val="clear"/>
          </w:tcPr>
          <w:p>
            <w:pPr>
              <w:spacing w:after="0" w:before="0" w:line="240" w:lineRule="auto"/>
              <w:jc w:val="center"/>
            </w:pPr>
            <w:r/>
            <w:r>
              <w:rPr>
                <w:rFonts w:ascii="Times New Roman" w:hAnsi="Times New Roman" w:eastAsia="Times New Roman"/>
                <w:b w:val="0"/>
                <w:sz w:val="18"/>
              </w:rPr>
              <w:t>pytest skip: testcontainers required</w:t>
            </w:r>
          </w:p>
        </w:tc>
        <w:tc>
          <w:tcPr>
            <w:tcW w:type="dxa" w:w="1234"/>
            <w:shd w:fill="FFFFFF" w:val="clear"/>
          </w:tcPr>
          <w:p>
            <w:pPr>
              <w:spacing w:after="0" w:before="0" w:line="240" w:lineRule="auto"/>
              <w:jc w:val="center"/>
            </w:pPr>
            <w:r/>
            <w:r>
              <w:rPr>
                <w:rFonts w:ascii="Times New Roman" w:hAnsi="Times New Roman" w:eastAsia="Times New Roman"/>
                <w:b w:val="0"/>
                <w:sz w:val="18"/>
              </w:rPr>
              <w:t>API CRUD against Docker Postgres was not executed in this environment.</w:t>
            </w:r>
          </w:p>
        </w:tc>
      </w:tr>
      <w:tr>
        <w:tc>
          <w:tcPr>
            <w:tcW w:type="dxa" w:w="1234"/>
            <w:shd w:fill="E8EEF4" w:val="clear"/>
          </w:tcPr>
          <w:p>
            <w:pPr>
              <w:spacing w:after="0" w:before="0" w:line="240" w:lineRule="auto"/>
              <w:jc w:val="left"/>
            </w:pPr>
            <w:r/>
            <w:r>
              <w:rPr>
                <w:rFonts w:ascii="Times New Roman" w:hAnsi="Times New Roman" w:eastAsia="Times New Roman"/>
                <w:b w:val="0"/>
                <w:sz w:val="18"/>
              </w:rPr>
              <w:t>Ruff</w:t>
            </w:r>
          </w:p>
        </w:tc>
        <w:tc>
          <w:tcPr>
            <w:tcW w:type="dxa" w:w="1234"/>
            <w:shd w:fill="E8EEF4" w:val="clear"/>
          </w:tcPr>
          <w:p>
            <w:pPr>
              <w:spacing w:after="0" w:before="0" w:line="240" w:lineRule="auto"/>
              <w:jc w:val="center"/>
            </w:pPr>
            <w:r/>
            <w:r>
              <w:rPr>
                <w:rFonts w:ascii="Times New Roman" w:hAnsi="Times New Roman" w:eastAsia="Times New Roman"/>
                <w:b w:val="0"/>
                <w:sz w:val="18"/>
              </w:rPr>
              <w:t>ruff check core/ libs/ compute/ services/ scripts/ tests/</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3</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dissertation/chapter4/logs/ruff_plain.txt; GitHub Actions lint job 33028242616</w:t>
            </w:r>
          </w:p>
        </w:tc>
        <w:tc>
          <w:tcPr>
            <w:tcW w:type="dxa" w:w="1234"/>
            <w:shd w:fill="E8EEF4" w:val="clear"/>
          </w:tcPr>
          <w:p>
            <w:pPr>
              <w:spacing w:after="0" w:before="0" w:line="240" w:lineRule="auto"/>
              <w:jc w:val="center"/>
            </w:pPr>
            <w:r/>
            <w:r>
              <w:rPr>
                <w:rFonts w:ascii="Times New Roman" w:hAnsi="Times New Roman" w:eastAsia="Times New Roman"/>
                <w:b w:val="0"/>
                <w:sz w:val="18"/>
              </w:rPr>
              <w:t>Unused Optional import, unused pytest import, ambiguous name l. Style only; no test was failed by these.</w:t>
            </w:r>
          </w:p>
        </w:tc>
      </w:tr>
      <w:tr>
        <w:tc>
          <w:tcPr>
            <w:tcW w:type="dxa" w:w="1234"/>
            <w:shd w:fill="FFFFFF" w:val="clear"/>
          </w:tcPr>
          <w:p>
            <w:pPr>
              <w:spacing w:after="0" w:before="0" w:line="240" w:lineRule="auto"/>
              <w:jc w:val="left"/>
            </w:pPr>
            <w:r/>
            <w:r>
              <w:rPr>
                <w:rFonts w:ascii="Times New Roman" w:hAnsi="Times New Roman" w:eastAsia="Times New Roman"/>
                <w:b w:val="0"/>
                <w:sz w:val="18"/>
              </w:rPr>
              <w:t>Web unit tests</w:t>
            </w:r>
          </w:p>
        </w:tc>
        <w:tc>
          <w:tcPr>
            <w:tcW w:type="dxa" w:w="1234"/>
            <w:shd w:fill="FFFFFF" w:val="clear"/>
          </w:tcPr>
          <w:p>
            <w:pPr>
              <w:spacing w:after="0" w:before="0" w:line="240" w:lineRule="auto"/>
              <w:jc w:val="center"/>
            </w:pPr>
            <w:r/>
            <w:r>
              <w:rPr>
                <w:rFonts w:ascii="Times New Roman" w:hAnsi="Times New Roman" w:eastAsia="Times New Roman"/>
                <w:b w:val="0"/>
                <w:sz w:val="18"/>
              </w:rPr>
              <w:t>npm test -- --run (apps/web)</w:t>
            </w:r>
          </w:p>
        </w:tc>
        <w:tc>
          <w:tcPr>
            <w:tcW w:type="dxa" w:w="1234"/>
            <w:shd w:fill="FFFFFF" w:val="clear"/>
          </w:tcPr>
          <w:p>
            <w:pPr>
              <w:spacing w:after="0" w:before="0" w:line="240" w:lineRule="auto"/>
              <w:jc w:val="center"/>
            </w:pPr>
            <w:r/>
            <w:r>
              <w:rPr>
                <w:rFonts w:ascii="Times New Roman" w:hAnsi="Times New Roman" w:eastAsia="Times New Roman"/>
                <w:b w:val="0"/>
                <w:sz w:val="18"/>
              </w:rPr>
              <w:t>55</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dissertation/chapter4/logs/web-vitest.txt; 2.46 s; GitHub Actions web job success</w:t>
            </w:r>
          </w:p>
        </w:tc>
        <w:tc>
          <w:tcPr>
            <w:tcW w:type="dxa" w:w="1234"/>
            <w:shd w:fill="FFFFFF" w:val="clear"/>
          </w:tcPr>
          <w:p>
            <w:pPr>
              <w:spacing w:after="0" w:before="0" w:line="240" w:lineRule="auto"/>
              <w:jc w:val="center"/>
            </w:pPr>
            <w:r/>
            <w:r>
              <w:rPr>
                <w:rFonts w:ascii="Times New Roman" w:hAnsi="Times New Roman" w:eastAsia="Times New Roman"/>
                <w:b w:val="0"/>
                <w:sz w:val="18"/>
              </w:rPr>
              <w:t>Workspace tabs, chat message rendering and SSE hook behaviour passed in jsdom.</w:t>
            </w:r>
          </w:p>
        </w:tc>
      </w:tr>
      <w:tr>
        <w:tc>
          <w:tcPr>
            <w:tcW w:type="dxa" w:w="1234"/>
            <w:shd w:fill="E8EEF4" w:val="clear"/>
          </w:tcPr>
          <w:p>
            <w:pPr>
              <w:spacing w:after="0" w:before="0" w:line="240" w:lineRule="auto"/>
              <w:jc w:val="left"/>
            </w:pPr>
            <w:r/>
            <w:r>
              <w:rPr>
                <w:rFonts w:ascii="Times New Roman" w:hAnsi="Times New Roman" w:eastAsia="Times New Roman"/>
                <w:b w:val="0"/>
                <w:sz w:val="18"/>
              </w:rPr>
              <w:t>Web lint</w:t>
            </w:r>
          </w:p>
        </w:tc>
        <w:tc>
          <w:tcPr>
            <w:tcW w:type="dxa" w:w="1234"/>
            <w:shd w:fill="E8EEF4" w:val="clear"/>
          </w:tcPr>
          <w:p>
            <w:pPr>
              <w:spacing w:after="0" w:before="0" w:line="240" w:lineRule="auto"/>
              <w:jc w:val="center"/>
            </w:pPr>
            <w:r/>
            <w:r>
              <w:rPr>
                <w:rFonts w:ascii="Times New Roman" w:hAnsi="Times New Roman" w:eastAsia="Times New Roman"/>
                <w:b w:val="0"/>
                <w:sz w:val="18"/>
              </w:rPr>
              <w:t>npm run lint (apps/web)</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Interactive ESLint setup prompt; no eslint config in the app</w:t>
            </w:r>
          </w:p>
        </w:tc>
        <w:tc>
          <w:tcPr>
            <w:tcW w:type="dxa" w:w="1234"/>
            <w:shd w:fill="E8EEF4" w:val="clear"/>
          </w:tcPr>
          <w:p>
            <w:pPr>
              <w:spacing w:after="0" w:before="0" w:line="240" w:lineRule="auto"/>
              <w:jc w:val="center"/>
            </w:pPr>
            <w:r/>
            <w:r>
              <w:rPr>
                <w:rFonts w:ascii="Times New Roman" w:hAnsi="Times New Roman" w:eastAsia="Times New Roman"/>
                <w:b w:val="0"/>
                <w:sz w:val="18"/>
              </w:rPr>
              <w:t>Not evaluated. The command did not run a non-interactive lint.</w:t>
            </w:r>
          </w:p>
        </w:tc>
      </w:tr>
      <w:tr>
        <w:tc>
          <w:tcPr>
            <w:tcW w:type="dxa" w:w="1234"/>
            <w:shd w:fill="FFFFFF" w:val="clear"/>
          </w:tcPr>
          <w:p>
            <w:pPr>
              <w:spacing w:after="0" w:before="0" w:line="240" w:lineRule="auto"/>
              <w:jc w:val="left"/>
            </w:pPr>
            <w:r/>
            <w:r>
              <w:rPr>
                <w:rFonts w:ascii="Times New Roman" w:hAnsi="Times New Roman" w:eastAsia="Times New Roman"/>
                <w:b w:val="0"/>
                <w:sz w:val="18"/>
              </w:rPr>
              <w:t>Admin tests</w:t>
            </w:r>
          </w:p>
        </w:tc>
        <w:tc>
          <w:tcPr>
            <w:tcW w:type="dxa" w:w="1234"/>
            <w:shd w:fill="FFFFFF" w:val="clear"/>
          </w:tcPr>
          <w:p>
            <w:pPr>
              <w:spacing w:after="0" w:before="0" w:line="240" w:lineRule="auto"/>
              <w:jc w:val="center"/>
            </w:pPr>
            <w:r/>
            <w:r>
              <w:rPr>
                <w:rFonts w:ascii="Times New Roman" w:hAnsi="Times New Roman" w:eastAsia="Times New Roman"/>
                <w:b w:val="0"/>
                <w:sz w:val="18"/>
              </w:rPr>
              <w:t>npm test -- --run (apps/admin)</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Vitest: no test files found, exit 1</w:t>
            </w:r>
          </w:p>
        </w:tc>
        <w:tc>
          <w:tcPr>
            <w:tcW w:type="dxa" w:w="1234"/>
            <w:shd w:fill="FFFFFF" w:val="clear"/>
          </w:tcPr>
          <w:p>
            <w:pPr>
              <w:spacing w:after="0" w:before="0" w:line="240" w:lineRule="auto"/>
              <w:jc w:val="center"/>
            </w:pPr>
            <w:r/>
            <w:r>
              <w:rPr>
                <w:rFonts w:ascii="Times New Roman" w:hAnsi="Times New Roman" w:eastAsia="Times New Roman"/>
                <w:b w:val="0"/>
                <w:sz w:val="18"/>
              </w:rPr>
              <w:t>The admin application has no automated tests.</w:t>
            </w:r>
          </w:p>
        </w:tc>
      </w:tr>
      <w:tr>
        <w:tc>
          <w:tcPr>
            <w:tcW w:type="dxa" w:w="1234"/>
            <w:shd w:fill="E8EEF4" w:val="clear"/>
          </w:tcPr>
          <w:p>
            <w:pPr>
              <w:spacing w:after="0" w:before="0" w:line="240" w:lineRule="auto"/>
              <w:jc w:val="left"/>
            </w:pPr>
            <w:r/>
            <w:r>
              <w:rPr>
                <w:rFonts w:ascii="Times New Roman" w:hAnsi="Times New Roman" w:eastAsia="Times New Roman"/>
                <w:b w:val="0"/>
                <w:sz w:val="18"/>
              </w:rPr>
              <w:t>Database migration</w:t>
            </w:r>
          </w:p>
        </w:tc>
        <w:tc>
          <w:tcPr>
            <w:tcW w:type="dxa" w:w="1234"/>
            <w:shd w:fill="E8EEF4" w:val="clear"/>
          </w:tcPr>
          <w:p>
            <w:pPr>
              <w:spacing w:after="0" w:before="0" w:line="240" w:lineRule="auto"/>
              <w:jc w:val="center"/>
            </w:pPr>
            <w:r/>
            <w:r>
              <w:rPr>
                <w:rFonts w:ascii="Times New Roman" w:hAnsi="Times New Roman" w:eastAsia="Times New Roman"/>
                <w:b w:val="0"/>
                <w:sz w:val="18"/>
              </w:rPr>
              <w:t>alembic upgrade head; python scripts/check_database.py</w:t>
            </w:r>
          </w:p>
        </w:tc>
        <w:tc>
          <w:tcPr>
            <w:tcW w:type="dxa" w:w="1234"/>
            <w:shd w:fill="E8EEF4" w:val="clear"/>
          </w:tcPr>
          <w:p>
            <w:pPr>
              <w:spacing w:after="0" w:before="0" w:line="240" w:lineRule="auto"/>
              <w:jc w:val="center"/>
            </w:pPr>
            <w:r/>
            <w:r>
              <w:rPr>
                <w:rFonts w:ascii="Times New Roman" w:hAnsi="Times New Roman" w:eastAsia="Times New Roman"/>
                <w:b w:val="0"/>
                <w:sz w:val="18"/>
              </w:rPr>
              <w:t>1</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dissertation/chapter4/logs/alembic.txt and check_database.txt</w:t>
            </w:r>
          </w:p>
        </w:tc>
        <w:tc>
          <w:tcPr>
            <w:tcW w:type="dxa" w:w="1234"/>
            <w:shd w:fill="E8EEF4" w:val="clear"/>
          </w:tcPr>
          <w:p>
            <w:pPr>
              <w:spacing w:after="0" w:before="0" w:line="240" w:lineRule="auto"/>
              <w:jc w:val="center"/>
            </w:pPr>
            <w:r/>
            <w:r>
              <w:rPr>
                <w:rFonts w:ascii="Times New Roman" w:hAnsi="Times New Roman" w:eastAsia="Times New Roman"/>
                <w:b w:val="0"/>
                <w:sz w:val="18"/>
              </w:rPr>
              <w:t>Head 0001_initial; 41 tables; pgvector 0.6.0 created on PostgreSQL 16.</w:t>
            </w:r>
          </w:p>
        </w:tc>
      </w:tr>
      <w:tr>
        <w:tc>
          <w:tcPr>
            <w:tcW w:type="dxa" w:w="1234"/>
            <w:shd w:fill="FFFFFF" w:val="clear"/>
          </w:tcPr>
          <w:p>
            <w:pPr>
              <w:spacing w:after="0" w:before="0" w:line="240" w:lineRule="auto"/>
              <w:jc w:val="left"/>
            </w:pPr>
            <w:r/>
            <w:r>
              <w:rPr>
                <w:rFonts w:ascii="Times New Roman" w:hAnsi="Times New Roman" w:eastAsia="Times New Roman"/>
                <w:b w:val="0"/>
                <w:sz w:val="18"/>
              </w:rPr>
              <w:t>GitHub Actions (commit 7803baa)</w:t>
            </w:r>
          </w:p>
        </w:tc>
        <w:tc>
          <w:tcPr>
            <w:tcW w:type="dxa" w:w="1234"/>
            <w:shd w:fill="FFFFFF" w:val="clear"/>
          </w:tcPr>
          <w:p>
            <w:pPr>
              <w:spacing w:after="0" w:before="0" w:line="240" w:lineRule="auto"/>
              <w:jc w:val="center"/>
            </w:pPr>
            <w:r/>
            <w:r>
              <w:rPr>
                <w:rFonts w:ascii="Times New Roman" w:hAnsi="Times New Roman" w:eastAsia="Times New Roman"/>
                <w:b w:val="0"/>
                <w:sz w:val="18"/>
              </w:rPr>
              <w:t>CI workflow 33028242616</w:t>
            </w:r>
          </w:p>
        </w:tc>
        <w:tc>
          <w:tcPr>
            <w:tcW w:type="dxa" w:w="1234"/>
            <w:shd w:fill="FFFFFF" w:val="clear"/>
          </w:tcPr>
          <w:p>
            <w:pPr>
              <w:spacing w:after="0" w:before="0" w:line="240" w:lineRule="auto"/>
              <w:jc w:val="center"/>
            </w:pPr>
            <w:r/>
            <w:r>
              <w:rPr>
                <w:rFonts w:ascii="Times New Roman" w:hAnsi="Times New Roman" w:eastAsia="Times New Roman"/>
                <w:b w:val="0"/>
                <w:sz w:val="18"/>
              </w:rPr>
              <w:t>5 jobs</w:t>
            </w:r>
          </w:p>
        </w:tc>
        <w:tc>
          <w:tcPr>
            <w:tcW w:type="dxa" w:w="1234"/>
            <w:shd w:fill="FFFFFF" w:val="clear"/>
          </w:tcPr>
          <w:p>
            <w:pPr>
              <w:spacing w:after="0" w:before="0" w:line="240" w:lineRule="auto"/>
              <w:jc w:val="center"/>
            </w:pPr>
            <w:r/>
            <w:r>
              <w:rPr>
                <w:rFonts w:ascii="Times New Roman" w:hAnsi="Times New Roman" w:eastAsia="Times New Roman"/>
                <w:b w:val="0"/>
                <w:sz w:val="18"/>
              </w:rPr>
              <w:t>1 job</w:t>
            </w:r>
          </w:p>
        </w:tc>
        <w:tc>
          <w:tcPr>
            <w:tcW w:type="dxa" w:w="1234"/>
            <w:shd w:fill="FFFFFF" w:val="clear"/>
          </w:tcPr>
          <w:p>
            <w:pPr>
              <w:spacing w:after="0" w:before="0" w:line="240" w:lineRule="auto"/>
              <w:jc w:val="center"/>
            </w:pPr>
            <w:r/>
            <w:r>
              <w:rPr>
                <w:rFonts w:ascii="Times New Roman" w:hAnsi="Times New Roman" w:eastAsia="Times New Roman"/>
                <w:b w:val="0"/>
                <w:sz w:val="18"/>
              </w:rPr>
              <w:t>0</w:t>
            </w:r>
          </w:p>
        </w:tc>
        <w:tc>
          <w:tcPr>
            <w:tcW w:type="dxa" w:w="1234"/>
            <w:shd w:fill="FFFFFF" w:val="clear"/>
          </w:tcPr>
          <w:p>
            <w:pPr>
              <w:spacing w:after="0" w:before="0" w:line="240" w:lineRule="auto"/>
              <w:jc w:val="center"/>
            </w:pPr>
            <w:r/>
            <w:r>
              <w:rPr>
                <w:rFonts w:ascii="Times New Roman" w:hAnsi="Times New Roman" w:eastAsia="Times New Roman"/>
                <w:b w:val="0"/>
                <w:sz w:val="18"/>
              </w:rPr>
              <w:t>gh run view 33028242616</w:t>
            </w:r>
          </w:p>
        </w:tc>
        <w:tc>
          <w:tcPr>
            <w:tcW w:type="dxa" w:w="1234"/>
            <w:shd w:fill="FFFFFF" w:val="clear"/>
          </w:tcPr>
          <w:p>
            <w:pPr>
              <w:spacing w:after="0" w:before="0" w:line="240" w:lineRule="auto"/>
              <w:jc w:val="center"/>
            </w:pPr>
            <w:r/>
            <w:r>
              <w:rPr>
                <w:rFonts w:ascii="Times New Roman" w:hAnsi="Times New Roman" w:eastAsia="Times New Roman"/>
                <w:b w:val="0"/>
                <w:sz w:val="18"/>
              </w:rPr>
              <w:t>Tests 3.11, tests 3.12, web, migrations and Docker image build succeeded. Lint failed with the same three Ruff findings. The workflow is not completely green.</w:t>
            </w:r>
          </w:p>
        </w:tc>
      </w:tr>
      <w:tr>
        <w:tc>
          <w:tcPr>
            <w:tcW w:type="dxa" w:w="1234"/>
            <w:shd w:fill="E8EEF4" w:val="clear"/>
          </w:tcPr>
          <w:p>
            <w:pPr>
              <w:spacing w:after="0" w:before="0" w:line="240" w:lineRule="auto"/>
              <w:jc w:val="left"/>
            </w:pPr>
            <w:r/>
            <w:r>
              <w:rPr>
                <w:rFonts w:ascii="Times New Roman" w:hAnsi="Times New Roman" w:eastAsia="Times New Roman"/>
                <w:b w:val="0"/>
                <w:sz w:val="18"/>
              </w:rPr>
              <w:t>Container configuration</w:t>
            </w:r>
          </w:p>
        </w:tc>
        <w:tc>
          <w:tcPr>
            <w:tcW w:type="dxa" w:w="1234"/>
            <w:shd w:fill="E8EEF4" w:val="clear"/>
          </w:tcPr>
          <w:p>
            <w:pPr>
              <w:spacing w:after="0" w:before="0" w:line="240" w:lineRule="auto"/>
              <w:jc w:val="center"/>
            </w:pPr>
            <w:r/>
            <w:r>
              <w:rPr>
                <w:rFonts w:ascii="Times New Roman" w:hAnsi="Times New Roman" w:eastAsia="Times New Roman"/>
                <w:b w:val="0"/>
                <w:sz w:val="18"/>
              </w:rPr>
              <w:t>CI Docker images build; local dockerd</w:t>
            </w:r>
          </w:p>
        </w:tc>
        <w:tc>
          <w:tcPr>
            <w:tcW w:type="dxa" w:w="1234"/>
            <w:shd w:fill="E8EEF4" w:val="clear"/>
          </w:tcPr>
          <w:p>
            <w:pPr>
              <w:spacing w:after="0" w:before="0" w:line="240" w:lineRule="auto"/>
              <w:jc w:val="center"/>
            </w:pPr>
            <w:r/>
            <w:r>
              <w:rPr>
                <w:rFonts w:ascii="Times New Roman" w:hAnsi="Times New Roman" w:eastAsia="Times New Roman"/>
                <w:b w:val="0"/>
                <w:sz w:val="18"/>
              </w:rPr>
              <w:t>1 (CI)</w:t>
            </w:r>
          </w:p>
        </w:tc>
        <w:tc>
          <w:tcPr>
            <w:tcW w:type="dxa" w:w="1234"/>
            <w:shd w:fill="E8EEF4" w:val="clear"/>
          </w:tcPr>
          <w:p>
            <w:pPr>
              <w:spacing w:after="0" w:before="0" w:line="240" w:lineRule="auto"/>
              <w:jc w:val="center"/>
            </w:pPr>
            <w:r/>
            <w:r>
              <w:rPr>
                <w:rFonts w:ascii="Times New Roman" w:hAnsi="Times New Roman" w:eastAsia="Times New Roman"/>
                <w:b w:val="0"/>
                <w:sz w:val="18"/>
              </w:rPr>
              <w:t>1 (local daemon)</w:t>
            </w:r>
          </w:p>
        </w:tc>
        <w:tc>
          <w:tcPr>
            <w:tcW w:type="dxa" w:w="1234"/>
            <w:shd w:fill="E8EEF4" w:val="clear"/>
          </w:tcPr>
          <w:p>
            <w:pPr>
              <w:spacing w:after="0" w:before="0" w:line="240" w:lineRule="auto"/>
              <w:jc w:val="center"/>
            </w:pPr>
            <w:r/>
            <w:r>
              <w:rPr>
                <w:rFonts w:ascii="Times New Roman" w:hAnsi="Times New Roman" w:eastAsia="Times New Roman"/>
                <w:b w:val="0"/>
                <w:sz w:val="18"/>
              </w:rPr>
              <w:t>0</w:t>
            </w:r>
          </w:p>
        </w:tc>
        <w:tc>
          <w:tcPr>
            <w:tcW w:type="dxa" w:w="1234"/>
            <w:shd w:fill="E8EEF4" w:val="clear"/>
          </w:tcPr>
          <w:p>
            <w:pPr>
              <w:spacing w:after="0" w:before="0" w:line="240" w:lineRule="auto"/>
              <w:jc w:val="center"/>
            </w:pPr>
            <w:r/>
            <w:r>
              <w:rPr>
                <w:rFonts w:ascii="Times New Roman" w:hAnsi="Times New Roman" w:eastAsia="Times New Roman"/>
                <w:b w:val="0"/>
                <w:sz w:val="18"/>
              </w:rPr>
              <w:t>CI job success; local overlay2 error</w:t>
            </w:r>
          </w:p>
        </w:tc>
        <w:tc>
          <w:tcPr>
            <w:tcW w:type="dxa" w:w="1234"/>
            <w:shd w:fill="E8EEF4" w:val="clear"/>
          </w:tcPr>
          <w:p>
            <w:pPr>
              <w:spacing w:after="0" w:before="0" w:line="240" w:lineRule="auto"/>
              <w:jc w:val="center"/>
            </w:pPr>
            <w:r/>
            <w:r>
              <w:rPr>
                <w:rFonts w:ascii="Times New Roman" w:hAnsi="Times New Roman" w:eastAsia="Times New Roman"/>
                <w:b w:val="0"/>
                <w:sz w:val="18"/>
              </w:rPr>
              <w:t>The application image imported in CI. Local Compose was not started.</w:t>
            </w:r>
          </w:p>
        </w:tc>
      </w:tr>
    </w:tbl>
    <w:p>
      <w:pPr>
        <w:keepNext w:val="0"/>
        <w:keepLines w:val="0"/>
        <w:widowControl/>
        <w:spacing w:after="120" w:before="0" w:line="240" w:lineRule="auto"/>
        <w:jc w:val="both"/>
      </w:pPr>
    </w:p>
    <w:p>
      <w:pPr>
        <w:keepNext w:val="0"/>
        <w:keepLines w:val="0"/>
        <w:widowControl/>
        <w:spacing w:after="120" w:before="0" w:line="360" w:lineRule="auto"/>
        <w:jc w:val="both"/>
      </w:pPr>
      <w:r>
        <w:rPr>
          <w:rFonts w:ascii="Times New Roman" w:hAnsi="Times New Roman" w:eastAsia="Times New Roman"/>
          <w:b w:val="0"/>
          <w:sz w:val="24"/>
        </w:rPr>
        <w:t>Coverage for the collected Python tree was 56 per cent (7,796 statements, 3,415 missed). Coverage was high for optimiser backends, benchmark metrics, ToyPack and the judge scorer, and near zero for FastAPI routers, Temporal workflows, the worker, evidence HTTP routers and core/contract.py. Those uncovered modules include run sealing, report download and organisation-scoped run listing. The skipped integration module is the only automated test of live API CRUD. GitHub Actions confirmed the same non-integration suite on Python 3.11 and 3.12 and confirmed alembic upgrade head against pgvector/pgvector:pg15. That is not a completely green workflow because lint failed.</w:t>
      </w:r>
    </w:p>
    <w:p>
      <w:pPr>
        <w:keepNext w:val="0"/>
        <w:keepLines w:val="0"/>
        <w:widowControl/>
        <w:spacing w:after="120" w:before="0" w:line="360" w:lineRule="auto"/>
        <w:jc w:val="both"/>
      </w:pPr>
      <w:r>
        <w:rPr>
          <w:rFonts w:ascii="Times New Roman" w:hAnsi="Times New Roman" w:eastAsia="Times New Roman"/>
          <w:b w:val="0"/>
          <w:sz w:val="24"/>
        </w:rPr>
        <w:t>The web application rendered against the seeded API. Figure 4.6 shows the ToyPack overview after an in-process run was persisted. The screenshot demonstrates that the workspace tabs, counters and best-score card can display values supplied in run_spec. It does not demonstrate that Temporal produced those values. The Evidence tab showed an empty state. The Heatmaps tab showed no spatial data, because heatmap layers are not filled from the run snapshot in the code that was inspected. The admin application rendered benchmarks, rubrics, packs, an audit log and a simulate preview from hard-coded mock arrays in apps/admin/src/app/page.tsx; those screens were photographed, but they are not evidence of the live API.</w:t>
      </w:r>
    </w:p>
    <w:p>
      <w:pPr>
        <w:keepNext/>
        <w:keepLines w:val="0"/>
        <w:widowControl/>
        <w:spacing w:after="0" w:before="0" w:line="240" w:lineRule="auto"/>
        <w:jc w:val="center"/>
      </w:pPr>
      <w:r>
        <w:drawing>
          <wp:inline xmlns:a="http://schemas.openxmlformats.org/drawingml/2006/main" xmlns:pic="http://schemas.openxmlformats.org/drawingml/2006/picture">
            <wp:extent cx="5669280" cy="3543300"/>
            <wp:docPr id="1" name="Picture 1" descr="GSIP web overview showing pipeline stages, 12 simulated scenarios and a best score of 0.862."/>
            <wp:cNvGraphicFramePr>
              <a:graphicFrameLocks noChangeAspect="1"/>
            </wp:cNvGraphicFramePr>
            <a:graphic>
              <a:graphicData uri="http://schemas.openxmlformats.org/drawingml/2006/picture">
                <pic:pic>
                  <pic:nvPicPr>
                    <pic:cNvPr id="0" name="06_web_toypack_overview.png"/>
                    <pic:cNvPicPr/>
                  </pic:nvPicPr>
                  <pic:blipFill>
                    <a:blip r:embed="rId10"/>
                    <a:stretch>
                      <a:fillRect/>
                    </a:stretch>
                  </pic:blipFill>
                  <pic:spPr>
                    <a:xfrm>
                      <a:off x="0" y="0"/>
                      <a:ext cx="5669280" cy="354330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4.6. Web workspace Overview tab for an in-process ToyPack run persisted without Temporal.</w:t>
      </w:r>
    </w:p>
    <w:p>
      <w:pPr>
        <w:pStyle w:val="Heading2"/>
      </w:pPr>
      <w:r>
        <w:t>4.3 Optimisation benchmark results</w:t>
      </w:r>
    </w:p>
    <w:p>
      <w:pPr>
        <w:keepNext w:val="0"/>
        <w:keepLines w:val="0"/>
        <w:widowControl/>
        <w:spacing w:after="120" w:before="0" w:line="360" w:lineRule="auto"/>
        <w:jc w:val="both"/>
      </w:pPr>
      <w:r>
        <w:rPr>
          <w:rFonts w:ascii="Times New Roman" w:hAnsi="Times New Roman" w:eastAsia="Times New Roman"/>
          <w:b w:val="0"/>
          <w:sz w:val="24"/>
        </w:rPr>
        <w:t>The valid dataset is one hundred and twenty completed runs: three problems, four methods, ten seeds, budget 200, batch size 20. No run was excluded. Status was completed and n_evaluations was 200 in every row of dissertation/chapter4/evidence/benchmark_runs.csv. There were no failed objective evaluations. Random search is an external harness, not a registered GSIP backend. Table 4.1 states the configuration. Table 4.3 reports median and interquartile range for hypervolume and IGD, median front size, median wall time in seconds, and the number of runs whose hypervolume was exactly zero. Mean, standard deviation, minimum and maximum are in benchmark_stats.json.</w:t>
      </w:r>
    </w:p>
    <w:p>
      <w:pPr>
        <w:keepNext w:val="0"/>
        <w:keepLines w:val="0"/>
        <w:widowControl/>
        <w:spacing w:after="60" w:before="0" w:line="276" w:lineRule="auto"/>
        <w:jc w:val="center"/>
      </w:pPr>
      <w:r>
        <w:rPr>
          <w:rFonts w:ascii="Times New Roman" w:hAnsi="Times New Roman" w:eastAsia="Times New Roman"/>
          <w:b/>
          <w:sz w:val="20"/>
        </w:rPr>
        <w:t>Table 4.3. Equal-budget results. Hypervolume IQR is the interval from the first to the third quartile. HV = 0 counts runs whose archive lay outside the reference box.</w:t>
      </w:r>
    </w:p>
    <w:tbl>
      <w:tblPr>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shd w:fill="1F4E79" w:val="clear"/>
          </w:tcPr>
          <w:p>
            <w:pPr>
              <w:spacing w:after="0" w:before="0" w:line="240" w:lineRule="auto"/>
              <w:jc w:val="center"/>
            </w:pPr>
            <w:r/>
            <w:r>
              <w:rPr>
                <w:rFonts w:ascii="Times New Roman" w:hAnsi="Times New Roman" w:eastAsia="Times New Roman"/>
                <w:b/>
                <w:color w:val="FFFFFF"/>
                <w:sz w:val="18"/>
              </w:rPr>
              <w:t>Problem</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Backend</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Valid runs</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Hypervolume median and IQR</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IGD median and IQR</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Front size</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Wall time (s)</w:t>
            </w:r>
          </w:p>
        </w:tc>
        <w:tc>
          <w:tcPr>
            <w:tcW w:type="dxa" w:w="1080"/>
            <w:shd w:fill="1F4E79" w:val="clear"/>
          </w:tcPr>
          <w:p>
            <w:pPr>
              <w:spacing w:after="0" w:before="0" w:line="240" w:lineRule="auto"/>
              <w:jc w:val="center"/>
            </w:pPr>
            <w:r/>
            <w:r>
              <w:rPr>
                <w:rFonts w:ascii="Times New Roman" w:hAnsi="Times New Roman" w:eastAsia="Times New Roman"/>
                <w:b/>
                <w:color w:val="FFFFFF"/>
                <w:sz w:val="18"/>
              </w:rPr>
              <w:t>HV = 0</w:t>
            </w:r>
          </w:p>
        </w:tc>
      </w:tr>
      <w:tr>
        <w:tc>
          <w:tcPr>
            <w:tcW w:type="dxa" w:w="1080"/>
            <w:shd w:fill="E8EEF4" w:val="clear"/>
          </w:tcPr>
          <w:p>
            <w:pPr>
              <w:spacing w:after="0" w:before="0" w:line="240" w:lineRule="auto"/>
              <w:jc w:val="left"/>
            </w:pPr>
            <w:r/>
            <w:r>
              <w:rPr>
                <w:rFonts w:ascii="Times New Roman" w:hAnsi="Times New Roman" w:eastAsia="Times New Roman"/>
                <w:b w:val="0"/>
                <w:sz w:val="18"/>
              </w:rPr>
              <w:t>ZDT1</w:t>
            </w:r>
          </w:p>
        </w:tc>
        <w:tc>
          <w:tcPr>
            <w:tcW w:type="dxa" w:w="1080"/>
            <w:shd w:fill="E8EEF4" w:val="clear"/>
          </w:tcPr>
          <w:p>
            <w:pPr>
              <w:spacing w:after="0" w:before="0" w:line="240" w:lineRule="auto"/>
              <w:jc w:val="center"/>
            </w:pPr>
            <w:r/>
            <w:r>
              <w:rPr>
                <w:rFonts w:ascii="Times New Roman" w:hAnsi="Times New Roman" w:eastAsia="Times New Roman"/>
                <w:b w:val="0"/>
                <w:sz w:val="18"/>
              </w:rPr>
              <w:t>evolutionary</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0.075 (0.000 to 0.121)</w:t>
            </w:r>
          </w:p>
        </w:tc>
        <w:tc>
          <w:tcPr>
            <w:tcW w:type="dxa" w:w="1080"/>
            <w:shd w:fill="E8EEF4" w:val="clear"/>
          </w:tcPr>
          <w:p>
            <w:pPr>
              <w:spacing w:after="0" w:before="0" w:line="240" w:lineRule="auto"/>
              <w:jc w:val="center"/>
            </w:pPr>
            <w:r/>
            <w:r>
              <w:rPr>
                <w:rFonts w:ascii="Times New Roman" w:hAnsi="Times New Roman" w:eastAsia="Times New Roman"/>
                <w:b w:val="0"/>
                <w:sz w:val="18"/>
              </w:rPr>
              <w:t>0.712 (0.635 to 1.012)</w:t>
            </w:r>
          </w:p>
        </w:tc>
        <w:tc>
          <w:tcPr>
            <w:tcW w:type="dxa" w:w="1080"/>
            <w:shd w:fill="E8EEF4" w:val="clear"/>
          </w:tcPr>
          <w:p>
            <w:pPr>
              <w:spacing w:after="0" w:before="0" w:line="240" w:lineRule="auto"/>
              <w:jc w:val="center"/>
            </w:pPr>
            <w:r/>
            <w:r>
              <w:rPr>
                <w:rFonts w:ascii="Times New Roman" w:hAnsi="Times New Roman" w:eastAsia="Times New Roman"/>
                <w:b w:val="0"/>
                <w:sz w:val="18"/>
              </w:rPr>
              <w:t>7</w:t>
            </w:r>
          </w:p>
        </w:tc>
        <w:tc>
          <w:tcPr>
            <w:tcW w:type="dxa" w:w="1080"/>
            <w:shd w:fill="E8EEF4" w:val="clear"/>
          </w:tcPr>
          <w:p>
            <w:pPr>
              <w:spacing w:after="0" w:before="0" w:line="240" w:lineRule="auto"/>
              <w:jc w:val="center"/>
            </w:pPr>
            <w:r/>
            <w:r>
              <w:rPr>
                <w:rFonts w:ascii="Times New Roman" w:hAnsi="Times New Roman" w:eastAsia="Times New Roman"/>
                <w:b w:val="0"/>
                <w:sz w:val="18"/>
              </w:rPr>
              <w:t>0.5</w:t>
            </w:r>
          </w:p>
        </w:tc>
        <w:tc>
          <w:tcPr>
            <w:tcW w:type="dxa" w:w="1080"/>
            <w:shd w:fill="E8EEF4" w:val="clear"/>
          </w:tcPr>
          <w:p>
            <w:pPr>
              <w:spacing w:after="0" w:before="0" w:line="240" w:lineRule="auto"/>
              <w:jc w:val="center"/>
            </w:pPr>
            <w:r/>
            <w:r>
              <w:rPr>
                <w:rFonts w:ascii="Times New Roman" w:hAnsi="Times New Roman" w:eastAsia="Times New Roman"/>
                <w:b w:val="0"/>
                <w:sz w:val="18"/>
              </w:rPr>
              <w:t>4</w:t>
            </w:r>
          </w:p>
        </w:tc>
      </w:tr>
      <w:tr>
        <w:tc>
          <w:tcPr>
            <w:tcW w:type="dxa" w:w="1080"/>
            <w:shd w:fill="FFFFFF" w:val="clear"/>
          </w:tcPr>
          <w:p>
            <w:pPr>
              <w:spacing w:after="0" w:before="0" w:line="240" w:lineRule="auto"/>
              <w:jc w:val="left"/>
            </w:pPr>
            <w:r/>
            <w:r>
              <w:rPr>
                <w:rFonts w:ascii="Times New Roman" w:hAnsi="Times New Roman" w:eastAsia="Times New Roman"/>
                <w:b w:val="0"/>
                <w:sz w:val="18"/>
              </w:rPr>
              <w:t>ZDT1</w:t>
            </w:r>
          </w:p>
        </w:tc>
        <w:tc>
          <w:tcPr>
            <w:tcW w:type="dxa" w:w="1080"/>
            <w:shd w:fill="FFFFFF" w:val="clear"/>
          </w:tcPr>
          <w:p>
            <w:pPr>
              <w:spacing w:after="0" w:before="0" w:line="240" w:lineRule="auto"/>
              <w:jc w:val="center"/>
            </w:pPr>
            <w:r/>
            <w:r>
              <w:rPr>
                <w:rFonts w:ascii="Times New Roman" w:hAnsi="Times New Roman" w:eastAsia="Times New Roman"/>
                <w:b w:val="0"/>
                <w:sz w:val="18"/>
              </w:rPr>
              <w:t>Bayesian</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c>
          <w:tcPr>
            <w:tcW w:type="dxa" w:w="1080"/>
            <w:shd w:fill="FFFFFF" w:val="clear"/>
          </w:tcPr>
          <w:p>
            <w:pPr>
              <w:spacing w:after="0" w:before="0" w:line="240" w:lineRule="auto"/>
              <w:jc w:val="center"/>
            </w:pPr>
            <w:r/>
            <w:r>
              <w:rPr>
                <w:rFonts w:ascii="Times New Roman" w:hAnsi="Times New Roman" w:eastAsia="Times New Roman"/>
                <w:b w:val="0"/>
                <w:sz w:val="18"/>
              </w:rPr>
              <w:t>0.246 (0.143 to 0.450)</w:t>
            </w:r>
          </w:p>
        </w:tc>
        <w:tc>
          <w:tcPr>
            <w:tcW w:type="dxa" w:w="1080"/>
            <w:shd w:fill="FFFFFF" w:val="clear"/>
          </w:tcPr>
          <w:p>
            <w:pPr>
              <w:spacing w:after="0" w:before="0" w:line="240" w:lineRule="auto"/>
              <w:jc w:val="center"/>
            </w:pPr>
            <w:r/>
            <w:r>
              <w:rPr>
                <w:rFonts w:ascii="Times New Roman" w:hAnsi="Times New Roman" w:eastAsia="Times New Roman"/>
                <w:b w:val="0"/>
                <w:sz w:val="18"/>
              </w:rPr>
              <w:t>0.407 (0.292 to 0.561)</w:t>
            </w:r>
          </w:p>
        </w:tc>
        <w:tc>
          <w:tcPr>
            <w:tcW w:type="dxa" w:w="1080"/>
            <w:shd w:fill="FFFFFF" w:val="clear"/>
          </w:tcPr>
          <w:p>
            <w:pPr>
              <w:spacing w:after="0" w:before="0" w:line="240" w:lineRule="auto"/>
              <w:jc w:val="center"/>
            </w:pPr>
            <w:r/>
            <w:r>
              <w:rPr>
                <w:rFonts w:ascii="Times New Roman" w:hAnsi="Times New Roman" w:eastAsia="Times New Roman"/>
                <w:b w:val="0"/>
                <w:sz w:val="18"/>
              </w:rPr>
              <w:t>5</w:t>
            </w:r>
          </w:p>
        </w:tc>
        <w:tc>
          <w:tcPr>
            <w:tcW w:type="dxa" w:w="1080"/>
            <w:shd w:fill="FFFFFF" w:val="clear"/>
          </w:tcPr>
          <w:p>
            <w:pPr>
              <w:spacing w:after="0" w:before="0" w:line="240" w:lineRule="auto"/>
              <w:jc w:val="center"/>
            </w:pPr>
            <w:r/>
            <w:r>
              <w:rPr>
                <w:rFonts w:ascii="Times New Roman" w:hAnsi="Times New Roman" w:eastAsia="Times New Roman"/>
                <w:b w:val="0"/>
                <w:sz w:val="18"/>
              </w:rPr>
              <w:t>28.5</w:t>
            </w:r>
          </w:p>
        </w:tc>
        <w:tc>
          <w:tcPr>
            <w:tcW w:type="dxa" w:w="1080"/>
            <w:shd w:fill="FFFFFF" w:val="clear"/>
          </w:tcPr>
          <w:p>
            <w:pPr>
              <w:spacing w:after="0" w:before="0" w:line="240" w:lineRule="auto"/>
              <w:jc w:val="center"/>
            </w:pPr>
            <w:r/>
            <w:r>
              <w:rPr>
                <w:rFonts w:ascii="Times New Roman" w:hAnsi="Times New Roman" w:eastAsia="Times New Roman"/>
                <w:b w:val="0"/>
                <w:sz w:val="18"/>
              </w:rPr>
              <w:t>0</w:t>
            </w:r>
          </w:p>
        </w:tc>
      </w:tr>
      <w:tr>
        <w:tc>
          <w:tcPr>
            <w:tcW w:type="dxa" w:w="1080"/>
            <w:shd w:fill="E8EEF4" w:val="clear"/>
          </w:tcPr>
          <w:p>
            <w:pPr>
              <w:spacing w:after="0" w:before="0" w:line="240" w:lineRule="auto"/>
              <w:jc w:val="left"/>
            </w:pPr>
            <w:r/>
            <w:r>
              <w:rPr>
                <w:rFonts w:ascii="Times New Roman" w:hAnsi="Times New Roman" w:eastAsia="Times New Roman"/>
                <w:b w:val="0"/>
                <w:sz w:val="18"/>
              </w:rPr>
              <w:t>ZDT1</w:t>
            </w:r>
          </w:p>
        </w:tc>
        <w:tc>
          <w:tcPr>
            <w:tcW w:type="dxa" w:w="1080"/>
            <w:shd w:fill="E8EEF4" w:val="clear"/>
          </w:tcPr>
          <w:p>
            <w:pPr>
              <w:spacing w:after="0" w:before="0" w:line="240" w:lineRule="auto"/>
              <w:jc w:val="center"/>
            </w:pPr>
            <w:r/>
            <w:r>
              <w:rPr>
                <w:rFonts w:ascii="Times New Roman" w:hAnsi="Times New Roman" w:eastAsia="Times New Roman"/>
                <w:b w:val="0"/>
                <w:sz w:val="18"/>
              </w:rPr>
              <w:t>hybrid</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0.000 (0.000 to 0.126)</w:t>
            </w:r>
          </w:p>
        </w:tc>
        <w:tc>
          <w:tcPr>
            <w:tcW w:type="dxa" w:w="1080"/>
            <w:shd w:fill="E8EEF4" w:val="clear"/>
          </w:tcPr>
          <w:p>
            <w:pPr>
              <w:spacing w:after="0" w:before="0" w:line="240" w:lineRule="auto"/>
              <w:jc w:val="center"/>
            </w:pPr>
            <w:r/>
            <w:r>
              <w:rPr>
                <w:rFonts w:ascii="Times New Roman" w:hAnsi="Times New Roman" w:eastAsia="Times New Roman"/>
                <w:b w:val="0"/>
                <w:sz w:val="18"/>
              </w:rPr>
              <w:t>0.985 (0.598 to 1.501)</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30.6</w:t>
            </w:r>
          </w:p>
        </w:tc>
        <w:tc>
          <w:tcPr>
            <w:tcW w:type="dxa" w:w="1080"/>
            <w:shd w:fill="E8EEF4" w:val="clear"/>
          </w:tcPr>
          <w:p>
            <w:pPr>
              <w:spacing w:after="0" w:before="0" w:line="240" w:lineRule="auto"/>
              <w:jc w:val="center"/>
            </w:pPr>
            <w:r/>
            <w:r>
              <w:rPr>
                <w:rFonts w:ascii="Times New Roman" w:hAnsi="Times New Roman" w:eastAsia="Times New Roman"/>
                <w:b w:val="0"/>
                <w:sz w:val="18"/>
              </w:rPr>
              <w:t>6</w:t>
            </w:r>
          </w:p>
        </w:tc>
      </w:tr>
      <w:tr>
        <w:tc>
          <w:tcPr>
            <w:tcW w:type="dxa" w:w="1080"/>
            <w:shd w:fill="FFFFFF" w:val="clear"/>
          </w:tcPr>
          <w:p>
            <w:pPr>
              <w:spacing w:after="0" w:before="0" w:line="240" w:lineRule="auto"/>
              <w:jc w:val="left"/>
            </w:pPr>
            <w:r/>
            <w:r>
              <w:rPr>
                <w:rFonts w:ascii="Times New Roman" w:hAnsi="Times New Roman" w:eastAsia="Times New Roman"/>
                <w:b w:val="0"/>
                <w:sz w:val="18"/>
              </w:rPr>
              <w:t>ZDT1</w:t>
            </w:r>
          </w:p>
        </w:tc>
        <w:tc>
          <w:tcPr>
            <w:tcW w:type="dxa" w:w="1080"/>
            <w:shd w:fill="FFFFFF" w:val="clear"/>
          </w:tcPr>
          <w:p>
            <w:pPr>
              <w:spacing w:after="0" w:before="0" w:line="240" w:lineRule="auto"/>
              <w:jc w:val="center"/>
            </w:pPr>
            <w:r/>
            <w:r>
              <w:rPr>
                <w:rFonts w:ascii="Times New Roman" w:hAnsi="Times New Roman" w:eastAsia="Times New Roman"/>
                <w:b w:val="0"/>
                <w:sz w:val="18"/>
              </w:rPr>
              <w:t>random</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c>
          <w:tcPr>
            <w:tcW w:type="dxa" w:w="1080"/>
            <w:shd w:fill="FFFFFF" w:val="clear"/>
          </w:tcPr>
          <w:p>
            <w:pPr>
              <w:spacing w:after="0" w:before="0" w:line="240" w:lineRule="auto"/>
              <w:jc w:val="center"/>
            </w:pPr>
            <w:r/>
            <w:r>
              <w:rPr>
                <w:rFonts w:ascii="Times New Roman" w:hAnsi="Times New Roman" w:eastAsia="Times New Roman"/>
                <w:b w:val="0"/>
                <w:sz w:val="18"/>
              </w:rPr>
              <w:t>0.000 (0.000 to 0.033)</w:t>
            </w:r>
          </w:p>
        </w:tc>
        <w:tc>
          <w:tcPr>
            <w:tcW w:type="dxa" w:w="1080"/>
            <w:shd w:fill="FFFFFF" w:val="clear"/>
          </w:tcPr>
          <w:p>
            <w:pPr>
              <w:spacing w:after="0" w:before="0" w:line="240" w:lineRule="auto"/>
              <w:jc w:val="center"/>
            </w:pPr>
            <w:r/>
            <w:r>
              <w:rPr>
                <w:rFonts w:ascii="Times New Roman" w:hAnsi="Times New Roman" w:eastAsia="Times New Roman"/>
                <w:b w:val="0"/>
                <w:sz w:val="18"/>
              </w:rPr>
              <w:t>0.858 (0.793 to 1.055)</w:t>
            </w:r>
          </w:p>
        </w:tc>
        <w:tc>
          <w:tcPr>
            <w:tcW w:type="dxa" w:w="1080"/>
            <w:shd w:fill="FFFFFF" w:val="clear"/>
          </w:tcPr>
          <w:p>
            <w:pPr>
              <w:spacing w:after="0" w:before="0" w:line="240" w:lineRule="auto"/>
              <w:jc w:val="center"/>
            </w:pPr>
            <w:r/>
            <w:r>
              <w:rPr>
                <w:rFonts w:ascii="Times New Roman" w:hAnsi="Times New Roman" w:eastAsia="Times New Roman"/>
                <w:b w:val="0"/>
                <w:sz w:val="18"/>
              </w:rPr>
              <w:t>8</w:t>
            </w:r>
          </w:p>
        </w:tc>
        <w:tc>
          <w:tcPr>
            <w:tcW w:type="dxa" w:w="1080"/>
            <w:shd w:fill="FFFFFF" w:val="clear"/>
          </w:tcPr>
          <w:p>
            <w:pPr>
              <w:spacing w:after="0" w:before="0" w:line="240" w:lineRule="auto"/>
              <w:jc w:val="center"/>
            </w:pPr>
            <w:r/>
            <w:r>
              <w:rPr>
                <w:rFonts w:ascii="Times New Roman" w:hAnsi="Times New Roman" w:eastAsia="Times New Roman"/>
                <w:b w:val="0"/>
                <w:sz w:val="18"/>
              </w:rPr>
              <w:t>0.0</w:t>
            </w:r>
          </w:p>
        </w:tc>
        <w:tc>
          <w:tcPr>
            <w:tcW w:type="dxa" w:w="1080"/>
            <w:shd w:fill="FFFFFF" w:val="clear"/>
          </w:tcPr>
          <w:p>
            <w:pPr>
              <w:spacing w:after="0" w:before="0" w:line="240" w:lineRule="auto"/>
              <w:jc w:val="center"/>
            </w:pPr>
            <w:r/>
            <w:r>
              <w:rPr>
                <w:rFonts w:ascii="Times New Roman" w:hAnsi="Times New Roman" w:eastAsia="Times New Roman"/>
                <w:b w:val="0"/>
                <w:sz w:val="18"/>
              </w:rPr>
              <w:t>6</w:t>
            </w:r>
          </w:p>
        </w:tc>
      </w:tr>
      <w:tr>
        <w:tc>
          <w:tcPr>
            <w:tcW w:type="dxa" w:w="1080"/>
            <w:shd w:fill="E8EEF4" w:val="clear"/>
          </w:tcPr>
          <w:p>
            <w:pPr>
              <w:spacing w:after="0" w:before="0" w:line="240" w:lineRule="auto"/>
              <w:jc w:val="left"/>
            </w:pPr>
            <w:r/>
            <w:r>
              <w:rPr>
                <w:rFonts w:ascii="Times New Roman" w:hAnsi="Times New Roman" w:eastAsia="Times New Roman"/>
                <w:b w:val="0"/>
                <w:sz w:val="18"/>
              </w:rPr>
              <w:t>ZDT2</w:t>
            </w:r>
          </w:p>
        </w:tc>
        <w:tc>
          <w:tcPr>
            <w:tcW w:type="dxa" w:w="1080"/>
            <w:shd w:fill="E8EEF4" w:val="clear"/>
          </w:tcPr>
          <w:p>
            <w:pPr>
              <w:spacing w:after="0" w:before="0" w:line="240" w:lineRule="auto"/>
              <w:jc w:val="center"/>
            </w:pPr>
            <w:r/>
            <w:r>
              <w:rPr>
                <w:rFonts w:ascii="Times New Roman" w:hAnsi="Times New Roman" w:eastAsia="Times New Roman"/>
                <w:b w:val="0"/>
                <w:sz w:val="18"/>
              </w:rPr>
              <w:t>evolutionary</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0.000 (0.000 to 0.000)</w:t>
            </w:r>
          </w:p>
        </w:tc>
        <w:tc>
          <w:tcPr>
            <w:tcW w:type="dxa" w:w="1080"/>
            <w:shd w:fill="E8EEF4" w:val="clear"/>
          </w:tcPr>
          <w:p>
            <w:pPr>
              <w:spacing w:after="0" w:before="0" w:line="240" w:lineRule="auto"/>
              <w:jc w:val="center"/>
            </w:pPr>
            <w:r/>
            <w:r>
              <w:rPr>
                <w:rFonts w:ascii="Times New Roman" w:hAnsi="Times New Roman" w:eastAsia="Times New Roman"/>
                <w:b w:val="0"/>
                <w:sz w:val="18"/>
              </w:rPr>
              <w:t>1.302 (1.113 to 1.575)</w:t>
            </w:r>
          </w:p>
        </w:tc>
        <w:tc>
          <w:tcPr>
            <w:tcW w:type="dxa" w:w="1080"/>
            <w:shd w:fill="E8EEF4" w:val="clear"/>
          </w:tcPr>
          <w:p>
            <w:pPr>
              <w:spacing w:after="0" w:before="0" w:line="240" w:lineRule="auto"/>
              <w:jc w:val="center"/>
            </w:pPr>
            <w:r/>
            <w:r>
              <w:rPr>
                <w:rFonts w:ascii="Times New Roman" w:hAnsi="Times New Roman" w:eastAsia="Times New Roman"/>
                <w:b w:val="0"/>
                <w:sz w:val="18"/>
              </w:rPr>
              <w:t>6</w:t>
            </w:r>
          </w:p>
        </w:tc>
        <w:tc>
          <w:tcPr>
            <w:tcW w:type="dxa" w:w="1080"/>
            <w:shd w:fill="E8EEF4" w:val="clear"/>
          </w:tcPr>
          <w:p>
            <w:pPr>
              <w:spacing w:after="0" w:before="0" w:line="240" w:lineRule="auto"/>
              <w:jc w:val="center"/>
            </w:pPr>
            <w:r/>
            <w:r>
              <w:rPr>
                <w:rFonts w:ascii="Times New Roman" w:hAnsi="Times New Roman" w:eastAsia="Times New Roman"/>
                <w:b w:val="0"/>
                <w:sz w:val="18"/>
              </w:rPr>
              <w:t>0.5</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r>
      <w:tr>
        <w:tc>
          <w:tcPr>
            <w:tcW w:type="dxa" w:w="1080"/>
            <w:shd w:fill="FFFFFF" w:val="clear"/>
          </w:tcPr>
          <w:p>
            <w:pPr>
              <w:spacing w:after="0" w:before="0" w:line="240" w:lineRule="auto"/>
              <w:jc w:val="left"/>
            </w:pPr>
            <w:r/>
            <w:r>
              <w:rPr>
                <w:rFonts w:ascii="Times New Roman" w:hAnsi="Times New Roman" w:eastAsia="Times New Roman"/>
                <w:b w:val="0"/>
                <w:sz w:val="18"/>
              </w:rPr>
              <w:t>ZDT2</w:t>
            </w:r>
          </w:p>
        </w:tc>
        <w:tc>
          <w:tcPr>
            <w:tcW w:type="dxa" w:w="1080"/>
            <w:shd w:fill="FFFFFF" w:val="clear"/>
          </w:tcPr>
          <w:p>
            <w:pPr>
              <w:spacing w:after="0" w:before="0" w:line="240" w:lineRule="auto"/>
              <w:jc w:val="center"/>
            </w:pPr>
            <w:r/>
            <w:r>
              <w:rPr>
                <w:rFonts w:ascii="Times New Roman" w:hAnsi="Times New Roman" w:eastAsia="Times New Roman"/>
                <w:b w:val="0"/>
                <w:sz w:val="18"/>
              </w:rPr>
              <w:t>Bayesian</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c>
          <w:tcPr>
            <w:tcW w:type="dxa" w:w="1080"/>
            <w:shd w:fill="FFFFFF" w:val="clear"/>
          </w:tcPr>
          <w:p>
            <w:pPr>
              <w:spacing w:after="0" w:before="0" w:line="240" w:lineRule="auto"/>
              <w:jc w:val="center"/>
            </w:pPr>
            <w:r/>
            <w:r>
              <w:rPr>
                <w:rFonts w:ascii="Times New Roman" w:hAnsi="Times New Roman" w:eastAsia="Times New Roman"/>
                <w:b w:val="0"/>
                <w:sz w:val="18"/>
              </w:rPr>
              <w:t>0.110 (0.001 to 0.110)</w:t>
            </w:r>
          </w:p>
        </w:tc>
        <w:tc>
          <w:tcPr>
            <w:tcW w:type="dxa" w:w="1080"/>
            <w:shd w:fill="FFFFFF" w:val="clear"/>
          </w:tcPr>
          <w:p>
            <w:pPr>
              <w:spacing w:after="0" w:before="0" w:line="240" w:lineRule="auto"/>
              <w:jc w:val="center"/>
            </w:pPr>
            <w:r/>
            <w:r>
              <w:rPr>
                <w:rFonts w:ascii="Times New Roman" w:hAnsi="Times New Roman" w:eastAsia="Times New Roman"/>
                <w:b w:val="0"/>
                <w:sz w:val="18"/>
              </w:rPr>
              <w:t>0.610 (0.610 to 0.963)</w:t>
            </w:r>
          </w:p>
        </w:tc>
        <w:tc>
          <w:tcPr>
            <w:tcW w:type="dxa" w:w="1080"/>
            <w:shd w:fill="FFFFFF" w:val="clear"/>
          </w:tcPr>
          <w:p>
            <w:pPr>
              <w:spacing w:after="0" w:before="0" w:line="240" w:lineRule="auto"/>
              <w:jc w:val="center"/>
            </w:pPr>
            <w:r/>
            <w:r>
              <w:rPr>
                <w:rFonts w:ascii="Times New Roman" w:hAnsi="Times New Roman" w:eastAsia="Times New Roman"/>
                <w:b w:val="0"/>
                <w:sz w:val="18"/>
              </w:rPr>
              <w:t>2</w:t>
            </w:r>
          </w:p>
        </w:tc>
        <w:tc>
          <w:tcPr>
            <w:tcW w:type="dxa" w:w="1080"/>
            <w:shd w:fill="FFFFFF" w:val="clear"/>
          </w:tcPr>
          <w:p>
            <w:pPr>
              <w:spacing w:after="0" w:before="0" w:line="240" w:lineRule="auto"/>
              <w:jc w:val="center"/>
            </w:pPr>
            <w:r/>
            <w:r>
              <w:rPr>
                <w:rFonts w:ascii="Times New Roman" w:hAnsi="Times New Roman" w:eastAsia="Times New Roman"/>
                <w:b w:val="0"/>
                <w:sz w:val="18"/>
              </w:rPr>
              <w:t>20.8</w:t>
            </w:r>
          </w:p>
        </w:tc>
        <w:tc>
          <w:tcPr>
            <w:tcW w:type="dxa" w:w="1080"/>
            <w:shd w:fill="FFFFFF" w:val="clear"/>
          </w:tcPr>
          <w:p>
            <w:pPr>
              <w:spacing w:after="0" w:before="0" w:line="240" w:lineRule="auto"/>
              <w:jc w:val="center"/>
            </w:pPr>
            <w:r/>
            <w:r>
              <w:rPr>
                <w:rFonts w:ascii="Times New Roman" w:hAnsi="Times New Roman" w:eastAsia="Times New Roman"/>
                <w:b w:val="0"/>
                <w:sz w:val="18"/>
              </w:rPr>
              <w:t>3</w:t>
            </w:r>
          </w:p>
        </w:tc>
      </w:tr>
      <w:tr>
        <w:tc>
          <w:tcPr>
            <w:tcW w:type="dxa" w:w="1080"/>
            <w:shd w:fill="E8EEF4" w:val="clear"/>
          </w:tcPr>
          <w:p>
            <w:pPr>
              <w:spacing w:after="0" w:before="0" w:line="240" w:lineRule="auto"/>
              <w:jc w:val="left"/>
            </w:pPr>
            <w:r/>
            <w:r>
              <w:rPr>
                <w:rFonts w:ascii="Times New Roman" w:hAnsi="Times New Roman" w:eastAsia="Times New Roman"/>
                <w:b w:val="0"/>
                <w:sz w:val="18"/>
              </w:rPr>
              <w:t>ZDT2</w:t>
            </w:r>
          </w:p>
        </w:tc>
        <w:tc>
          <w:tcPr>
            <w:tcW w:type="dxa" w:w="1080"/>
            <w:shd w:fill="E8EEF4" w:val="clear"/>
          </w:tcPr>
          <w:p>
            <w:pPr>
              <w:spacing w:after="0" w:before="0" w:line="240" w:lineRule="auto"/>
              <w:jc w:val="center"/>
            </w:pPr>
            <w:r/>
            <w:r>
              <w:rPr>
                <w:rFonts w:ascii="Times New Roman" w:hAnsi="Times New Roman" w:eastAsia="Times New Roman"/>
                <w:b w:val="0"/>
                <w:sz w:val="18"/>
              </w:rPr>
              <w:t>hybrid</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0.000 (0.000 to 0.000)</w:t>
            </w:r>
          </w:p>
        </w:tc>
        <w:tc>
          <w:tcPr>
            <w:tcW w:type="dxa" w:w="1080"/>
            <w:shd w:fill="E8EEF4" w:val="clear"/>
          </w:tcPr>
          <w:p>
            <w:pPr>
              <w:spacing w:after="0" w:before="0" w:line="240" w:lineRule="auto"/>
              <w:jc w:val="center"/>
            </w:pPr>
            <w:r/>
            <w:r>
              <w:rPr>
                <w:rFonts w:ascii="Times New Roman" w:hAnsi="Times New Roman" w:eastAsia="Times New Roman"/>
                <w:b w:val="0"/>
                <w:sz w:val="18"/>
              </w:rPr>
              <w:t>1.627 (1.456 to 1.740)</w:t>
            </w:r>
          </w:p>
        </w:tc>
        <w:tc>
          <w:tcPr>
            <w:tcW w:type="dxa" w:w="1080"/>
            <w:shd w:fill="E8EEF4" w:val="clear"/>
          </w:tcPr>
          <w:p>
            <w:pPr>
              <w:spacing w:after="0" w:before="0" w:line="240" w:lineRule="auto"/>
              <w:jc w:val="center"/>
            </w:pPr>
            <w:r/>
            <w:r>
              <w:rPr>
                <w:rFonts w:ascii="Times New Roman" w:hAnsi="Times New Roman" w:eastAsia="Times New Roman"/>
                <w:b w:val="0"/>
                <w:sz w:val="18"/>
              </w:rPr>
              <w:t>4</w:t>
            </w:r>
          </w:p>
        </w:tc>
        <w:tc>
          <w:tcPr>
            <w:tcW w:type="dxa" w:w="1080"/>
            <w:shd w:fill="E8EEF4" w:val="clear"/>
          </w:tcPr>
          <w:p>
            <w:pPr>
              <w:spacing w:after="0" w:before="0" w:line="240" w:lineRule="auto"/>
              <w:jc w:val="center"/>
            </w:pPr>
            <w:r/>
            <w:r>
              <w:rPr>
                <w:rFonts w:ascii="Times New Roman" w:hAnsi="Times New Roman" w:eastAsia="Times New Roman"/>
                <w:b w:val="0"/>
                <w:sz w:val="18"/>
              </w:rPr>
              <w:t>31.3</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r>
      <w:tr>
        <w:tc>
          <w:tcPr>
            <w:tcW w:type="dxa" w:w="1080"/>
            <w:shd w:fill="FFFFFF" w:val="clear"/>
          </w:tcPr>
          <w:p>
            <w:pPr>
              <w:spacing w:after="0" w:before="0" w:line="240" w:lineRule="auto"/>
              <w:jc w:val="left"/>
            </w:pPr>
            <w:r/>
            <w:r>
              <w:rPr>
                <w:rFonts w:ascii="Times New Roman" w:hAnsi="Times New Roman" w:eastAsia="Times New Roman"/>
                <w:b w:val="0"/>
                <w:sz w:val="18"/>
              </w:rPr>
              <w:t>ZDT2</w:t>
            </w:r>
          </w:p>
        </w:tc>
        <w:tc>
          <w:tcPr>
            <w:tcW w:type="dxa" w:w="1080"/>
            <w:shd w:fill="FFFFFF" w:val="clear"/>
          </w:tcPr>
          <w:p>
            <w:pPr>
              <w:spacing w:after="0" w:before="0" w:line="240" w:lineRule="auto"/>
              <w:jc w:val="center"/>
            </w:pPr>
            <w:r/>
            <w:r>
              <w:rPr>
                <w:rFonts w:ascii="Times New Roman" w:hAnsi="Times New Roman" w:eastAsia="Times New Roman"/>
                <w:b w:val="0"/>
                <w:sz w:val="18"/>
              </w:rPr>
              <w:t>random</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c>
          <w:tcPr>
            <w:tcW w:type="dxa" w:w="1080"/>
            <w:shd w:fill="FFFFFF" w:val="clear"/>
          </w:tcPr>
          <w:p>
            <w:pPr>
              <w:spacing w:after="0" w:before="0" w:line="240" w:lineRule="auto"/>
              <w:jc w:val="center"/>
            </w:pPr>
            <w:r/>
            <w:r>
              <w:rPr>
                <w:rFonts w:ascii="Times New Roman" w:hAnsi="Times New Roman" w:eastAsia="Times New Roman"/>
                <w:b w:val="0"/>
                <w:sz w:val="18"/>
              </w:rPr>
              <w:t>0.000 (0.000 to 0.000)</w:t>
            </w:r>
          </w:p>
        </w:tc>
        <w:tc>
          <w:tcPr>
            <w:tcW w:type="dxa" w:w="1080"/>
            <w:shd w:fill="FFFFFF" w:val="clear"/>
          </w:tcPr>
          <w:p>
            <w:pPr>
              <w:spacing w:after="0" w:before="0" w:line="240" w:lineRule="auto"/>
              <w:jc w:val="center"/>
            </w:pPr>
            <w:r/>
            <w:r>
              <w:rPr>
                <w:rFonts w:ascii="Times New Roman" w:hAnsi="Times New Roman" w:eastAsia="Times New Roman"/>
                <w:b w:val="0"/>
                <w:sz w:val="18"/>
              </w:rPr>
              <w:t>1.561 (1.389 to 1.764)</w:t>
            </w:r>
          </w:p>
        </w:tc>
        <w:tc>
          <w:tcPr>
            <w:tcW w:type="dxa" w:w="1080"/>
            <w:shd w:fill="FFFFFF" w:val="clear"/>
          </w:tcPr>
          <w:p>
            <w:pPr>
              <w:spacing w:after="0" w:before="0" w:line="240" w:lineRule="auto"/>
              <w:jc w:val="center"/>
            </w:pPr>
            <w:r/>
            <w:r>
              <w:rPr>
                <w:rFonts w:ascii="Times New Roman" w:hAnsi="Times New Roman" w:eastAsia="Times New Roman"/>
                <w:b w:val="0"/>
                <w:sz w:val="18"/>
              </w:rPr>
              <w:t>6</w:t>
            </w:r>
          </w:p>
        </w:tc>
        <w:tc>
          <w:tcPr>
            <w:tcW w:type="dxa" w:w="1080"/>
            <w:shd w:fill="FFFFFF" w:val="clear"/>
          </w:tcPr>
          <w:p>
            <w:pPr>
              <w:spacing w:after="0" w:before="0" w:line="240" w:lineRule="auto"/>
              <w:jc w:val="center"/>
            </w:pPr>
            <w:r/>
            <w:r>
              <w:rPr>
                <w:rFonts w:ascii="Times New Roman" w:hAnsi="Times New Roman" w:eastAsia="Times New Roman"/>
                <w:b w:val="0"/>
                <w:sz w:val="18"/>
              </w:rPr>
              <w:t>0.0</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r>
      <w:tr>
        <w:tc>
          <w:tcPr>
            <w:tcW w:type="dxa" w:w="1080"/>
            <w:shd w:fill="E8EEF4" w:val="clear"/>
          </w:tcPr>
          <w:p>
            <w:pPr>
              <w:spacing w:after="0" w:before="0" w:line="240" w:lineRule="auto"/>
              <w:jc w:val="left"/>
            </w:pPr>
            <w:r/>
            <w:r>
              <w:rPr>
                <w:rFonts w:ascii="Times New Roman" w:hAnsi="Times New Roman" w:eastAsia="Times New Roman"/>
                <w:b w:val="0"/>
                <w:sz w:val="18"/>
              </w:rPr>
              <w:t>DTLZ2</w:t>
            </w:r>
          </w:p>
        </w:tc>
        <w:tc>
          <w:tcPr>
            <w:tcW w:type="dxa" w:w="1080"/>
            <w:shd w:fill="E8EEF4" w:val="clear"/>
          </w:tcPr>
          <w:p>
            <w:pPr>
              <w:spacing w:after="0" w:before="0" w:line="240" w:lineRule="auto"/>
              <w:jc w:val="center"/>
            </w:pPr>
            <w:r/>
            <w:r>
              <w:rPr>
                <w:rFonts w:ascii="Times New Roman" w:hAnsi="Times New Roman" w:eastAsia="Times New Roman"/>
                <w:b w:val="0"/>
                <w:sz w:val="18"/>
              </w:rPr>
              <w:t>evolutionary</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0.206 (0.112 to 0.227)</w:t>
            </w:r>
          </w:p>
        </w:tc>
        <w:tc>
          <w:tcPr>
            <w:tcW w:type="dxa" w:w="1080"/>
            <w:shd w:fill="E8EEF4" w:val="clear"/>
          </w:tcPr>
          <w:p>
            <w:pPr>
              <w:spacing w:after="0" w:before="0" w:line="240" w:lineRule="auto"/>
              <w:jc w:val="center"/>
            </w:pPr>
            <w:r/>
            <w:r>
              <w:rPr>
                <w:rFonts w:ascii="Times New Roman" w:hAnsi="Times New Roman" w:eastAsia="Times New Roman"/>
                <w:b w:val="0"/>
                <w:sz w:val="18"/>
              </w:rPr>
              <w:t>0.452 (0.412 to 0.494)</w:t>
            </w:r>
          </w:p>
        </w:tc>
        <w:tc>
          <w:tcPr>
            <w:tcW w:type="dxa" w:w="1080"/>
            <w:shd w:fill="E8EEF4" w:val="clear"/>
          </w:tcPr>
          <w:p>
            <w:pPr>
              <w:spacing w:after="0" w:before="0" w:line="240" w:lineRule="auto"/>
              <w:jc w:val="center"/>
            </w:pPr>
            <w:r/>
            <w:r>
              <w:rPr>
                <w:rFonts w:ascii="Times New Roman" w:hAnsi="Times New Roman" w:eastAsia="Times New Roman"/>
                <w:b w:val="0"/>
                <w:sz w:val="18"/>
              </w:rPr>
              <w:t>38</w:t>
            </w:r>
          </w:p>
        </w:tc>
        <w:tc>
          <w:tcPr>
            <w:tcW w:type="dxa" w:w="1080"/>
            <w:shd w:fill="E8EEF4" w:val="clear"/>
          </w:tcPr>
          <w:p>
            <w:pPr>
              <w:spacing w:after="0" w:before="0" w:line="240" w:lineRule="auto"/>
              <w:jc w:val="center"/>
            </w:pPr>
            <w:r/>
            <w:r>
              <w:rPr>
                <w:rFonts w:ascii="Times New Roman" w:hAnsi="Times New Roman" w:eastAsia="Times New Roman"/>
                <w:b w:val="0"/>
                <w:sz w:val="18"/>
              </w:rPr>
              <w:t>0.9</w:t>
            </w:r>
          </w:p>
        </w:tc>
        <w:tc>
          <w:tcPr>
            <w:tcW w:type="dxa" w:w="1080"/>
            <w:shd w:fill="E8EEF4" w:val="clear"/>
          </w:tcPr>
          <w:p>
            <w:pPr>
              <w:spacing w:after="0" w:before="0" w:line="240" w:lineRule="auto"/>
              <w:jc w:val="center"/>
            </w:pPr>
            <w:r/>
            <w:r>
              <w:rPr>
                <w:rFonts w:ascii="Times New Roman" w:hAnsi="Times New Roman" w:eastAsia="Times New Roman"/>
                <w:b w:val="0"/>
                <w:sz w:val="18"/>
              </w:rPr>
              <w:t>0</w:t>
            </w:r>
          </w:p>
        </w:tc>
      </w:tr>
      <w:tr>
        <w:tc>
          <w:tcPr>
            <w:tcW w:type="dxa" w:w="1080"/>
            <w:shd w:fill="FFFFFF" w:val="clear"/>
          </w:tcPr>
          <w:p>
            <w:pPr>
              <w:spacing w:after="0" w:before="0" w:line="240" w:lineRule="auto"/>
              <w:jc w:val="left"/>
            </w:pPr>
            <w:r/>
            <w:r>
              <w:rPr>
                <w:rFonts w:ascii="Times New Roman" w:hAnsi="Times New Roman" w:eastAsia="Times New Roman"/>
                <w:b w:val="0"/>
                <w:sz w:val="18"/>
              </w:rPr>
              <w:t>DTLZ2</w:t>
            </w:r>
          </w:p>
        </w:tc>
        <w:tc>
          <w:tcPr>
            <w:tcW w:type="dxa" w:w="1080"/>
            <w:shd w:fill="FFFFFF" w:val="clear"/>
          </w:tcPr>
          <w:p>
            <w:pPr>
              <w:spacing w:after="0" w:before="0" w:line="240" w:lineRule="auto"/>
              <w:jc w:val="center"/>
            </w:pPr>
            <w:r/>
            <w:r>
              <w:rPr>
                <w:rFonts w:ascii="Times New Roman" w:hAnsi="Times New Roman" w:eastAsia="Times New Roman"/>
                <w:b w:val="0"/>
                <w:sz w:val="18"/>
              </w:rPr>
              <w:t>Bayesian</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c>
          <w:tcPr>
            <w:tcW w:type="dxa" w:w="1080"/>
            <w:shd w:fill="FFFFFF" w:val="clear"/>
          </w:tcPr>
          <w:p>
            <w:pPr>
              <w:spacing w:after="0" w:before="0" w:line="240" w:lineRule="auto"/>
              <w:jc w:val="center"/>
            </w:pPr>
            <w:r/>
            <w:r>
              <w:rPr>
                <w:rFonts w:ascii="Times New Roman" w:hAnsi="Times New Roman" w:eastAsia="Times New Roman"/>
                <w:b w:val="0"/>
                <w:sz w:val="18"/>
              </w:rPr>
              <w:t>0.160 (0.049 to 0.208)</w:t>
            </w:r>
          </w:p>
        </w:tc>
        <w:tc>
          <w:tcPr>
            <w:tcW w:type="dxa" w:w="1080"/>
            <w:shd w:fill="FFFFFF" w:val="clear"/>
          </w:tcPr>
          <w:p>
            <w:pPr>
              <w:spacing w:after="0" w:before="0" w:line="240" w:lineRule="auto"/>
              <w:jc w:val="center"/>
            </w:pPr>
            <w:r/>
            <w:r>
              <w:rPr>
                <w:rFonts w:ascii="Times New Roman" w:hAnsi="Times New Roman" w:eastAsia="Times New Roman"/>
                <w:b w:val="0"/>
                <w:sz w:val="18"/>
              </w:rPr>
              <w:t>0.537 (0.482 to 0.615)</w:t>
            </w:r>
          </w:p>
        </w:tc>
        <w:tc>
          <w:tcPr>
            <w:tcW w:type="dxa" w:w="1080"/>
            <w:shd w:fill="FFFFFF" w:val="clear"/>
          </w:tcPr>
          <w:p>
            <w:pPr>
              <w:spacing w:after="0" w:before="0" w:line="240" w:lineRule="auto"/>
              <w:jc w:val="center"/>
            </w:pPr>
            <w:r/>
            <w:r>
              <w:rPr>
                <w:rFonts w:ascii="Times New Roman" w:hAnsi="Times New Roman" w:eastAsia="Times New Roman"/>
                <w:b w:val="0"/>
                <w:sz w:val="18"/>
              </w:rPr>
              <w:t>31</w:t>
            </w:r>
          </w:p>
        </w:tc>
        <w:tc>
          <w:tcPr>
            <w:tcW w:type="dxa" w:w="1080"/>
            <w:shd w:fill="FFFFFF" w:val="clear"/>
          </w:tcPr>
          <w:p>
            <w:pPr>
              <w:spacing w:after="0" w:before="0" w:line="240" w:lineRule="auto"/>
              <w:jc w:val="center"/>
            </w:pPr>
            <w:r/>
            <w:r>
              <w:rPr>
                <w:rFonts w:ascii="Times New Roman" w:hAnsi="Times New Roman" w:eastAsia="Times New Roman"/>
                <w:b w:val="0"/>
                <w:sz w:val="18"/>
              </w:rPr>
              <w:t>65.0</w:t>
            </w:r>
          </w:p>
        </w:tc>
        <w:tc>
          <w:tcPr>
            <w:tcW w:type="dxa" w:w="1080"/>
            <w:shd w:fill="FFFFFF" w:val="clear"/>
          </w:tcPr>
          <w:p>
            <w:pPr>
              <w:spacing w:after="0" w:before="0" w:line="240" w:lineRule="auto"/>
              <w:jc w:val="center"/>
            </w:pPr>
            <w:r/>
            <w:r>
              <w:rPr>
                <w:rFonts w:ascii="Times New Roman" w:hAnsi="Times New Roman" w:eastAsia="Times New Roman"/>
                <w:b w:val="0"/>
                <w:sz w:val="18"/>
              </w:rPr>
              <w:t>0</w:t>
            </w:r>
          </w:p>
        </w:tc>
      </w:tr>
      <w:tr>
        <w:tc>
          <w:tcPr>
            <w:tcW w:type="dxa" w:w="1080"/>
            <w:shd w:fill="E8EEF4" w:val="clear"/>
          </w:tcPr>
          <w:p>
            <w:pPr>
              <w:spacing w:after="0" w:before="0" w:line="240" w:lineRule="auto"/>
              <w:jc w:val="left"/>
            </w:pPr>
            <w:r/>
            <w:r>
              <w:rPr>
                <w:rFonts w:ascii="Times New Roman" w:hAnsi="Times New Roman" w:eastAsia="Times New Roman"/>
                <w:b w:val="0"/>
                <w:sz w:val="18"/>
              </w:rPr>
              <w:t>DTLZ2</w:t>
            </w:r>
          </w:p>
        </w:tc>
        <w:tc>
          <w:tcPr>
            <w:tcW w:type="dxa" w:w="1080"/>
            <w:shd w:fill="E8EEF4" w:val="clear"/>
          </w:tcPr>
          <w:p>
            <w:pPr>
              <w:spacing w:after="0" w:before="0" w:line="240" w:lineRule="auto"/>
              <w:jc w:val="center"/>
            </w:pPr>
            <w:r/>
            <w:r>
              <w:rPr>
                <w:rFonts w:ascii="Times New Roman" w:hAnsi="Times New Roman" w:eastAsia="Times New Roman"/>
                <w:b w:val="0"/>
                <w:sz w:val="18"/>
              </w:rPr>
              <w:t>hybrid</w:t>
            </w:r>
          </w:p>
        </w:tc>
        <w:tc>
          <w:tcPr>
            <w:tcW w:type="dxa" w:w="1080"/>
            <w:shd w:fill="E8EEF4" w:val="clear"/>
          </w:tcPr>
          <w:p>
            <w:pPr>
              <w:spacing w:after="0" w:before="0" w:line="240" w:lineRule="auto"/>
              <w:jc w:val="center"/>
            </w:pPr>
            <w:r/>
            <w:r>
              <w:rPr>
                <w:rFonts w:ascii="Times New Roman" w:hAnsi="Times New Roman" w:eastAsia="Times New Roman"/>
                <w:b w:val="0"/>
                <w:sz w:val="18"/>
              </w:rPr>
              <w:t>10</w:t>
            </w:r>
          </w:p>
        </w:tc>
        <w:tc>
          <w:tcPr>
            <w:tcW w:type="dxa" w:w="1080"/>
            <w:shd w:fill="E8EEF4" w:val="clear"/>
          </w:tcPr>
          <w:p>
            <w:pPr>
              <w:spacing w:after="0" w:before="0" w:line="240" w:lineRule="auto"/>
              <w:jc w:val="center"/>
            </w:pPr>
            <w:r/>
            <w:r>
              <w:rPr>
                <w:rFonts w:ascii="Times New Roman" w:hAnsi="Times New Roman" w:eastAsia="Times New Roman"/>
                <w:b w:val="0"/>
                <w:sz w:val="18"/>
              </w:rPr>
              <w:t>0.148 (0.104 to 0.208)</w:t>
            </w:r>
          </w:p>
        </w:tc>
        <w:tc>
          <w:tcPr>
            <w:tcW w:type="dxa" w:w="1080"/>
            <w:shd w:fill="E8EEF4" w:val="clear"/>
          </w:tcPr>
          <w:p>
            <w:pPr>
              <w:spacing w:after="0" w:before="0" w:line="240" w:lineRule="auto"/>
              <w:jc w:val="center"/>
            </w:pPr>
            <w:r/>
            <w:r>
              <w:rPr>
                <w:rFonts w:ascii="Times New Roman" w:hAnsi="Times New Roman" w:eastAsia="Times New Roman"/>
                <w:b w:val="0"/>
                <w:sz w:val="18"/>
              </w:rPr>
              <w:t>0.516 (0.466 to 0.523)</w:t>
            </w:r>
          </w:p>
        </w:tc>
        <w:tc>
          <w:tcPr>
            <w:tcW w:type="dxa" w:w="1080"/>
            <w:shd w:fill="E8EEF4" w:val="clear"/>
          </w:tcPr>
          <w:p>
            <w:pPr>
              <w:spacing w:after="0" w:before="0" w:line="240" w:lineRule="auto"/>
              <w:jc w:val="center"/>
            </w:pPr>
            <w:r/>
            <w:r>
              <w:rPr>
                <w:rFonts w:ascii="Times New Roman" w:hAnsi="Times New Roman" w:eastAsia="Times New Roman"/>
                <w:b w:val="0"/>
                <w:sz w:val="18"/>
              </w:rPr>
              <w:t>25</w:t>
            </w:r>
          </w:p>
        </w:tc>
        <w:tc>
          <w:tcPr>
            <w:tcW w:type="dxa" w:w="1080"/>
            <w:shd w:fill="E8EEF4" w:val="clear"/>
          </w:tcPr>
          <w:p>
            <w:pPr>
              <w:spacing w:after="0" w:before="0" w:line="240" w:lineRule="auto"/>
              <w:jc w:val="center"/>
            </w:pPr>
            <w:r/>
            <w:r>
              <w:rPr>
                <w:rFonts w:ascii="Times New Roman" w:hAnsi="Times New Roman" w:eastAsia="Times New Roman"/>
                <w:b w:val="0"/>
                <w:sz w:val="18"/>
              </w:rPr>
              <w:t>44.9</w:t>
            </w:r>
          </w:p>
        </w:tc>
        <w:tc>
          <w:tcPr>
            <w:tcW w:type="dxa" w:w="1080"/>
            <w:shd w:fill="E8EEF4" w:val="clear"/>
          </w:tcPr>
          <w:p>
            <w:pPr>
              <w:spacing w:after="0" w:before="0" w:line="240" w:lineRule="auto"/>
              <w:jc w:val="center"/>
            </w:pPr>
            <w:r/>
            <w:r>
              <w:rPr>
                <w:rFonts w:ascii="Times New Roman" w:hAnsi="Times New Roman" w:eastAsia="Times New Roman"/>
                <w:b w:val="0"/>
                <w:sz w:val="18"/>
              </w:rPr>
              <w:t>0</w:t>
            </w:r>
          </w:p>
        </w:tc>
      </w:tr>
      <w:tr>
        <w:tc>
          <w:tcPr>
            <w:tcW w:type="dxa" w:w="1080"/>
            <w:shd w:fill="FFFFFF" w:val="clear"/>
          </w:tcPr>
          <w:p>
            <w:pPr>
              <w:spacing w:after="0" w:before="0" w:line="240" w:lineRule="auto"/>
              <w:jc w:val="left"/>
            </w:pPr>
            <w:r/>
            <w:r>
              <w:rPr>
                <w:rFonts w:ascii="Times New Roman" w:hAnsi="Times New Roman" w:eastAsia="Times New Roman"/>
                <w:b w:val="0"/>
                <w:sz w:val="18"/>
              </w:rPr>
              <w:t>DTLZ2</w:t>
            </w:r>
          </w:p>
        </w:tc>
        <w:tc>
          <w:tcPr>
            <w:tcW w:type="dxa" w:w="1080"/>
            <w:shd w:fill="FFFFFF" w:val="clear"/>
          </w:tcPr>
          <w:p>
            <w:pPr>
              <w:spacing w:after="0" w:before="0" w:line="240" w:lineRule="auto"/>
              <w:jc w:val="center"/>
            </w:pPr>
            <w:r/>
            <w:r>
              <w:rPr>
                <w:rFonts w:ascii="Times New Roman" w:hAnsi="Times New Roman" w:eastAsia="Times New Roman"/>
                <w:b w:val="0"/>
                <w:sz w:val="18"/>
              </w:rPr>
              <w:t>random</w:t>
            </w:r>
          </w:p>
        </w:tc>
        <w:tc>
          <w:tcPr>
            <w:tcW w:type="dxa" w:w="1080"/>
            <w:shd w:fill="FFFFFF" w:val="clear"/>
          </w:tcPr>
          <w:p>
            <w:pPr>
              <w:spacing w:after="0" w:before="0" w:line="240" w:lineRule="auto"/>
              <w:jc w:val="center"/>
            </w:pPr>
            <w:r/>
            <w:r>
              <w:rPr>
                <w:rFonts w:ascii="Times New Roman" w:hAnsi="Times New Roman" w:eastAsia="Times New Roman"/>
                <w:b w:val="0"/>
                <w:sz w:val="18"/>
              </w:rPr>
              <w:t>10</w:t>
            </w:r>
          </w:p>
        </w:tc>
        <w:tc>
          <w:tcPr>
            <w:tcW w:type="dxa" w:w="1080"/>
            <w:shd w:fill="FFFFFF" w:val="clear"/>
          </w:tcPr>
          <w:p>
            <w:pPr>
              <w:spacing w:after="0" w:before="0" w:line="240" w:lineRule="auto"/>
              <w:jc w:val="center"/>
            </w:pPr>
            <w:r/>
            <w:r>
              <w:rPr>
                <w:rFonts w:ascii="Times New Roman" w:hAnsi="Times New Roman" w:eastAsia="Times New Roman"/>
                <w:b w:val="0"/>
                <w:sz w:val="18"/>
              </w:rPr>
              <w:t>0.169 (0.146 to 0.204)</w:t>
            </w:r>
          </w:p>
        </w:tc>
        <w:tc>
          <w:tcPr>
            <w:tcW w:type="dxa" w:w="1080"/>
            <w:shd w:fill="FFFFFF" w:val="clear"/>
          </w:tcPr>
          <w:p>
            <w:pPr>
              <w:spacing w:after="0" w:before="0" w:line="240" w:lineRule="auto"/>
              <w:jc w:val="center"/>
            </w:pPr>
            <w:r/>
            <w:r>
              <w:rPr>
                <w:rFonts w:ascii="Times New Roman" w:hAnsi="Times New Roman" w:eastAsia="Times New Roman"/>
                <w:b w:val="0"/>
                <w:sz w:val="18"/>
              </w:rPr>
              <w:t>0.467 (0.460 to 0.484)</w:t>
            </w:r>
          </w:p>
        </w:tc>
        <w:tc>
          <w:tcPr>
            <w:tcW w:type="dxa" w:w="1080"/>
            <w:shd w:fill="FFFFFF" w:val="clear"/>
          </w:tcPr>
          <w:p>
            <w:pPr>
              <w:spacing w:after="0" w:before="0" w:line="240" w:lineRule="auto"/>
              <w:jc w:val="center"/>
            </w:pPr>
            <w:r/>
            <w:r>
              <w:rPr>
                <w:rFonts w:ascii="Times New Roman" w:hAnsi="Times New Roman" w:eastAsia="Times New Roman"/>
                <w:b w:val="0"/>
                <w:sz w:val="18"/>
              </w:rPr>
              <w:t>52</w:t>
            </w:r>
          </w:p>
        </w:tc>
        <w:tc>
          <w:tcPr>
            <w:tcW w:type="dxa" w:w="1080"/>
            <w:shd w:fill="FFFFFF" w:val="clear"/>
          </w:tcPr>
          <w:p>
            <w:pPr>
              <w:spacing w:after="0" w:before="0" w:line="240" w:lineRule="auto"/>
              <w:jc w:val="center"/>
            </w:pPr>
            <w:r/>
            <w:r>
              <w:rPr>
                <w:rFonts w:ascii="Times New Roman" w:hAnsi="Times New Roman" w:eastAsia="Times New Roman"/>
                <w:b w:val="0"/>
                <w:sz w:val="18"/>
              </w:rPr>
              <w:t>0.4</w:t>
            </w:r>
          </w:p>
        </w:tc>
        <w:tc>
          <w:tcPr>
            <w:tcW w:type="dxa" w:w="1080"/>
            <w:shd w:fill="FFFFFF" w:val="clear"/>
          </w:tcPr>
          <w:p>
            <w:pPr>
              <w:spacing w:after="0" w:before="0" w:line="240" w:lineRule="auto"/>
              <w:jc w:val="center"/>
            </w:pPr>
            <w:r/>
            <w:r>
              <w:rPr>
                <w:rFonts w:ascii="Times New Roman" w:hAnsi="Times New Roman" w:eastAsia="Times New Roman"/>
                <w:b w:val="0"/>
                <w:sz w:val="18"/>
              </w:rPr>
              <w:t>0</w:t>
            </w:r>
          </w:p>
        </w:tc>
      </w:tr>
    </w:tbl>
    <w:p>
      <w:pPr>
        <w:keepNext w:val="0"/>
        <w:keepLines w:val="0"/>
        <w:widowControl/>
        <w:spacing w:after="120" w:before="0" w:line="240" w:lineRule="auto"/>
        <w:jc w:val="both"/>
      </w:pPr>
    </w:p>
    <w:p>
      <w:pPr>
        <w:keepNext/>
        <w:keepLines w:val="0"/>
        <w:widowControl/>
        <w:spacing w:after="0" w:before="0" w:line="240" w:lineRule="auto"/>
        <w:jc w:val="center"/>
      </w:pPr>
      <w:r>
        <w:drawing>
          <wp:inline xmlns:a="http://schemas.openxmlformats.org/drawingml/2006/main" xmlns:pic="http://schemas.openxmlformats.org/drawingml/2006/picture">
            <wp:extent cx="5303520" cy="3083380"/>
            <wp:docPr id="2" name="Picture 2" descr="Line chart of median hypervolume versus evaluations for evolutionary, Bayesian, hybrid and random search on ZDT1."/>
            <wp:cNvGraphicFramePr>
              <a:graphicFrameLocks noChangeAspect="1"/>
            </wp:cNvGraphicFramePr>
            <a:graphic>
              <a:graphicData uri="http://schemas.openxmlformats.org/drawingml/2006/picture">
                <pic:pic>
                  <pic:nvPicPr>
                    <pic:cNvPr id="0" name="figure_4_1_convergence_zdt1.png"/>
                    <pic:cNvPicPr/>
                  </pic:nvPicPr>
                  <pic:blipFill>
                    <a:blip r:embed="rId11"/>
                    <a:stretch>
                      <a:fillRect/>
                    </a:stretch>
                  </pic:blipFill>
                  <pic:spPr>
                    <a:xfrm>
                      <a:off x="0" y="0"/>
                      <a:ext cx="5303520" cy="308338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 Median hypervolume against completed evaluations on ZDT1 (ten seeds).</w:t>
      </w:r>
    </w:p>
    <w:p>
      <w:pPr>
        <w:keepNext/>
        <w:keepLines w:val="0"/>
        <w:widowControl/>
        <w:spacing w:after="0" w:before="0" w:line="240" w:lineRule="auto"/>
        <w:jc w:val="center"/>
      </w:pPr>
      <w:r>
        <w:drawing>
          <wp:inline xmlns:a="http://schemas.openxmlformats.org/drawingml/2006/main" xmlns:pic="http://schemas.openxmlformats.org/drawingml/2006/picture">
            <wp:extent cx="5760720" cy="1833715"/>
            <wp:docPr id="3" name="Picture 3" descr="Three box plots of hypervolume for ZDT1, ZDT2 and DTLZ2 across four methods."/>
            <wp:cNvGraphicFramePr>
              <a:graphicFrameLocks noChangeAspect="1"/>
            </wp:cNvGraphicFramePr>
            <a:graphic>
              <a:graphicData uri="http://schemas.openxmlformats.org/drawingml/2006/picture">
                <pic:pic>
                  <pic:nvPicPr>
                    <pic:cNvPr id="0" name="figure_4_2_hypervolume.png"/>
                    <pic:cNvPicPr/>
                  </pic:nvPicPr>
                  <pic:blipFill>
                    <a:blip r:embed="rId12"/>
                    <a:stretch>
                      <a:fillRect/>
                    </a:stretch>
                  </pic:blipFill>
                  <pic:spPr>
                    <a:xfrm>
                      <a:off x="0" y="0"/>
                      <a:ext cx="5760720" cy="1833715"/>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 Hypervolume distributions by problem and method (higher is better).</w:t>
      </w:r>
    </w:p>
    <w:p>
      <w:pPr>
        <w:keepNext/>
        <w:keepLines w:val="0"/>
        <w:widowControl/>
        <w:spacing w:after="0" w:before="0" w:line="240" w:lineRule="auto"/>
        <w:jc w:val="center"/>
      </w:pPr>
      <w:r>
        <w:drawing>
          <wp:inline xmlns:a="http://schemas.openxmlformats.org/drawingml/2006/main" xmlns:pic="http://schemas.openxmlformats.org/drawingml/2006/picture">
            <wp:extent cx="5760720" cy="1833715"/>
            <wp:docPr id="4" name="Picture 4" descr="Three box plots of inverted generational distance for ZDT1, ZDT2 and DTLZ2."/>
            <wp:cNvGraphicFramePr>
              <a:graphicFrameLocks noChangeAspect="1"/>
            </wp:cNvGraphicFramePr>
            <a:graphic>
              <a:graphicData uri="http://schemas.openxmlformats.org/drawingml/2006/picture">
                <pic:pic>
                  <pic:nvPicPr>
                    <pic:cNvPr id="0" name="figure_4_3_igd.png"/>
                    <pic:cNvPicPr/>
                  </pic:nvPicPr>
                  <pic:blipFill>
                    <a:blip r:embed="rId13"/>
                    <a:stretch>
                      <a:fillRect/>
                    </a:stretch>
                  </pic:blipFill>
                  <pic:spPr>
                    <a:xfrm>
                      <a:off x="0" y="0"/>
                      <a:ext cx="5760720" cy="1833715"/>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 IGD distributions by problem and method (lower is better).</w:t>
      </w:r>
    </w:p>
    <w:p>
      <w:pPr>
        <w:keepNext/>
        <w:keepLines w:val="0"/>
        <w:widowControl/>
        <w:spacing w:after="0" w:before="0" w:line="240" w:lineRule="auto"/>
        <w:jc w:val="center"/>
      </w:pPr>
      <w:r>
        <w:drawing>
          <wp:inline xmlns:a="http://schemas.openxmlformats.org/drawingml/2006/main" xmlns:pic="http://schemas.openxmlformats.org/drawingml/2006/picture">
            <wp:extent cx="5760720" cy="2446484"/>
            <wp:docPr id="5" name="Picture 5" descr="Scatter plots of obtained Pareto fronts for evolutionary, Bayesian and hybrid search."/>
            <wp:cNvGraphicFramePr>
              <a:graphicFrameLocks noChangeAspect="1"/>
            </wp:cNvGraphicFramePr>
            <a:graphic>
              <a:graphicData uri="http://schemas.openxmlformats.org/drawingml/2006/picture">
                <pic:pic>
                  <pic:nvPicPr>
                    <pic:cNvPr id="0" name="figure_4_4_pareto.png"/>
                    <pic:cNvPicPr/>
                  </pic:nvPicPr>
                  <pic:blipFill>
                    <a:blip r:embed="rId14"/>
                    <a:stretch>
                      <a:fillRect/>
                    </a:stretch>
                  </pic:blipFill>
                  <pic:spPr>
                    <a:xfrm>
                      <a:off x="0" y="0"/>
                      <a:ext cx="5760720" cy="2446484"/>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4.4. Representative non-dominated fronts on ZDT1 and ZDT2 for the median-hypervolume seed of each GSIP backend.</w:t>
      </w:r>
    </w:p>
    <w:p>
      <w:pPr>
        <w:keepNext/>
        <w:keepLines w:val="0"/>
        <w:widowControl/>
        <w:spacing w:after="0" w:before="0" w:line="240" w:lineRule="auto"/>
        <w:jc w:val="center"/>
      </w:pPr>
      <w:r>
        <w:drawing>
          <wp:inline xmlns:a="http://schemas.openxmlformats.org/drawingml/2006/main" xmlns:pic="http://schemas.openxmlformats.org/drawingml/2006/picture">
            <wp:extent cx="5303520" cy="2611884"/>
            <wp:docPr id="6" name="Picture 6" descr="Bar chart of the proportion of ten seeds whose archive contributed no hypervolume."/>
            <wp:cNvGraphicFramePr>
              <a:graphicFrameLocks noChangeAspect="1"/>
            </wp:cNvGraphicFramePr>
            <a:graphic>
              <a:graphicData uri="http://schemas.openxmlformats.org/drawingml/2006/picture">
                <pic:pic>
                  <pic:nvPicPr>
                    <pic:cNvPr id="0" name="figure_4_5_zero_hypervolume.png"/>
                    <pic:cNvPicPr/>
                  </pic:nvPicPr>
                  <pic:blipFill>
                    <a:blip r:embed="rId15"/>
                    <a:stretch>
                      <a:fillRect/>
                    </a:stretch>
                  </pic:blipFill>
                  <pic:spPr>
                    <a:xfrm>
                      <a:off x="0" y="0"/>
                      <a:ext cx="5303520" cy="2611884"/>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4.5. Share of runs with hypervolume equal to zero.</w:t>
      </w:r>
    </w:p>
    <w:p>
      <w:pPr>
        <w:pStyle w:val="Heading3"/>
      </w:pPr>
      <w:r>
        <w:t>ZDT1</w:t>
      </w:r>
    </w:p>
    <w:p>
      <w:pPr>
        <w:keepNext w:val="0"/>
        <w:keepLines w:val="0"/>
        <w:widowControl/>
        <w:spacing w:after="120" w:before="0" w:line="360" w:lineRule="auto"/>
        <w:jc w:val="both"/>
      </w:pPr>
      <w:r>
        <w:rPr>
          <w:rFonts w:ascii="Times New Roman" w:hAnsi="Times New Roman" w:eastAsia="Times New Roman"/>
          <w:b w:val="0"/>
          <w:sz w:val="24"/>
        </w:rPr>
        <w:t>ZDT1 is the principal two-objective baseline. Bayesian search produced the highest median hypervolume (0.246, IQR 0.143 to 0.450) and the lowest median IGD (0.407). No Bayesian run had zero hypervolume. Evolutionary search reached a median hypervolume of 0.075, with four of ten seeds remaining outside the reference box. Hybrid search had median hypervolume 0.000, with six of ten seeds at zero, matching the defect described in docs/optimiser-benchmark-findings.md: UnifiedOptimizer fits a single-objective Gaussian process to objectives[0], so half the batch is driven toward one extreme. Random search was similar to hybrid on hypervolume (median 0.000, six zeros). Kruskal-Wallis rejected equality of hypervolume distributions (H = 19.11, p = 0.00026) and of IGD (H = 15.23, p = 0.0016). The Bonferroni-corrected pairwise Mann-Whitney tests on hypervolume were: evolutionary versus Bayesian U = 11, adjusted p = 0.021, rank-biserial 0.78 (Bayesian higher); Bayesian versus hybrid U = 89, adjusted p = 0.019; Bayesian versus random search U = 100, adjusted p = 0.0009. Evolutionary, hybrid and random search did not differ from one another after correction. Wall time remained under one second for evolutionary and random search, about 29 seconds for Bayesian search and 31 seconds for hybrid search. Figure 4.1 shows that Bayesian median hypervolume pulled away after the first batches, while hybrid remained near zero for much of the budget. These results at five variables and 200 evaluations do not rank the methods at canonical ZDT1 size.</w:t>
      </w:r>
    </w:p>
    <w:p>
      <w:pPr>
        <w:pStyle w:val="Heading3"/>
      </w:pPr>
      <w:r>
        <w:t>ZDT2</w:t>
      </w:r>
    </w:p>
    <w:p>
      <w:pPr>
        <w:keepNext w:val="0"/>
        <w:keepLines w:val="0"/>
        <w:widowControl/>
        <w:spacing w:after="120" w:before="0" w:line="360" w:lineRule="auto"/>
        <w:jc w:val="both"/>
      </w:pPr>
      <w:r>
        <w:rPr>
          <w:rFonts w:ascii="Times New Roman" w:hAnsi="Times New Roman" w:eastAsia="Times New Roman"/>
          <w:b w:val="0"/>
          <w:sz w:val="24"/>
        </w:rPr>
        <w:t>ZDT2 has a concave front. Evolutionary, hybrid and random search produced zero hypervolume on every seed: their archives never entered the (1.1, 1.1) box. Bayesian search reached median hypervolume 0.110, with three zero runs and a typically small front (median size 2). Kruskal-Wallis again rejected equality (hypervolume H = 24.63, p = 1.8 x 10^-5). Pairwise tests after correction distinguished Bayesian search from each of the other three methods and found no difference among evolutionary, hybrid and random search, all of which sat at zero. The result suggests that, at this budget and dimension, only the ParEGO-style scalarising GP placed points inside the reference box with any regularity. It does not show that Bayesian search approximated the full concave front: IGD remained about 0.61, and Figure 4.4 shows sparse fronts. Hybrid search was again no better than random search.</w:t>
      </w:r>
    </w:p>
    <w:p>
      <w:pPr>
        <w:pStyle w:val="Heading3"/>
      </w:pPr>
      <w:r>
        <w:t>DTLZ2</w:t>
      </w:r>
    </w:p>
    <w:p>
      <w:pPr>
        <w:keepNext w:val="0"/>
        <w:keepLines w:val="0"/>
        <w:widowControl/>
        <w:spacing w:after="120" w:before="0" w:line="360" w:lineRule="auto"/>
        <w:jc w:val="both"/>
      </w:pPr>
      <w:r>
        <w:rPr>
          <w:rFonts w:ascii="Times New Roman" w:hAnsi="Times New Roman" w:eastAsia="Times New Roman"/>
          <w:b w:val="0"/>
          <w:sz w:val="24"/>
        </w:rPr>
        <w:t>DTLZ2 used three objectives and twelve variables. Hypervolume is a Monte Carlo estimate and is reported only within this problem. No run had zero hypervolume. Evolutionary search had the highest median hypervolume (0.206) and the lowest median IGD (0.452). Random search was close (median HV 0.169, median IGD 0.467) and returned the largest fronts (median 52 points). Bayesian and hybrid medians were 0.160 and 0.148. Bayesian search was the slowest method (median 65 seconds). At this budget the evolutionary population search, which is cheap per evaluation, was at least as effective as the surrogate methods, and the hybrid combination did not improve on either half. Because hypervolume is estimated, small differences between methods should not be over-interpreted; the IGD comparison, which is exact relative to the sampled sphere, shows the same ordering.</w:t>
      </w:r>
    </w:p>
    <w:p>
      <w:pPr>
        <w:pStyle w:val="Heading3"/>
      </w:pPr>
      <w:r>
        <w:t>Overall interpretation of the optimiser comparison</w:t>
      </w:r>
    </w:p>
    <w:p>
      <w:pPr>
        <w:keepNext w:val="0"/>
        <w:keepLines w:val="0"/>
        <w:widowControl/>
        <w:spacing w:after="120" w:before="0" w:line="360" w:lineRule="auto"/>
        <w:jc w:val="both"/>
      </w:pPr>
      <w:r>
        <w:rPr>
          <w:rFonts w:ascii="Times New Roman" w:hAnsi="Times New Roman" w:eastAsia="Times New Roman"/>
          <w:b w:val="0"/>
          <w:sz w:val="24"/>
        </w:rPr>
        <w:t>The hybrid optimiser did not fail to execute: all thirty hybrid runs completed 200 evaluations. It failed as a multi-objective method on ZDT1 and ZDT2, where its median hypervolume was zero or indistinguishable from random search. Source inspection confirms the cause in services/optimizer/optimizer.py: _init_bayesian constructs BayesianOptimizer on config.objectives[0] only. The standalone Bayesian backend does not have that limitation; it scalarises with augmented Chebyshev weights. Research Question 3 asked whether GSIP supports a fair comparison of evolutionary, Bayesian and hybrid optimisation. The harness did impose an equal evaluation budget and repeated seeds. The comparison is therefore fair as an evaluation count. It is not a fair contest of mature multi-objective Bayesian optimisation against NSGA-II, because the hybrid's Bayesian half is single-objective and no qEHVI implementation is present. Computational cost differed by two orders of magnitude. A single-run ranking, such as the Phase 0 note's seed-42 figures, would have been misleading: evolutionary ZDT1 hypervolume ranged from 0 to 0.276 across seeds.</w:t>
      </w:r>
    </w:p>
    <w:p>
      <w:pPr>
        <w:pStyle w:val="Heading2"/>
      </w:pPr>
      <w:r>
        <w:t>4.4 Reproducibility, traceability and auditability</w:t>
      </w:r>
    </w:p>
    <w:p>
      <w:pPr>
        <w:keepNext w:val="0"/>
        <w:keepLines w:val="0"/>
        <w:widowControl/>
        <w:spacing w:after="120" w:before="0" w:line="360" w:lineRule="auto"/>
        <w:jc w:val="both"/>
      </w:pPr>
      <w:r>
        <w:rPr>
          <w:rFonts w:ascii="Times New Roman" w:hAnsi="Times New Roman" w:eastAsia="Times New Roman"/>
          <w:b w:val="0"/>
          <w:sz w:val="24"/>
        </w:rPr>
        <w:t>Numerical repeatability and full computational reproducibility were treated as different questions. A run is fully reproducible only if the code version, dependencies, configuration, model, scenario, inputs, seed, fidelity, objective definitions and output artefacts can be recovered. The checks below used exact equality unless stated.</w:t>
      </w:r>
    </w:p>
    <w:p>
      <w:pPr>
        <w:keepNext w:val="0"/>
        <w:keepLines w:val="0"/>
        <w:widowControl/>
        <w:spacing w:after="60" w:before="0" w:line="276" w:lineRule="auto"/>
        <w:jc w:val="center"/>
      </w:pPr>
      <w:r>
        <w:rPr>
          <w:rFonts w:ascii="Times New Roman" w:hAnsi="Times New Roman" w:eastAsia="Times New Roman"/>
          <w:b/>
          <w:sz w:val="20"/>
        </w:rPr>
        <w:t>Table 4.4. Reproducibility, traceability and auditability checks.</w:t>
      </w:r>
    </w:p>
    <w:tbl>
      <w:tblPr>
        <w:tblW w:type="auto" w:w="0"/>
        <w:jc w:val="center"/>
        <w:tblLayout w:type="autofit"/>
        <w:tblLook w:firstColumn="1" w:firstRow="1" w:lastColumn="0" w:lastRow="0" w:noHBand="0" w:noVBand="1" w:val="04A0"/>
      </w:tblPr>
      <w:tblGrid>
        <w:gridCol w:w="1728"/>
        <w:gridCol w:w="1728"/>
        <w:gridCol w:w="1728"/>
        <w:gridCol w:w="1728"/>
        <w:gridCol w:w="1728"/>
      </w:tblGrid>
      <w:tr>
        <w:trPr>
          <w:tblHeader w:val="true"/>
        </w:trPr>
        <w:tc>
          <w:tcPr>
            <w:tcW w:type="dxa" w:w="1728"/>
            <w:shd w:fill="1F4E79" w:val="clear"/>
          </w:tcPr>
          <w:p>
            <w:pPr>
              <w:spacing w:after="0" w:before="0" w:line="240" w:lineRule="auto"/>
              <w:jc w:val="center"/>
            </w:pPr>
            <w:r/>
            <w:r>
              <w:rPr>
                <w:rFonts w:ascii="Times New Roman" w:hAnsi="Times New Roman" w:eastAsia="Times New Roman"/>
                <w:b/>
                <w:color w:val="FFFFFF"/>
                <w:sz w:val="18"/>
              </w:rPr>
              <w:t>Requirement</w:t>
            </w:r>
          </w:p>
        </w:tc>
        <w:tc>
          <w:tcPr>
            <w:tcW w:type="dxa" w:w="1728"/>
            <w:shd w:fill="1F4E79" w:val="clear"/>
          </w:tcPr>
          <w:p>
            <w:pPr>
              <w:spacing w:after="0" w:before="0" w:line="240" w:lineRule="auto"/>
              <w:jc w:val="center"/>
            </w:pPr>
            <w:r/>
            <w:r>
              <w:rPr>
                <w:rFonts w:ascii="Times New Roman" w:hAnsi="Times New Roman" w:eastAsia="Times New Roman"/>
                <w:b/>
                <w:color w:val="FFFFFF"/>
                <w:sz w:val="18"/>
              </w:rPr>
              <w:t>Test performed</w:t>
            </w:r>
          </w:p>
        </w:tc>
        <w:tc>
          <w:tcPr>
            <w:tcW w:type="dxa" w:w="1728"/>
            <w:shd w:fill="1F4E79" w:val="clear"/>
          </w:tcPr>
          <w:p>
            <w:pPr>
              <w:spacing w:after="0" w:before="0" w:line="240" w:lineRule="auto"/>
              <w:jc w:val="center"/>
            </w:pPr>
            <w:r/>
            <w:r>
              <w:rPr>
                <w:rFonts w:ascii="Times New Roman" w:hAnsi="Times New Roman" w:eastAsia="Times New Roman"/>
                <w:b/>
                <w:color w:val="FFFFFF"/>
                <w:sz w:val="18"/>
              </w:rPr>
              <w:t>Evidence</w:t>
            </w:r>
          </w:p>
        </w:tc>
        <w:tc>
          <w:tcPr>
            <w:tcW w:type="dxa" w:w="1728"/>
            <w:shd w:fill="1F4E79" w:val="clear"/>
          </w:tcPr>
          <w:p>
            <w:pPr>
              <w:spacing w:after="0" w:before="0" w:line="240" w:lineRule="auto"/>
              <w:jc w:val="center"/>
            </w:pPr>
            <w:r/>
            <w:r>
              <w:rPr>
                <w:rFonts w:ascii="Times New Roman" w:hAnsi="Times New Roman" w:eastAsia="Times New Roman"/>
                <w:b/>
                <w:color w:val="FFFFFF"/>
                <w:sz w:val="18"/>
              </w:rPr>
              <w:t>Result</w:t>
            </w:r>
          </w:p>
        </w:tc>
        <w:tc>
          <w:tcPr>
            <w:tcW w:type="dxa" w:w="1728"/>
            <w:shd w:fill="1F4E79" w:val="clear"/>
          </w:tcPr>
          <w:p>
            <w:pPr>
              <w:spacing w:after="0" w:before="0" w:line="240" w:lineRule="auto"/>
              <w:jc w:val="center"/>
            </w:pPr>
            <w:r/>
            <w:r>
              <w:rPr>
                <w:rFonts w:ascii="Times New Roman" w:hAnsi="Times New Roman" w:eastAsia="Times New Roman"/>
                <w:b/>
                <w:color w:val="FFFFFF"/>
                <w:sz w:val="18"/>
              </w:rPr>
              <w:t>Limitation</w:t>
            </w:r>
          </w:p>
        </w:tc>
      </w:tr>
      <w:tr>
        <w:tc>
          <w:tcPr>
            <w:tcW w:type="dxa" w:w="1728"/>
            <w:shd w:fill="E8EEF4" w:val="clear"/>
          </w:tcPr>
          <w:p>
            <w:pPr>
              <w:spacing w:after="0" w:before="0" w:line="240" w:lineRule="auto"/>
              <w:jc w:val="left"/>
            </w:pPr>
            <w:r/>
            <w:r>
              <w:rPr>
                <w:rFonts w:ascii="Times New Roman" w:hAnsi="Times New Roman" w:eastAsia="Times New Roman"/>
                <w:b w:val="0"/>
                <w:sz w:val="18"/>
              </w:rPr>
              <w:t>Same-seed replay</w:t>
            </w:r>
          </w:p>
        </w:tc>
        <w:tc>
          <w:tcPr>
            <w:tcW w:type="dxa" w:w="1728"/>
            <w:shd w:fill="E8EEF4" w:val="clear"/>
          </w:tcPr>
          <w:p>
            <w:pPr>
              <w:spacing w:after="0" w:before="0" w:line="240" w:lineRule="auto"/>
              <w:jc w:val="center"/>
            </w:pPr>
            <w:r/>
            <w:r>
              <w:rPr>
                <w:rFonts w:ascii="Times New Roman" w:hAnsi="Times New Roman" w:eastAsia="Times New Roman"/>
                <w:b w:val="0"/>
                <w:sz w:val="18"/>
              </w:rPr>
              <w:t>Evolutionary ZDT1, budget 60, seed 123, twice</w:t>
            </w:r>
          </w:p>
        </w:tc>
        <w:tc>
          <w:tcPr>
            <w:tcW w:type="dxa" w:w="1728"/>
            <w:shd w:fill="E8EEF4" w:val="clear"/>
          </w:tcPr>
          <w:p>
            <w:pPr>
              <w:spacing w:after="0" w:before="0" w:line="240" w:lineRule="auto"/>
              <w:jc w:val="center"/>
            </w:pPr>
            <w:r/>
            <w:r>
              <w:rPr>
                <w:rFonts w:ascii="Times New Roman" w:hAnsi="Times New Roman" w:eastAsia="Times New Roman"/>
                <w:b w:val="0"/>
                <w:sz w:val="18"/>
              </w:rPr>
              <w:t>benchmark_campaign.json replay.same_seed</w:t>
            </w:r>
          </w:p>
        </w:tc>
        <w:tc>
          <w:tcPr>
            <w:tcW w:type="dxa" w:w="1728"/>
            <w:shd w:fill="E8EEF4" w:val="clear"/>
          </w:tcPr>
          <w:p>
            <w:pPr>
              <w:spacing w:after="0" w:before="0" w:line="240" w:lineRule="auto"/>
              <w:jc w:val="center"/>
            </w:pPr>
            <w:r/>
            <w:r>
              <w:rPr>
                <w:rFonts w:ascii="Times New Roman" w:hAnsi="Times New Roman" w:eastAsia="Times New Roman"/>
                <w:b w:val="0"/>
                <w:sz w:val="18"/>
              </w:rPr>
              <w:t>Hypervolume, IGD, front and history matched exactly</w:t>
            </w:r>
          </w:p>
        </w:tc>
        <w:tc>
          <w:tcPr>
            <w:tcW w:type="dxa" w:w="1728"/>
            <w:shd w:fill="E8EEF4" w:val="clear"/>
          </w:tcPr>
          <w:p>
            <w:pPr>
              <w:spacing w:after="0" w:before="0" w:line="240" w:lineRule="auto"/>
              <w:jc w:val="center"/>
            </w:pPr>
            <w:r/>
            <w:r>
              <w:rPr>
                <w:rFonts w:ascii="Times New Roman" w:hAnsi="Times New Roman" w:eastAsia="Times New Roman"/>
                <w:b w:val="0"/>
                <w:sz w:val="18"/>
              </w:rPr>
              <w:t>Budget 60, one backend, one problem. Both hypervolumes were 0.0, so the match is exact but uninformative about front recovery.</w:t>
            </w:r>
          </w:p>
        </w:tc>
      </w:tr>
      <w:tr>
        <w:tc>
          <w:tcPr>
            <w:tcW w:type="dxa" w:w="1728"/>
            <w:shd w:fill="FFFFFF" w:val="clear"/>
          </w:tcPr>
          <w:p>
            <w:pPr>
              <w:spacing w:after="0" w:before="0" w:line="240" w:lineRule="auto"/>
              <w:jc w:val="left"/>
            </w:pPr>
            <w:r/>
            <w:r>
              <w:rPr>
                <w:rFonts w:ascii="Times New Roman" w:hAnsi="Times New Roman" w:eastAsia="Times New Roman"/>
                <w:b w:val="0"/>
                <w:sz w:val="18"/>
              </w:rPr>
              <w:t>Changed seed</w:t>
            </w:r>
          </w:p>
        </w:tc>
        <w:tc>
          <w:tcPr>
            <w:tcW w:type="dxa" w:w="1728"/>
            <w:shd w:fill="FFFFFF" w:val="clear"/>
          </w:tcPr>
          <w:p>
            <w:pPr>
              <w:spacing w:after="0" w:before="0" w:line="240" w:lineRule="auto"/>
              <w:jc w:val="center"/>
            </w:pPr>
            <w:r/>
            <w:r>
              <w:rPr>
                <w:rFonts w:ascii="Times New Roman" w:hAnsi="Times New Roman" w:eastAsia="Times New Roman"/>
                <w:b w:val="0"/>
                <w:sz w:val="18"/>
              </w:rPr>
              <w:t>Seeds 123 versus 124, otherwise identical</w:t>
            </w:r>
          </w:p>
        </w:tc>
        <w:tc>
          <w:tcPr>
            <w:tcW w:type="dxa" w:w="1728"/>
            <w:shd w:fill="FFFFFF" w:val="clear"/>
          </w:tcPr>
          <w:p>
            <w:pPr>
              <w:spacing w:after="0" w:before="0" w:line="240" w:lineRule="auto"/>
              <w:jc w:val="center"/>
            </w:pPr>
            <w:r/>
            <w:r>
              <w:rPr>
                <w:rFonts w:ascii="Times New Roman" w:hAnsi="Times New Roman" w:eastAsia="Times New Roman"/>
                <w:b w:val="0"/>
                <w:sz w:val="18"/>
              </w:rPr>
              <w:t>replay.changed_seed</w:t>
            </w:r>
          </w:p>
        </w:tc>
        <w:tc>
          <w:tcPr>
            <w:tcW w:type="dxa" w:w="1728"/>
            <w:shd w:fill="FFFFFF" w:val="clear"/>
          </w:tcPr>
          <w:p>
            <w:pPr>
              <w:spacing w:after="0" w:before="0" w:line="240" w:lineRule="auto"/>
              <w:jc w:val="center"/>
            </w:pPr>
            <w:r/>
            <w:r>
              <w:rPr>
                <w:rFonts w:ascii="Times New Roman" w:hAnsi="Times New Roman" w:eastAsia="Times New Roman"/>
                <w:b w:val="0"/>
                <w:sz w:val="18"/>
              </w:rPr>
              <w:t>Fronts differed; IGD 1.509 versus 1.878</w:t>
            </w:r>
          </w:p>
        </w:tc>
        <w:tc>
          <w:tcPr>
            <w:tcW w:type="dxa" w:w="1728"/>
            <w:shd w:fill="FFFFFF" w:val="clear"/>
          </w:tcPr>
          <w:p>
            <w:pPr>
              <w:spacing w:after="0" w:before="0" w:line="240" w:lineRule="auto"/>
              <w:jc w:val="center"/>
            </w:pPr>
            <w:r/>
            <w:r>
              <w:rPr>
                <w:rFonts w:ascii="Times New Roman" w:hAnsi="Times New Roman" w:eastAsia="Times New Roman"/>
                <w:b w:val="0"/>
                <w:sz w:val="18"/>
              </w:rPr>
              <w:t>Hypervolume remained 0.0 for both seeds at this budget.</w:t>
            </w:r>
          </w:p>
        </w:tc>
      </w:tr>
      <w:tr>
        <w:tc>
          <w:tcPr>
            <w:tcW w:type="dxa" w:w="1728"/>
            <w:shd w:fill="E8EEF4" w:val="clear"/>
          </w:tcPr>
          <w:p>
            <w:pPr>
              <w:spacing w:after="0" w:before="0" w:line="240" w:lineRule="auto"/>
              <w:jc w:val="left"/>
            </w:pPr>
            <w:r/>
            <w:r>
              <w:rPr>
                <w:rFonts w:ascii="Times New Roman" w:hAnsi="Times New Roman" w:eastAsia="Times New Roman"/>
                <w:b w:val="0"/>
                <w:sz w:val="18"/>
              </w:rPr>
              <w:t>Canonical hashing</w:t>
            </w:r>
          </w:p>
        </w:tc>
        <w:tc>
          <w:tcPr>
            <w:tcW w:type="dxa" w:w="1728"/>
            <w:shd w:fill="E8EEF4" w:val="clear"/>
          </w:tcPr>
          <w:p>
            <w:pPr>
              <w:spacing w:after="0" w:before="0" w:line="240" w:lineRule="auto"/>
              <w:jc w:val="center"/>
            </w:pPr>
            <w:r/>
            <w:r>
              <w:rPr>
                <w:rFonts w:ascii="Times New Roman" w:hAnsi="Times New Roman" w:eastAsia="Times New Roman"/>
                <w:b w:val="0"/>
                <w:sz w:val="18"/>
              </w:rPr>
              <w:t>Unit tests of gsip_ledger.hashing and test_ledger.py</w:t>
            </w:r>
          </w:p>
        </w:tc>
        <w:tc>
          <w:tcPr>
            <w:tcW w:type="dxa" w:w="1728"/>
            <w:shd w:fill="E8EEF4" w:val="clear"/>
          </w:tcPr>
          <w:p>
            <w:pPr>
              <w:spacing w:after="0" w:before="0" w:line="240" w:lineRule="auto"/>
              <w:jc w:val="center"/>
            </w:pPr>
            <w:r/>
            <w:r>
              <w:rPr>
                <w:rFonts w:ascii="Times New Roman" w:hAnsi="Times New Roman" w:eastAsia="Times New Roman"/>
                <w:b w:val="0"/>
                <w:sz w:val="18"/>
              </w:rPr>
              <w:t>pytest; hashing.py</w:t>
            </w:r>
          </w:p>
        </w:tc>
        <w:tc>
          <w:tcPr>
            <w:tcW w:type="dxa" w:w="1728"/>
            <w:shd w:fill="E8EEF4" w:val="clear"/>
          </w:tcPr>
          <w:p>
            <w:pPr>
              <w:spacing w:after="0" w:before="0" w:line="240" w:lineRule="auto"/>
              <w:jc w:val="center"/>
            </w:pPr>
            <w:r/>
            <w:r>
              <w:rPr>
                <w:rFonts w:ascii="Times New Roman" w:hAnsi="Times New Roman" w:eastAsia="Times New Roman"/>
                <w:b w:val="0"/>
                <w:sz w:val="18"/>
              </w:rPr>
              <w:t>Canonical JSON and SHA-256 helpers passed their tests</w:t>
            </w:r>
          </w:p>
        </w:tc>
        <w:tc>
          <w:tcPr>
            <w:tcW w:type="dxa" w:w="1728"/>
            <w:shd w:fill="E8EEF4" w:val="clear"/>
          </w:tcPr>
          <w:p>
            <w:pPr>
              <w:spacing w:after="0" w:before="0" w:line="240" w:lineRule="auto"/>
              <w:jc w:val="center"/>
            </w:pPr>
            <w:r/>
            <w:r>
              <w:rPr>
                <w:rFonts w:ascii="Times New Roman" w:hAnsi="Times New Roman" w:eastAsia="Times New Roman"/>
                <w:b w:val="0"/>
                <w:sz w:val="18"/>
              </w:rPr>
              <w:t>Tests do not prove every production artefact is hashed.</w:t>
            </w:r>
          </w:p>
        </w:tc>
      </w:tr>
      <w:tr>
        <w:tc>
          <w:tcPr>
            <w:tcW w:type="dxa" w:w="1728"/>
            <w:shd w:fill="FFFFFF" w:val="clear"/>
          </w:tcPr>
          <w:p>
            <w:pPr>
              <w:spacing w:after="0" w:before="0" w:line="240" w:lineRule="auto"/>
              <w:jc w:val="left"/>
            </w:pPr>
            <w:r/>
            <w:r>
              <w:rPr>
                <w:rFonts w:ascii="Times New Roman" w:hAnsi="Times New Roman" w:eastAsia="Times New Roman"/>
                <w:b w:val="0"/>
                <w:sz w:val="18"/>
              </w:rPr>
              <w:t>Model, scenario, optimiser and fidelity recording</w:t>
            </w:r>
          </w:p>
        </w:tc>
        <w:tc>
          <w:tcPr>
            <w:tcW w:type="dxa" w:w="1728"/>
            <w:shd w:fill="FFFFFF" w:val="clear"/>
          </w:tcPr>
          <w:p>
            <w:pPr>
              <w:spacing w:after="0" w:before="0" w:line="240" w:lineRule="auto"/>
              <w:jc w:val="center"/>
            </w:pPr>
            <w:r/>
            <w:r>
              <w:rPr>
                <w:rFonts w:ascii="Times New Roman" w:hAnsi="Times New Roman" w:eastAsia="Times New Roman"/>
                <w:b w:val="0"/>
                <w:sz w:val="18"/>
              </w:rPr>
              <w:t>Source inspection of Run.run_spec and scenario rows</w:t>
            </w:r>
          </w:p>
        </w:tc>
        <w:tc>
          <w:tcPr>
            <w:tcW w:type="dxa" w:w="1728"/>
            <w:shd w:fill="FFFFFF" w:val="clear"/>
          </w:tcPr>
          <w:p>
            <w:pPr>
              <w:spacing w:after="0" w:before="0" w:line="240" w:lineRule="auto"/>
              <w:jc w:val="center"/>
            </w:pPr>
            <w:r/>
            <w:r>
              <w:rPr>
                <w:rFonts w:ascii="Times New Roman" w:hAnsi="Times New Roman" w:eastAsia="Times New Roman"/>
                <w:b w:val="0"/>
                <w:sz w:val="18"/>
              </w:rPr>
              <w:t>models.py; in-process UI runs</w:t>
            </w:r>
          </w:p>
        </w:tc>
        <w:tc>
          <w:tcPr>
            <w:tcW w:type="dxa" w:w="1728"/>
            <w:shd w:fill="FFFFFF" w:val="clear"/>
          </w:tcPr>
          <w:p>
            <w:pPr>
              <w:spacing w:after="0" w:before="0" w:line="240" w:lineRule="auto"/>
              <w:jc w:val="center"/>
            </w:pPr>
            <w:r/>
            <w:r>
              <w:rPr>
                <w:rFonts w:ascii="Times New Roman" w:hAnsi="Times New Roman" w:eastAsia="Times New Roman"/>
                <w:b w:val="0"/>
                <w:sz w:val="18"/>
              </w:rPr>
              <w:t>run_spec stored pack name, prompt, candidates, seeds and fidelity labels</w:t>
            </w:r>
          </w:p>
        </w:tc>
        <w:tc>
          <w:tcPr>
            <w:tcW w:type="dxa" w:w="1728"/>
            <w:shd w:fill="FFFFFF" w:val="clear"/>
          </w:tcPr>
          <w:p>
            <w:pPr>
              <w:spacing w:after="0" w:before="0" w:line="240" w:lineRule="auto"/>
              <w:jc w:val="center"/>
            </w:pPr>
            <w:r/>
            <w:r>
              <w:rPr>
                <w:rFonts w:ascii="Times New Roman" w:hAnsi="Times New Roman" w:eastAsia="Times New Roman"/>
                <w:b w:val="0"/>
                <w:sz w:val="18"/>
              </w:rPr>
              <w:t>In-process path, not Temporal. Metric-definition versioning was not separately sealed.</w:t>
            </w:r>
          </w:p>
        </w:tc>
      </w:tr>
      <w:tr>
        <w:tc>
          <w:tcPr>
            <w:tcW w:type="dxa" w:w="1728"/>
            <w:shd w:fill="E8EEF4" w:val="clear"/>
          </w:tcPr>
          <w:p>
            <w:pPr>
              <w:spacing w:after="0" w:before="0" w:line="240" w:lineRule="auto"/>
              <w:jc w:val="left"/>
            </w:pPr>
            <w:r/>
            <w:r>
              <w:rPr>
                <w:rFonts w:ascii="Times New Roman" w:hAnsi="Times New Roman" w:eastAsia="Times New Roman"/>
                <w:b w:val="0"/>
                <w:sz w:val="18"/>
              </w:rPr>
              <w:t>Retry and idempotent persistence</w:t>
            </w:r>
          </w:p>
        </w:tc>
        <w:tc>
          <w:tcPr>
            <w:tcW w:type="dxa" w:w="1728"/>
            <w:shd w:fill="E8EEF4" w:val="clear"/>
          </w:tcPr>
          <w:p>
            <w:pPr>
              <w:spacing w:after="0" w:before="0" w:line="240" w:lineRule="auto"/>
              <w:jc w:val="center"/>
            </w:pPr>
            <w:r/>
            <w:r>
              <w:rPr>
                <w:rFonts w:ascii="Times New Roman" w:hAnsi="Times New Roman" w:eastAsia="Times New Roman"/>
                <w:b w:val="0"/>
                <w:sz w:val="18"/>
              </w:rPr>
              <w:t>Temporal RetryPolicy in SimulationRunWorkflow</w:t>
            </w:r>
          </w:p>
        </w:tc>
        <w:tc>
          <w:tcPr>
            <w:tcW w:type="dxa" w:w="1728"/>
            <w:shd w:fill="E8EEF4" w:val="clear"/>
          </w:tcPr>
          <w:p>
            <w:pPr>
              <w:spacing w:after="0" w:before="0" w:line="240" w:lineRule="auto"/>
              <w:jc w:val="center"/>
            </w:pPr>
            <w:r/>
            <w:r>
              <w:rPr>
                <w:rFonts w:ascii="Times New Roman" w:hAnsi="Times New Roman" w:eastAsia="Times New Roman"/>
                <w:b w:val="0"/>
                <w:sz w:val="18"/>
              </w:rPr>
              <w:t>simulation_run.py</w:t>
            </w:r>
          </w:p>
        </w:tc>
        <w:tc>
          <w:tcPr>
            <w:tcW w:type="dxa" w:w="1728"/>
            <w:shd w:fill="E8EEF4" w:val="clear"/>
          </w:tcPr>
          <w:p>
            <w:pPr>
              <w:spacing w:after="0" w:before="0" w:line="240" w:lineRule="auto"/>
              <w:jc w:val="center"/>
            </w:pPr>
            <w:r/>
            <w:r>
              <w:rPr>
                <w:rFonts w:ascii="Times New Roman" w:hAnsi="Times New Roman" w:eastAsia="Times New Roman"/>
                <w:b w:val="0"/>
                <w:sz w:val="18"/>
              </w:rPr>
              <w:t>Intended: maximum_attempts=3 on several activities</w:t>
            </w:r>
          </w:p>
        </w:tc>
        <w:tc>
          <w:tcPr>
            <w:tcW w:type="dxa" w:w="1728"/>
            <w:shd w:fill="E8EEF4" w:val="clear"/>
          </w:tcPr>
          <w:p>
            <w:pPr>
              <w:spacing w:after="0" w:before="0" w:line="240" w:lineRule="auto"/>
              <w:jc w:val="center"/>
            </w:pPr>
            <w:r/>
            <w:r>
              <w:rPr>
                <w:rFonts w:ascii="Times New Roman" w:hAnsi="Times New Roman" w:eastAsia="Times New Roman"/>
                <w:b w:val="0"/>
                <w:sz w:val="18"/>
              </w:rPr>
              <w:t>Not experimentally verified; Temporal was not running.</w:t>
            </w:r>
          </w:p>
        </w:tc>
      </w:tr>
      <w:tr>
        <w:tc>
          <w:tcPr>
            <w:tcW w:type="dxa" w:w="1728"/>
            <w:shd w:fill="FFFFFF" w:val="clear"/>
          </w:tcPr>
          <w:p>
            <w:pPr>
              <w:spacing w:after="0" w:before="0" w:line="240" w:lineRule="auto"/>
              <w:jc w:val="left"/>
            </w:pPr>
            <w:r/>
            <w:r>
              <w:rPr>
                <w:rFonts w:ascii="Times New Roman" w:hAnsi="Times New Roman" w:eastAsia="Times New Roman"/>
                <w:b w:val="0"/>
                <w:sz w:val="18"/>
              </w:rPr>
              <w:t>Artefact storage and report retrieval</w:t>
            </w:r>
          </w:p>
        </w:tc>
        <w:tc>
          <w:tcPr>
            <w:tcW w:type="dxa" w:w="1728"/>
            <w:shd w:fill="FFFFFF" w:val="clear"/>
          </w:tcPr>
          <w:p>
            <w:pPr>
              <w:spacing w:after="0" w:before="0" w:line="240" w:lineRule="auto"/>
              <w:jc w:val="center"/>
            </w:pPr>
            <w:r/>
            <w:r>
              <w:rPr>
                <w:rFonts w:ascii="Times New Roman" w:hAnsi="Times New Roman" w:eastAsia="Times New Roman"/>
                <w:b w:val="0"/>
                <w:sz w:val="18"/>
              </w:rPr>
              <w:t>Local PDF via pdf_builder; MinIO not running</w:t>
            </w:r>
          </w:p>
        </w:tc>
        <w:tc>
          <w:tcPr>
            <w:tcW w:type="dxa" w:w="1728"/>
            <w:shd w:fill="FFFFFF" w:val="clear"/>
          </w:tcPr>
          <w:p>
            <w:pPr>
              <w:spacing w:after="0" w:before="0" w:line="240" w:lineRule="auto"/>
              <w:jc w:val="center"/>
            </w:pPr>
            <w:r/>
            <w:r>
              <w:rPr>
                <w:rFonts w:ascii="Times New Roman" w:hAnsi="Times New Roman" w:eastAsia="Times New Roman"/>
                <w:b w:val="0"/>
                <w:sz w:val="18"/>
              </w:rPr>
              <w:t>run_toy-pack.pdf and related files under evidence/</w:t>
            </w:r>
          </w:p>
        </w:tc>
        <w:tc>
          <w:tcPr>
            <w:tcW w:type="dxa" w:w="1728"/>
            <w:shd w:fill="FFFFFF" w:val="clear"/>
          </w:tcPr>
          <w:p>
            <w:pPr>
              <w:spacing w:after="0" w:before="0" w:line="240" w:lineRule="auto"/>
              <w:jc w:val="center"/>
            </w:pPr>
            <w:r/>
            <w:r>
              <w:rPr>
                <w:rFonts w:ascii="Times New Roman" w:hAnsi="Times New Roman" w:eastAsia="Times New Roman"/>
                <w:b w:val="0"/>
                <w:sz w:val="18"/>
              </w:rPr>
              <w:t>PDFs were generated locally from run_spec</w:t>
            </w:r>
          </w:p>
        </w:tc>
        <w:tc>
          <w:tcPr>
            <w:tcW w:type="dxa" w:w="1728"/>
            <w:shd w:fill="FFFFFF" w:val="clear"/>
          </w:tcPr>
          <w:p>
            <w:pPr>
              <w:spacing w:after="0" w:before="0" w:line="240" w:lineRule="auto"/>
              <w:jc w:val="center"/>
            </w:pPr>
            <w:r/>
            <w:r>
              <w:rPr>
                <w:rFonts w:ascii="Times New Roman" w:hAnsi="Times New Roman" w:eastAsia="Times New Roman"/>
                <w:b w:val="0"/>
                <w:sz w:val="18"/>
              </w:rPr>
              <w:t>Durable object storage was not verified. A local file is not a durable artefact.</w:t>
            </w:r>
          </w:p>
        </w:tc>
      </w:tr>
      <w:tr>
        <w:tc>
          <w:tcPr>
            <w:tcW w:type="dxa" w:w="1728"/>
            <w:shd w:fill="E8EEF4" w:val="clear"/>
          </w:tcPr>
          <w:p>
            <w:pPr>
              <w:spacing w:after="0" w:before="0" w:line="240" w:lineRule="auto"/>
              <w:jc w:val="left"/>
            </w:pPr>
            <w:r/>
            <w:r>
              <w:rPr>
                <w:rFonts w:ascii="Times New Roman" w:hAnsi="Times New Roman" w:eastAsia="Times New Roman"/>
                <w:b w:val="0"/>
                <w:sz w:val="18"/>
              </w:rPr>
              <w:t>Run sealing</w:t>
            </w:r>
          </w:p>
        </w:tc>
        <w:tc>
          <w:tcPr>
            <w:tcW w:type="dxa" w:w="1728"/>
            <w:shd w:fill="E8EEF4" w:val="clear"/>
          </w:tcPr>
          <w:p>
            <w:pPr>
              <w:spacing w:after="0" w:before="0" w:line="240" w:lineRule="auto"/>
              <w:jc w:val="center"/>
            </w:pPr>
            <w:r/>
            <w:r>
              <w:rPr>
                <w:rFonts w:ascii="Times New Roman" w:hAnsi="Times New Roman" w:eastAsia="Times New Roman"/>
                <w:b w:val="0"/>
                <w:sz w:val="18"/>
              </w:rPr>
              <w:t>Read seal_run and Run model</w:t>
            </w:r>
          </w:p>
        </w:tc>
        <w:tc>
          <w:tcPr>
            <w:tcW w:type="dxa" w:w="1728"/>
            <w:shd w:fill="E8EEF4" w:val="clear"/>
          </w:tcPr>
          <w:p>
            <w:pPr>
              <w:spacing w:after="0" w:before="0" w:line="240" w:lineRule="auto"/>
              <w:jc w:val="center"/>
            </w:pPr>
            <w:r/>
            <w:r>
              <w:rPr>
                <w:rFonts w:ascii="Times New Roman" w:hAnsi="Times New Roman" w:eastAsia="Times New Roman"/>
                <w:b w:val="0"/>
                <w:sz w:val="18"/>
              </w:rPr>
              <w:t>simulation.py seal_run; no is_sealed column on runs</w:t>
            </w:r>
          </w:p>
        </w:tc>
        <w:tc>
          <w:tcPr>
            <w:tcW w:type="dxa" w:w="1728"/>
            <w:shd w:fill="E8EEF4" w:val="clear"/>
          </w:tcPr>
          <w:p>
            <w:pPr>
              <w:spacing w:after="0" w:before="0" w:line="240" w:lineRule="auto"/>
              <w:jc w:val="center"/>
            </w:pPr>
            <w:r/>
            <w:r>
              <w:rPr>
                <w:rFonts w:ascii="Times New Roman" w:hAnsi="Times New Roman" w:eastAsia="Times New Roman"/>
                <w:b w:val="0"/>
                <w:sz w:val="18"/>
              </w:rPr>
              <w:t>seal_run returns sealed True without writing the database</w:t>
            </w:r>
          </w:p>
        </w:tc>
        <w:tc>
          <w:tcPr>
            <w:tcW w:type="dxa" w:w="1728"/>
            <w:shd w:fill="E8EEF4" w:val="clear"/>
          </w:tcPr>
          <w:p>
            <w:pPr>
              <w:spacing w:after="0" w:before="0" w:line="240" w:lineRule="auto"/>
              <w:jc w:val="center"/>
            </w:pPr>
            <w:r/>
            <w:r>
              <w:rPr>
                <w:rFonts w:ascii="Times New Roman" w:hAnsi="Times New Roman" w:eastAsia="Times New Roman"/>
                <w:b w:val="0"/>
                <w:sz w:val="18"/>
              </w:rPr>
              <w:t>Completion state is not persistently protected.</w:t>
            </w:r>
          </w:p>
        </w:tc>
      </w:tr>
      <w:tr>
        <w:tc>
          <w:tcPr>
            <w:tcW w:type="dxa" w:w="1728"/>
            <w:shd w:fill="FFFFFF" w:val="clear"/>
          </w:tcPr>
          <w:p>
            <w:pPr>
              <w:spacing w:after="0" w:before="0" w:line="240" w:lineRule="auto"/>
              <w:jc w:val="left"/>
            </w:pPr>
            <w:r/>
            <w:r>
              <w:rPr>
                <w:rFonts w:ascii="Times New Roman" w:hAnsi="Times New Roman" w:eastAsia="Times New Roman"/>
                <w:b w:val="0"/>
                <w:sz w:val="18"/>
              </w:rPr>
              <w:t>Evidence provenance</w:t>
            </w:r>
          </w:p>
        </w:tc>
        <w:tc>
          <w:tcPr>
            <w:tcW w:type="dxa" w:w="1728"/>
            <w:shd w:fill="FFFFFF" w:val="clear"/>
          </w:tcPr>
          <w:p>
            <w:pPr>
              <w:spacing w:after="0" w:before="0" w:line="240" w:lineRule="auto"/>
              <w:jc w:val="center"/>
            </w:pPr>
            <w:r/>
            <w:r>
              <w:rPr>
                <w:rFonts w:ascii="Times New Roman" w:hAnsi="Times New Roman" w:eastAsia="Times New Roman"/>
                <w:b w:val="0"/>
                <w:sz w:val="18"/>
              </w:rPr>
              <w:t>Evidence pack tests plus embeddings fallback</w:t>
            </w:r>
          </w:p>
        </w:tc>
        <w:tc>
          <w:tcPr>
            <w:tcW w:type="dxa" w:w="1728"/>
            <w:shd w:fill="FFFFFF" w:val="clear"/>
          </w:tcPr>
          <w:p>
            <w:pPr>
              <w:spacing w:after="0" w:before="0" w:line="240" w:lineRule="auto"/>
              <w:jc w:val="center"/>
            </w:pPr>
            <w:r/>
            <w:r>
              <w:rPr>
                <w:rFonts w:ascii="Times New Roman" w:hAnsi="Times New Roman" w:eastAsia="Times New Roman"/>
                <w:b w:val="0"/>
                <w:sz w:val="18"/>
              </w:rPr>
              <w:t>test_evidence.py; embeddings.py</w:t>
            </w:r>
          </w:p>
        </w:tc>
        <w:tc>
          <w:tcPr>
            <w:tcW w:type="dxa" w:w="1728"/>
            <w:shd w:fill="FFFFFF" w:val="clear"/>
          </w:tcPr>
          <w:p>
            <w:pPr>
              <w:spacing w:after="0" w:before="0" w:line="240" w:lineRule="auto"/>
              <w:jc w:val="center"/>
            </w:pPr>
            <w:r/>
            <w:r>
              <w:rPr>
                <w:rFonts w:ascii="Times New Roman" w:hAnsi="Times New Roman" w:eastAsia="Times New Roman"/>
                <w:b w:val="0"/>
                <w:sz w:val="18"/>
              </w:rPr>
              <w:t>Pack assembly tests passed; zero-vector fallback remains if the model is missing</w:t>
            </w:r>
          </w:p>
        </w:tc>
        <w:tc>
          <w:tcPr>
            <w:tcW w:type="dxa" w:w="1728"/>
            <w:shd w:fill="FFFFFF" w:val="clear"/>
          </w:tcPr>
          <w:p>
            <w:pPr>
              <w:spacing w:after="0" w:before="0" w:line="240" w:lineRule="auto"/>
              <w:jc w:val="center"/>
            </w:pPr>
            <w:r/>
            <w:r>
              <w:rPr>
                <w:rFonts w:ascii="Times New Roman" w:hAnsi="Times New Roman" w:eastAsia="Times New Roman"/>
                <w:b w:val="0"/>
                <w:sz w:val="18"/>
              </w:rPr>
              <w:t>Similarity search against live Milvus was not run.</w:t>
            </w:r>
          </w:p>
        </w:tc>
      </w:tr>
      <w:tr>
        <w:tc>
          <w:tcPr>
            <w:tcW w:type="dxa" w:w="1728"/>
            <w:shd w:fill="E8EEF4" w:val="clear"/>
          </w:tcPr>
          <w:p>
            <w:pPr>
              <w:spacing w:after="0" w:before="0" w:line="240" w:lineRule="auto"/>
              <w:jc w:val="left"/>
            </w:pPr>
            <w:r/>
            <w:r>
              <w:rPr>
                <w:rFonts w:ascii="Times New Roman" w:hAnsi="Times New Roman" w:eastAsia="Times New Roman"/>
                <w:b w:val="0"/>
                <w:sz w:val="18"/>
              </w:rPr>
              <w:t>Failure reporting when a capability is unavailable</w:t>
            </w:r>
          </w:p>
        </w:tc>
        <w:tc>
          <w:tcPr>
            <w:tcW w:type="dxa" w:w="1728"/>
            <w:shd w:fill="E8EEF4" w:val="clear"/>
          </w:tcPr>
          <w:p>
            <w:pPr>
              <w:spacing w:after="0" w:before="0" w:line="240" w:lineRule="auto"/>
              <w:jc w:val="center"/>
            </w:pPr>
            <w:r/>
            <w:r>
              <w:rPr>
                <w:rFonts w:ascii="Times New Roman" w:hAnsi="Times New Roman" w:eastAsia="Times New Roman"/>
                <w:b w:val="0"/>
                <w:sz w:val="18"/>
              </w:rPr>
              <w:t>POST /api/runs/start depends on TemporalClient.connect</w:t>
            </w:r>
          </w:p>
        </w:tc>
        <w:tc>
          <w:tcPr>
            <w:tcW w:type="dxa" w:w="1728"/>
            <w:shd w:fill="E8EEF4" w:val="clear"/>
          </w:tcPr>
          <w:p>
            <w:pPr>
              <w:spacing w:after="0" w:before="0" w:line="240" w:lineRule="auto"/>
              <w:jc w:val="center"/>
            </w:pPr>
            <w:r/>
            <w:r>
              <w:rPr>
                <w:rFonts w:ascii="Times New Roman" w:hAnsi="Times New Roman" w:eastAsia="Times New Roman"/>
                <w:b w:val="0"/>
                <w:sz w:val="18"/>
              </w:rPr>
              <w:t>runs.py get_temporal_client</w:t>
            </w:r>
          </w:p>
        </w:tc>
        <w:tc>
          <w:tcPr>
            <w:tcW w:type="dxa" w:w="1728"/>
            <w:shd w:fill="E8EEF4" w:val="clear"/>
          </w:tcPr>
          <w:p>
            <w:pPr>
              <w:spacing w:after="0" w:before="0" w:line="240" w:lineRule="auto"/>
              <w:jc w:val="center"/>
            </w:pPr>
            <w:r/>
            <w:r>
              <w:rPr>
                <w:rFonts w:ascii="Times New Roman" w:hAnsi="Times New Roman" w:eastAsia="Times New Roman"/>
                <w:b w:val="0"/>
                <w:sz w:val="18"/>
              </w:rPr>
              <w:t>Without Temporal the start endpoint cannot be resolved</w:t>
            </w:r>
          </w:p>
        </w:tc>
        <w:tc>
          <w:tcPr>
            <w:tcW w:type="dxa" w:w="1728"/>
            <w:shd w:fill="E8EEF4" w:val="clear"/>
          </w:tcPr>
          <w:p>
            <w:pPr>
              <w:spacing w:after="0" w:before="0" w:line="240" w:lineRule="auto"/>
              <w:jc w:val="center"/>
            </w:pPr>
            <w:r/>
            <w:r>
              <w:rPr>
                <w:rFonts w:ascii="Times New Roman" w:hAnsi="Times New Roman" w:eastAsia="Times New Roman"/>
                <w:b w:val="0"/>
                <w:sz w:val="18"/>
              </w:rPr>
              <w:t>The UI was not used to submit a live run, so the user-visible error path was not photographed.</w:t>
            </w:r>
          </w:p>
        </w:tc>
      </w:tr>
    </w:tbl>
    <w:p>
      <w:pPr>
        <w:keepNext w:val="0"/>
        <w:keepLines w:val="0"/>
        <w:widowControl/>
        <w:spacing w:after="120" w:before="0" w:line="240" w:lineRule="auto"/>
        <w:jc w:val="both"/>
      </w:pPr>
    </w:p>
    <w:p>
      <w:pPr>
        <w:keepNext w:val="0"/>
        <w:keepLines w:val="0"/>
        <w:widowControl/>
        <w:spacing w:after="120" w:before="0" w:line="360" w:lineRule="auto"/>
        <w:jc w:val="both"/>
      </w:pPr>
      <w:r>
        <w:rPr>
          <w:rFonts w:ascii="Times New Roman" w:hAnsi="Times New Roman" w:eastAsia="Times New Roman"/>
          <w:b w:val="0"/>
          <w:sz w:val="24"/>
        </w:rPr>
        <w:t>libs/ledger/gsip_ledger/hashing.py implements a canonical JSON encoding and SHA-256 helpers, and the unit tests for deterministic hashing passed. Dataset versions have an is_immutable column; runs do not. The comment in seal_run states that the activity would set is_sealed, but the function does not update any row. The test demonstrated exact numerical repeatability for one evolutionary configuration. The available evidence does not establish full computational reproducibility of a Temporal-orchestrated decision experiment, because that path was not executed and because artefacts were not stored in MinIO.</w:t>
      </w:r>
    </w:p>
    <w:p>
      <w:pPr>
        <w:pStyle w:val="Heading2"/>
      </w:pPr>
      <w:r>
        <w:t>4.5 Software quality and security</w:t>
      </w:r>
    </w:p>
    <w:p>
      <w:pPr>
        <w:keepNext w:val="0"/>
        <w:keepLines w:val="0"/>
        <w:widowControl/>
        <w:spacing w:after="120" w:before="0" w:line="360" w:lineRule="auto"/>
        <w:jc w:val="both"/>
      </w:pPr>
      <w:r>
        <w:rPr>
          <w:rFonts w:ascii="Times New Roman" w:hAnsi="Times New Roman" w:eastAsia="Times New Roman"/>
          <w:b w:val="0"/>
          <w:sz w:val="24"/>
        </w:rPr>
        <w:t>Findings were judged against ISO/IEC 25010:2023 quality characteristics (ISO/IEC, 2023), the NIST AI Risk Management Framework (NIST, 2023), the NIST Generative AI Profile (NIST, 2024), the OWASP API Security Top 10 (OWASP, 2023), and the provenance principles already used in the literature review. Status values are met, partially met, not met or not evaluated. None of these defects changed the analytic benchmark numbers, which do not use the HTTP API. Several of them would weaken evidence integrity or cross-organisation isolation if the platform were used for real decisions.</w:t>
      </w:r>
    </w:p>
    <w:p>
      <w:pPr>
        <w:keepNext w:val="0"/>
        <w:keepLines w:val="0"/>
        <w:widowControl/>
        <w:spacing w:after="60" w:before="0" w:line="276" w:lineRule="auto"/>
        <w:jc w:val="center"/>
      </w:pPr>
      <w:r>
        <w:rPr>
          <w:rFonts w:ascii="Times New Roman" w:hAnsi="Times New Roman" w:eastAsia="Times New Roman"/>
          <w:b/>
          <w:sz w:val="20"/>
        </w:rPr>
        <w:t>Table 4.5. Prioritised quality and security findings from tests and source inspection.</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shd w:fill="1F4E79" w:val="clear"/>
          </w:tcPr>
          <w:p>
            <w:pPr>
              <w:spacing w:after="0" w:before="0" w:line="240" w:lineRule="auto"/>
              <w:jc w:val="center"/>
            </w:pPr>
            <w:r/>
            <w:r>
              <w:rPr>
                <w:rFonts w:ascii="Times New Roman" w:hAnsi="Times New Roman" w:eastAsia="Times New Roman"/>
                <w:b/>
                <w:color w:val="FFFFFF"/>
                <w:sz w:val="18"/>
              </w:rPr>
              <w:t>ID</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Quality or security concern</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Evidence</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Status</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Severity</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Consequence</w:t>
            </w:r>
          </w:p>
        </w:tc>
        <w:tc>
          <w:tcPr>
            <w:tcW w:type="dxa" w:w="1234"/>
            <w:shd w:fill="1F4E79" w:val="clear"/>
          </w:tcPr>
          <w:p>
            <w:pPr>
              <w:spacing w:after="0" w:before="0" w:line="240" w:lineRule="auto"/>
              <w:jc w:val="center"/>
            </w:pPr>
            <w:r/>
            <w:r>
              <w:rPr>
                <w:rFonts w:ascii="Times New Roman" w:hAnsi="Times New Roman" w:eastAsia="Times New Roman"/>
                <w:b/>
                <w:color w:val="FFFFFF"/>
                <w:sz w:val="18"/>
              </w:rPr>
              <w:t>Recommendation</w:t>
            </w:r>
          </w:p>
        </w:tc>
      </w:tr>
      <w:tr>
        <w:tc>
          <w:tcPr>
            <w:tcW w:type="dxa" w:w="1234"/>
            <w:shd w:fill="E8EEF4" w:val="clear"/>
          </w:tcPr>
          <w:p>
            <w:pPr>
              <w:spacing w:after="0" w:before="0" w:line="240" w:lineRule="auto"/>
              <w:jc w:val="left"/>
            </w:pPr>
            <w:r/>
            <w:r>
              <w:rPr>
                <w:rFonts w:ascii="Times New Roman" w:hAnsi="Times New Roman" w:eastAsia="Times New Roman"/>
                <w:b w:val="0"/>
                <w:sz w:val="18"/>
              </w:rPr>
              <w:t>Q1</w:t>
            </w:r>
          </w:p>
        </w:tc>
        <w:tc>
          <w:tcPr>
            <w:tcW w:type="dxa" w:w="1234"/>
            <w:shd w:fill="E8EEF4" w:val="clear"/>
          </w:tcPr>
          <w:p>
            <w:pPr>
              <w:spacing w:after="0" w:before="0" w:line="240" w:lineRule="auto"/>
              <w:jc w:val="center"/>
            </w:pPr>
            <w:r/>
            <w:r>
              <w:rPr>
                <w:rFonts w:ascii="Times New Roman" w:hAnsi="Times New Roman" w:eastAsia="Times New Roman"/>
                <w:b w:val="0"/>
                <w:sz w:val="18"/>
              </w:rPr>
              <w:t>Run sealing and persistent immutability</w:t>
            </w:r>
          </w:p>
        </w:tc>
        <w:tc>
          <w:tcPr>
            <w:tcW w:type="dxa" w:w="1234"/>
            <w:shd w:fill="E8EEF4" w:val="clear"/>
          </w:tcPr>
          <w:p>
            <w:pPr>
              <w:spacing w:after="0" w:before="0" w:line="240" w:lineRule="auto"/>
              <w:jc w:val="center"/>
            </w:pPr>
            <w:r/>
            <w:r>
              <w:rPr>
                <w:rFonts w:ascii="Times New Roman" w:hAnsi="Times New Roman" w:eastAsia="Times New Roman"/>
                <w:b w:val="0"/>
                <w:sz w:val="18"/>
              </w:rPr>
              <w:t>seal_run returns sealed True; runs table has no is_sealed</w:t>
            </w:r>
          </w:p>
        </w:tc>
        <w:tc>
          <w:tcPr>
            <w:tcW w:type="dxa" w:w="1234"/>
            <w:shd w:fill="E8EEF4" w:val="clear"/>
          </w:tcPr>
          <w:p>
            <w:pPr>
              <w:spacing w:after="0" w:before="0" w:line="240" w:lineRule="auto"/>
              <w:jc w:val="center"/>
            </w:pPr>
            <w:r/>
            <w:r>
              <w:rPr>
                <w:rFonts w:ascii="Times New Roman" w:hAnsi="Times New Roman" w:eastAsia="Times New Roman"/>
                <w:b w:val="0"/>
                <w:sz w:val="18"/>
              </w:rPr>
              <w:t>Not met</w:t>
            </w:r>
          </w:p>
        </w:tc>
        <w:tc>
          <w:tcPr>
            <w:tcW w:type="dxa" w:w="1234"/>
            <w:shd w:fill="E8EEF4" w:val="clear"/>
          </w:tcPr>
          <w:p>
            <w:pPr>
              <w:spacing w:after="0" w:before="0" w:line="240" w:lineRule="auto"/>
              <w:jc w:val="center"/>
            </w:pPr>
            <w:r/>
            <w:r>
              <w:rPr>
                <w:rFonts w:ascii="Times New Roman" w:hAnsi="Times New Roman" w:eastAsia="Times New Roman"/>
                <w:b w:val="0"/>
                <w:sz w:val="18"/>
              </w:rPr>
              <w:t>High</w:t>
            </w:r>
          </w:p>
        </w:tc>
        <w:tc>
          <w:tcPr>
            <w:tcW w:type="dxa" w:w="1234"/>
            <w:shd w:fill="E8EEF4" w:val="clear"/>
          </w:tcPr>
          <w:p>
            <w:pPr>
              <w:spacing w:after="0" w:before="0" w:line="240" w:lineRule="auto"/>
              <w:jc w:val="center"/>
            </w:pPr>
            <w:r/>
            <w:r>
              <w:rPr>
                <w:rFonts w:ascii="Times New Roman" w:hAnsi="Times New Roman" w:eastAsia="Times New Roman"/>
                <w:b w:val="0"/>
                <w:sz w:val="18"/>
              </w:rPr>
              <w:t>A completed run_spec can be overwritten; audit reports can change after the fact.</w:t>
            </w:r>
          </w:p>
        </w:tc>
        <w:tc>
          <w:tcPr>
            <w:tcW w:type="dxa" w:w="1234"/>
            <w:shd w:fill="E8EEF4" w:val="clear"/>
          </w:tcPr>
          <w:p>
            <w:pPr>
              <w:spacing w:after="0" w:before="0" w:line="240" w:lineRule="auto"/>
              <w:jc w:val="center"/>
            </w:pPr>
            <w:r/>
            <w:r>
              <w:rPr>
                <w:rFonts w:ascii="Times New Roman" w:hAnsi="Times New Roman" w:eastAsia="Times New Roman"/>
                <w:b w:val="0"/>
                <w:sz w:val="18"/>
              </w:rPr>
              <w:t>Persist a sealed flag and reject mutations after completion.</w:t>
            </w:r>
          </w:p>
        </w:tc>
      </w:tr>
      <w:tr>
        <w:tc>
          <w:tcPr>
            <w:tcW w:type="dxa" w:w="1234"/>
            <w:shd w:fill="FFFFFF" w:val="clear"/>
          </w:tcPr>
          <w:p>
            <w:pPr>
              <w:spacing w:after="0" w:before="0" w:line="240" w:lineRule="auto"/>
              <w:jc w:val="left"/>
            </w:pPr>
            <w:r/>
            <w:r>
              <w:rPr>
                <w:rFonts w:ascii="Times New Roman" w:hAnsi="Times New Roman" w:eastAsia="Times New Roman"/>
                <w:b w:val="0"/>
                <w:sz w:val="18"/>
              </w:rPr>
              <w:t>Q2</w:t>
            </w:r>
          </w:p>
        </w:tc>
        <w:tc>
          <w:tcPr>
            <w:tcW w:type="dxa" w:w="1234"/>
            <w:shd w:fill="FFFFFF" w:val="clear"/>
          </w:tcPr>
          <w:p>
            <w:pPr>
              <w:spacing w:after="0" w:before="0" w:line="240" w:lineRule="auto"/>
              <w:jc w:val="center"/>
            </w:pPr>
            <w:r/>
            <w:r>
              <w:rPr>
                <w:rFonts w:ascii="Times New Roman" w:hAnsi="Times New Roman" w:eastAsia="Times New Roman"/>
                <w:b w:val="0"/>
                <w:sz w:val="18"/>
              </w:rPr>
              <w:t>Evidence-pack completeness</w:t>
            </w:r>
          </w:p>
        </w:tc>
        <w:tc>
          <w:tcPr>
            <w:tcW w:type="dxa" w:w="1234"/>
            <w:shd w:fill="FFFFFF" w:val="clear"/>
          </w:tcPr>
          <w:p>
            <w:pPr>
              <w:spacing w:after="0" w:before="0" w:line="240" w:lineRule="auto"/>
              <w:jc w:val="center"/>
            </w:pPr>
            <w:r/>
            <w:r>
              <w:rPr>
                <w:rFonts w:ascii="Times New Roman" w:hAnsi="Times New Roman" w:eastAsia="Times New Roman"/>
                <w:b w:val="0"/>
                <w:sz w:val="18"/>
              </w:rPr>
              <w:t>Unit tests for pack assembly; live retrieval not run</w:t>
            </w:r>
          </w:p>
        </w:tc>
        <w:tc>
          <w:tcPr>
            <w:tcW w:type="dxa" w:w="1234"/>
            <w:shd w:fill="FFFFFF" w:val="clear"/>
          </w:tcPr>
          <w:p>
            <w:pPr>
              <w:spacing w:after="0" w:before="0" w:line="240" w:lineRule="auto"/>
              <w:jc w:val="center"/>
            </w:pPr>
            <w:r/>
            <w:r>
              <w:rPr>
                <w:rFonts w:ascii="Times New Roman" w:hAnsi="Times New Roman" w:eastAsia="Times New Roman"/>
                <w:b w:val="0"/>
                <w:sz w:val="18"/>
              </w:rPr>
              <w:t>Partially met</w:t>
            </w:r>
          </w:p>
        </w:tc>
        <w:tc>
          <w:tcPr>
            <w:tcW w:type="dxa" w:w="1234"/>
            <w:shd w:fill="FFFFFF" w:val="clear"/>
          </w:tcPr>
          <w:p>
            <w:pPr>
              <w:spacing w:after="0" w:before="0" w:line="240" w:lineRule="auto"/>
              <w:jc w:val="center"/>
            </w:pPr>
            <w:r/>
            <w:r>
              <w:rPr>
                <w:rFonts w:ascii="Times New Roman" w:hAnsi="Times New Roman" w:eastAsia="Times New Roman"/>
                <w:b w:val="0"/>
                <w:sz w:val="18"/>
              </w:rPr>
              <w:t>Medium</w:t>
            </w:r>
          </w:p>
        </w:tc>
        <w:tc>
          <w:tcPr>
            <w:tcW w:type="dxa" w:w="1234"/>
            <w:shd w:fill="FFFFFF" w:val="clear"/>
          </w:tcPr>
          <w:p>
            <w:pPr>
              <w:spacing w:after="0" w:before="0" w:line="240" w:lineRule="auto"/>
              <w:jc w:val="center"/>
            </w:pPr>
            <w:r/>
            <w:r>
              <w:rPr>
                <w:rFonts w:ascii="Times New Roman" w:hAnsi="Times New Roman" w:eastAsia="Times New Roman"/>
                <w:b w:val="0"/>
                <w:sz w:val="18"/>
              </w:rPr>
              <w:t>Reports may cite packs that were never retrieved from a durable store.</w:t>
            </w:r>
          </w:p>
        </w:tc>
        <w:tc>
          <w:tcPr>
            <w:tcW w:type="dxa" w:w="1234"/>
            <w:shd w:fill="FFFFFF" w:val="clear"/>
          </w:tcPr>
          <w:p>
            <w:pPr>
              <w:spacing w:after="0" w:before="0" w:line="240" w:lineRule="auto"/>
              <w:jc w:val="center"/>
            </w:pPr>
            <w:r/>
            <w:r>
              <w:rPr>
                <w:rFonts w:ascii="Times New Roman" w:hAnsi="Times New Roman" w:eastAsia="Times New Roman"/>
                <w:b w:val="0"/>
                <w:sz w:val="18"/>
              </w:rPr>
              <w:t>Require pack persistence and fail the run if retrieval is empty.</w:t>
            </w:r>
          </w:p>
        </w:tc>
      </w:tr>
      <w:tr>
        <w:tc>
          <w:tcPr>
            <w:tcW w:type="dxa" w:w="1234"/>
            <w:shd w:fill="E8EEF4" w:val="clear"/>
          </w:tcPr>
          <w:p>
            <w:pPr>
              <w:spacing w:after="0" w:before="0" w:line="240" w:lineRule="auto"/>
              <w:jc w:val="left"/>
            </w:pPr>
            <w:r/>
            <w:r>
              <w:rPr>
                <w:rFonts w:ascii="Times New Roman" w:hAnsi="Times New Roman" w:eastAsia="Times New Roman"/>
                <w:b w:val="0"/>
                <w:sz w:val="18"/>
              </w:rPr>
              <w:t>Q3</w:t>
            </w:r>
          </w:p>
        </w:tc>
        <w:tc>
          <w:tcPr>
            <w:tcW w:type="dxa" w:w="1234"/>
            <w:shd w:fill="E8EEF4" w:val="clear"/>
          </w:tcPr>
          <w:p>
            <w:pPr>
              <w:spacing w:after="0" w:before="0" w:line="240" w:lineRule="auto"/>
              <w:jc w:val="center"/>
            </w:pPr>
            <w:r/>
            <w:r>
              <w:rPr>
                <w:rFonts w:ascii="Times New Roman" w:hAnsi="Times New Roman" w:eastAsia="Times New Roman"/>
                <w:b w:val="0"/>
                <w:sz w:val="18"/>
              </w:rPr>
              <w:t>Similarity search and zero-vector embedding fallback</w:t>
            </w:r>
          </w:p>
        </w:tc>
        <w:tc>
          <w:tcPr>
            <w:tcW w:type="dxa" w:w="1234"/>
            <w:shd w:fill="E8EEF4" w:val="clear"/>
          </w:tcPr>
          <w:p>
            <w:pPr>
              <w:spacing w:after="0" w:before="0" w:line="240" w:lineRule="auto"/>
              <w:jc w:val="center"/>
            </w:pPr>
            <w:r/>
            <w:r>
              <w:rPr>
                <w:rFonts w:ascii="Times New Roman" w:hAnsi="Times New Roman" w:eastAsia="Times New Roman"/>
                <w:b w:val="0"/>
                <w:sz w:val="18"/>
              </w:rPr>
              <w:t>embeddings.py returns [0.0] * dimension when the model is missing</w:t>
            </w:r>
          </w:p>
        </w:tc>
        <w:tc>
          <w:tcPr>
            <w:tcW w:type="dxa" w:w="1234"/>
            <w:shd w:fill="E8EEF4" w:val="clear"/>
          </w:tcPr>
          <w:p>
            <w:pPr>
              <w:spacing w:after="0" w:before="0" w:line="240" w:lineRule="auto"/>
              <w:jc w:val="center"/>
            </w:pPr>
            <w:r/>
            <w:r>
              <w:rPr>
                <w:rFonts w:ascii="Times New Roman" w:hAnsi="Times New Roman" w:eastAsia="Times New Roman"/>
                <w:b w:val="0"/>
                <w:sz w:val="18"/>
              </w:rPr>
              <w:t>Not met</w:t>
            </w:r>
          </w:p>
        </w:tc>
        <w:tc>
          <w:tcPr>
            <w:tcW w:type="dxa" w:w="1234"/>
            <w:shd w:fill="E8EEF4" w:val="clear"/>
          </w:tcPr>
          <w:p>
            <w:pPr>
              <w:spacing w:after="0" w:before="0" w:line="240" w:lineRule="auto"/>
              <w:jc w:val="center"/>
            </w:pPr>
            <w:r/>
            <w:r>
              <w:rPr>
                <w:rFonts w:ascii="Times New Roman" w:hAnsi="Times New Roman" w:eastAsia="Times New Roman"/>
                <w:b w:val="0"/>
                <w:sz w:val="18"/>
              </w:rPr>
              <w:t>High</w:t>
            </w:r>
          </w:p>
        </w:tc>
        <w:tc>
          <w:tcPr>
            <w:tcW w:type="dxa" w:w="1234"/>
            <w:shd w:fill="E8EEF4" w:val="clear"/>
          </w:tcPr>
          <w:p>
            <w:pPr>
              <w:spacing w:after="0" w:before="0" w:line="240" w:lineRule="auto"/>
              <w:jc w:val="center"/>
            </w:pPr>
            <w:r/>
            <w:r>
              <w:rPr>
                <w:rFonts w:ascii="Times New Roman" w:hAnsi="Times New Roman" w:eastAsia="Times New Roman"/>
                <w:b w:val="0"/>
                <w:sz w:val="18"/>
              </w:rPr>
              <w:t>All chunks become identical; search ranking is meaningless without an error.</w:t>
            </w:r>
          </w:p>
        </w:tc>
        <w:tc>
          <w:tcPr>
            <w:tcW w:type="dxa" w:w="1234"/>
            <w:shd w:fill="E8EEF4" w:val="clear"/>
          </w:tcPr>
          <w:p>
            <w:pPr>
              <w:spacing w:after="0" w:before="0" w:line="240" w:lineRule="auto"/>
              <w:jc w:val="center"/>
            </w:pPr>
            <w:r/>
            <w:r>
              <w:rPr>
                <w:rFonts w:ascii="Times New Roman" w:hAnsi="Times New Roman" w:eastAsia="Times New Roman"/>
                <w:b w:val="0"/>
                <w:sz w:val="18"/>
              </w:rPr>
              <w:t>Refuse embedding rather than returning a zero vector.</w:t>
            </w:r>
          </w:p>
        </w:tc>
      </w:tr>
      <w:tr>
        <w:tc>
          <w:tcPr>
            <w:tcW w:type="dxa" w:w="1234"/>
            <w:shd w:fill="FFFFFF" w:val="clear"/>
          </w:tcPr>
          <w:p>
            <w:pPr>
              <w:spacing w:after="0" w:before="0" w:line="240" w:lineRule="auto"/>
              <w:jc w:val="left"/>
            </w:pPr>
            <w:r/>
            <w:r>
              <w:rPr>
                <w:rFonts w:ascii="Times New Roman" w:hAnsi="Times New Roman" w:eastAsia="Times New Roman"/>
                <w:b w:val="0"/>
                <w:sz w:val="18"/>
              </w:rPr>
              <w:t>Q4</w:t>
            </w:r>
          </w:p>
        </w:tc>
        <w:tc>
          <w:tcPr>
            <w:tcW w:type="dxa" w:w="1234"/>
            <w:shd w:fill="FFFFFF" w:val="clear"/>
          </w:tcPr>
          <w:p>
            <w:pPr>
              <w:spacing w:after="0" w:before="0" w:line="240" w:lineRule="auto"/>
              <w:jc w:val="center"/>
            </w:pPr>
            <w:r/>
            <w:r>
              <w:rPr>
                <w:rFonts w:ascii="Times New Roman" w:hAnsi="Times New Roman" w:eastAsia="Times New Roman"/>
                <w:b w:val="0"/>
                <w:sz w:val="18"/>
              </w:rPr>
              <w:t>Simulation-isolation fallback</w:t>
            </w:r>
          </w:p>
        </w:tc>
        <w:tc>
          <w:tcPr>
            <w:tcW w:type="dxa" w:w="1234"/>
            <w:shd w:fill="FFFFFF" w:val="clear"/>
          </w:tcPr>
          <w:p>
            <w:pPr>
              <w:spacing w:after="0" w:before="0" w:line="240" w:lineRule="auto"/>
              <w:jc w:val="center"/>
            </w:pPr>
            <w:r/>
            <w:r>
              <w:rPr>
                <w:rFonts w:ascii="Times New Roman" w:hAnsi="Times New Roman" w:eastAsia="Times New Roman"/>
                <w:b w:val="0"/>
                <w:sz w:val="18"/>
              </w:rPr>
              <w:t>DEFAULT_ISOLATION_MODE is none; ContainerIsolation falls back to NoIsolation</w:t>
            </w:r>
          </w:p>
        </w:tc>
        <w:tc>
          <w:tcPr>
            <w:tcW w:type="dxa" w:w="1234"/>
            <w:shd w:fill="FFFFFF" w:val="clear"/>
          </w:tcPr>
          <w:p>
            <w:pPr>
              <w:spacing w:after="0" w:before="0" w:line="240" w:lineRule="auto"/>
              <w:jc w:val="center"/>
            </w:pPr>
            <w:r/>
            <w:r>
              <w:rPr>
                <w:rFonts w:ascii="Times New Roman" w:hAnsi="Times New Roman" w:eastAsia="Times New Roman"/>
                <w:b w:val="0"/>
                <w:sz w:val="18"/>
              </w:rPr>
              <w:t>Not met</w:t>
            </w:r>
          </w:p>
        </w:tc>
        <w:tc>
          <w:tcPr>
            <w:tcW w:type="dxa" w:w="1234"/>
            <w:shd w:fill="FFFFFF" w:val="clear"/>
          </w:tcPr>
          <w:p>
            <w:pPr>
              <w:spacing w:after="0" w:before="0" w:line="240" w:lineRule="auto"/>
              <w:jc w:val="center"/>
            </w:pPr>
            <w:r/>
            <w:r>
              <w:rPr>
                <w:rFonts w:ascii="Times New Roman" w:hAnsi="Times New Roman" w:eastAsia="Times New Roman"/>
                <w:b w:val="0"/>
                <w:sz w:val="18"/>
              </w:rPr>
              <w:t>High</w:t>
            </w:r>
          </w:p>
        </w:tc>
        <w:tc>
          <w:tcPr>
            <w:tcW w:type="dxa" w:w="1234"/>
            <w:shd w:fill="FFFFFF" w:val="clear"/>
          </w:tcPr>
          <w:p>
            <w:pPr>
              <w:spacing w:after="0" w:before="0" w:line="240" w:lineRule="auto"/>
              <w:jc w:val="center"/>
            </w:pPr>
            <w:r/>
            <w:r>
              <w:rPr>
                <w:rFonts w:ascii="Times New Roman" w:hAnsi="Times New Roman" w:eastAsia="Times New Roman"/>
                <w:b w:val="0"/>
                <w:sz w:val="18"/>
              </w:rPr>
              <w:t>Pack code runs in-process. A hostile pack can touch the host.</w:t>
            </w:r>
          </w:p>
        </w:tc>
        <w:tc>
          <w:tcPr>
            <w:tcW w:type="dxa" w:w="1234"/>
            <w:shd w:fill="FFFFFF" w:val="clear"/>
          </w:tcPr>
          <w:p>
            <w:pPr>
              <w:spacing w:after="0" w:before="0" w:line="240" w:lineRule="auto"/>
              <w:jc w:val="center"/>
            </w:pPr>
            <w:r/>
            <w:r>
              <w:rPr>
                <w:rFonts w:ascii="Times New Roman" w:hAnsi="Times New Roman" w:eastAsia="Times New Roman"/>
                <w:b w:val="0"/>
                <w:sz w:val="18"/>
              </w:rPr>
              <w:t>Fail closed when container isolation is requested but unavailable.</w:t>
            </w:r>
          </w:p>
        </w:tc>
      </w:tr>
      <w:tr>
        <w:tc>
          <w:tcPr>
            <w:tcW w:type="dxa" w:w="1234"/>
            <w:shd w:fill="E8EEF4" w:val="clear"/>
          </w:tcPr>
          <w:p>
            <w:pPr>
              <w:spacing w:after="0" w:before="0" w:line="240" w:lineRule="auto"/>
              <w:jc w:val="left"/>
            </w:pPr>
            <w:r/>
            <w:r>
              <w:rPr>
                <w:rFonts w:ascii="Times New Roman" w:hAnsi="Times New Roman" w:eastAsia="Times New Roman"/>
                <w:b w:val="0"/>
                <w:sz w:val="18"/>
              </w:rPr>
              <w:t>Q5</w:t>
            </w:r>
          </w:p>
        </w:tc>
        <w:tc>
          <w:tcPr>
            <w:tcW w:type="dxa" w:w="1234"/>
            <w:shd w:fill="E8EEF4" w:val="clear"/>
          </w:tcPr>
          <w:p>
            <w:pPr>
              <w:spacing w:after="0" w:before="0" w:line="240" w:lineRule="auto"/>
              <w:jc w:val="center"/>
            </w:pPr>
            <w:r/>
            <w:r>
              <w:rPr>
                <w:rFonts w:ascii="Times New Roman" w:hAnsi="Times New Roman" w:eastAsia="Times New Roman"/>
                <w:b w:val="0"/>
                <w:sz w:val="18"/>
              </w:rPr>
              <w:t>Authentication through identity headers</w:t>
            </w:r>
          </w:p>
        </w:tc>
        <w:tc>
          <w:tcPr>
            <w:tcW w:type="dxa" w:w="1234"/>
            <w:shd w:fill="E8EEF4" w:val="clear"/>
          </w:tcPr>
          <w:p>
            <w:pPr>
              <w:spacing w:after="0" w:before="0" w:line="240" w:lineRule="auto"/>
              <w:jc w:val="center"/>
            </w:pPr>
            <w:r/>
            <w:r>
              <w:rPr>
                <w:rFonts w:ascii="Times New Roman" w:hAnsi="Times New Roman" w:eastAsia="Times New Roman"/>
                <w:b w:val="0"/>
                <w:sz w:val="18"/>
              </w:rPr>
              <w:t>get_current_user trusts X-User-Id; GSIP_DEMO_AUTH defaults true</w:t>
            </w:r>
          </w:p>
        </w:tc>
        <w:tc>
          <w:tcPr>
            <w:tcW w:type="dxa" w:w="1234"/>
            <w:shd w:fill="E8EEF4" w:val="clear"/>
          </w:tcPr>
          <w:p>
            <w:pPr>
              <w:spacing w:after="0" w:before="0" w:line="240" w:lineRule="auto"/>
              <w:jc w:val="center"/>
            </w:pPr>
            <w:r/>
            <w:r>
              <w:rPr>
                <w:rFonts w:ascii="Times New Roman" w:hAnsi="Times New Roman" w:eastAsia="Times New Roman"/>
                <w:b w:val="0"/>
                <w:sz w:val="18"/>
              </w:rPr>
              <w:t>Partially met</w:t>
            </w:r>
          </w:p>
        </w:tc>
        <w:tc>
          <w:tcPr>
            <w:tcW w:type="dxa" w:w="1234"/>
            <w:shd w:fill="E8EEF4" w:val="clear"/>
          </w:tcPr>
          <w:p>
            <w:pPr>
              <w:spacing w:after="0" w:before="0" w:line="240" w:lineRule="auto"/>
              <w:jc w:val="center"/>
            </w:pPr>
            <w:r/>
            <w:r>
              <w:rPr>
                <w:rFonts w:ascii="Times New Roman" w:hAnsi="Times New Roman" w:eastAsia="Times New Roman"/>
                <w:b w:val="0"/>
                <w:sz w:val="18"/>
              </w:rPr>
              <w:t>High</w:t>
            </w:r>
          </w:p>
        </w:tc>
        <w:tc>
          <w:tcPr>
            <w:tcW w:type="dxa" w:w="1234"/>
            <w:shd w:fill="E8EEF4" w:val="clear"/>
          </w:tcPr>
          <w:p>
            <w:pPr>
              <w:spacing w:after="0" w:before="0" w:line="240" w:lineRule="auto"/>
              <w:jc w:val="center"/>
            </w:pPr>
            <w:r/>
            <w:r>
              <w:rPr>
                <w:rFonts w:ascii="Times New Roman" w:hAnsi="Times New Roman" w:eastAsia="Times New Roman"/>
                <w:b w:val="0"/>
                <w:sz w:val="18"/>
              </w:rPr>
              <w:t>Any caller who knows a user UUID can impersonate that user if demo auth is left on.</w:t>
            </w:r>
          </w:p>
        </w:tc>
        <w:tc>
          <w:tcPr>
            <w:tcW w:type="dxa" w:w="1234"/>
            <w:shd w:fill="E8EEF4" w:val="clear"/>
          </w:tcPr>
          <w:p>
            <w:pPr>
              <w:spacing w:after="0" w:before="0" w:line="240" w:lineRule="auto"/>
              <w:jc w:val="center"/>
            </w:pPr>
            <w:r/>
            <w:r>
              <w:rPr>
                <w:rFonts w:ascii="Times New Roman" w:hAnsi="Times New Roman" w:eastAsia="Times New Roman"/>
                <w:b w:val="0"/>
                <w:sz w:val="18"/>
              </w:rPr>
              <w:t>Default GSIP_DEMO_AUTH to false and require a verified session.</w:t>
            </w:r>
          </w:p>
        </w:tc>
      </w:tr>
      <w:tr>
        <w:tc>
          <w:tcPr>
            <w:tcW w:type="dxa" w:w="1234"/>
            <w:shd w:fill="FFFFFF" w:val="clear"/>
          </w:tcPr>
          <w:p>
            <w:pPr>
              <w:spacing w:after="0" w:before="0" w:line="240" w:lineRule="auto"/>
              <w:jc w:val="left"/>
            </w:pPr>
            <w:r/>
            <w:r>
              <w:rPr>
                <w:rFonts w:ascii="Times New Roman" w:hAnsi="Times New Roman" w:eastAsia="Times New Roman"/>
                <w:b w:val="0"/>
                <w:sz w:val="18"/>
              </w:rPr>
              <w:t>Q6</w:t>
            </w:r>
          </w:p>
        </w:tc>
        <w:tc>
          <w:tcPr>
            <w:tcW w:type="dxa" w:w="1234"/>
            <w:shd w:fill="FFFFFF" w:val="clear"/>
          </w:tcPr>
          <w:p>
            <w:pPr>
              <w:spacing w:after="0" w:before="0" w:line="240" w:lineRule="auto"/>
              <w:jc w:val="center"/>
            </w:pPr>
            <w:r/>
            <w:r>
              <w:rPr>
                <w:rFonts w:ascii="Times New Roman" w:hAnsi="Times New Roman" w:eastAsia="Times New Roman"/>
                <w:b w:val="0"/>
                <w:sz w:val="18"/>
              </w:rPr>
              <w:t>Organisation-level authorisation</w:t>
            </w:r>
          </w:p>
        </w:tc>
        <w:tc>
          <w:tcPr>
            <w:tcW w:type="dxa" w:w="1234"/>
            <w:shd w:fill="FFFFFF" w:val="clear"/>
          </w:tcPr>
          <w:p>
            <w:pPr>
              <w:spacing w:after="0" w:before="0" w:line="240" w:lineRule="auto"/>
              <w:jc w:val="center"/>
            </w:pPr>
            <w:r/>
            <w:r>
              <w:rPr>
                <w:rFonts w:ascii="Times New Roman" w:hAnsi="Times New Roman" w:eastAsia="Times New Roman"/>
                <w:b w:val="0"/>
                <w:sz w:val="18"/>
              </w:rPr>
              <w:t>test_auth_membership.py; membership check in auth.py</w:t>
            </w:r>
          </w:p>
        </w:tc>
        <w:tc>
          <w:tcPr>
            <w:tcW w:type="dxa" w:w="1234"/>
            <w:shd w:fill="FFFFFF" w:val="clear"/>
          </w:tcPr>
          <w:p>
            <w:pPr>
              <w:spacing w:after="0" w:before="0" w:line="240" w:lineRule="auto"/>
              <w:jc w:val="center"/>
            </w:pPr>
            <w:r/>
            <w:r>
              <w:rPr>
                <w:rFonts w:ascii="Times New Roman" w:hAnsi="Times New Roman" w:eastAsia="Times New Roman"/>
                <w:b w:val="0"/>
                <w:sz w:val="18"/>
              </w:rPr>
              <w:t>Partially met</w:t>
            </w:r>
          </w:p>
        </w:tc>
        <w:tc>
          <w:tcPr>
            <w:tcW w:type="dxa" w:w="1234"/>
            <w:shd w:fill="FFFFFF" w:val="clear"/>
          </w:tcPr>
          <w:p>
            <w:pPr>
              <w:spacing w:after="0" w:before="0" w:line="240" w:lineRule="auto"/>
              <w:jc w:val="center"/>
            </w:pPr>
            <w:r/>
            <w:r>
              <w:rPr>
                <w:rFonts w:ascii="Times New Roman" w:hAnsi="Times New Roman" w:eastAsia="Times New Roman"/>
                <w:b w:val="0"/>
                <w:sz w:val="18"/>
              </w:rPr>
              <w:t>Medium</w:t>
            </w:r>
          </w:p>
        </w:tc>
        <w:tc>
          <w:tcPr>
            <w:tcW w:type="dxa" w:w="1234"/>
            <w:shd w:fill="FFFFFF" w:val="clear"/>
          </w:tcPr>
          <w:p>
            <w:pPr>
              <w:spacing w:after="0" w:before="0" w:line="240" w:lineRule="auto"/>
              <w:jc w:val="center"/>
            </w:pPr>
            <w:r/>
            <w:r>
              <w:rPr>
                <w:rFonts w:ascii="Times New Roman" w:hAnsi="Times New Roman" w:eastAsia="Times New Roman"/>
                <w:b w:val="0"/>
                <w:sz w:val="18"/>
              </w:rPr>
              <w:t>IDOR via X-Org-Id is rejected in unit tests. Live API tests were skipped.</w:t>
            </w:r>
          </w:p>
        </w:tc>
        <w:tc>
          <w:tcPr>
            <w:tcW w:type="dxa" w:w="1234"/>
            <w:shd w:fill="FFFFFF" w:val="clear"/>
          </w:tcPr>
          <w:p>
            <w:pPr>
              <w:spacing w:after="0" w:before="0" w:line="240" w:lineRule="auto"/>
              <w:jc w:val="center"/>
            </w:pPr>
            <w:r/>
            <w:r>
              <w:rPr>
                <w:rFonts w:ascii="Times New Roman" w:hAnsi="Times New Roman" w:eastAsia="Times New Roman"/>
                <w:b w:val="0"/>
                <w:sz w:val="18"/>
              </w:rPr>
              <w:t>Run the integration suite against Postgres in CI.</w:t>
            </w:r>
          </w:p>
        </w:tc>
      </w:tr>
      <w:tr>
        <w:tc>
          <w:tcPr>
            <w:tcW w:type="dxa" w:w="1234"/>
            <w:shd w:fill="E8EEF4" w:val="clear"/>
          </w:tcPr>
          <w:p>
            <w:pPr>
              <w:spacing w:after="0" w:before="0" w:line="240" w:lineRule="auto"/>
              <w:jc w:val="left"/>
            </w:pPr>
            <w:r/>
            <w:r>
              <w:rPr>
                <w:rFonts w:ascii="Times New Roman" w:hAnsi="Times New Roman" w:eastAsia="Times New Roman"/>
                <w:b w:val="0"/>
                <w:sz w:val="18"/>
              </w:rPr>
              <w:t>Q7</w:t>
            </w:r>
          </w:p>
        </w:tc>
        <w:tc>
          <w:tcPr>
            <w:tcW w:type="dxa" w:w="1234"/>
            <w:shd w:fill="E8EEF4" w:val="clear"/>
          </w:tcPr>
          <w:p>
            <w:pPr>
              <w:spacing w:after="0" w:before="0" w:line="240" w:lineRule="auto"/>
              <w:jc w:val="center"/>
            </w:pPr>
            <w:r/>
            <w:r>
              <w:rPr>
                <w:rFonts w:ascii="Times New Roman" w:hAnsi="Times New Roman" w:eastAsia="Times New Roman"/>
                <w:b w:val="0"/>
                <w:sz w:val="18"/>
              </w:rPr>
              <w:t>Raw metric scoring without thresholds</w:t>
            </w:r>
          </w:p>
        </w:tc>
        <w:tc>
          <w:tcPr>
            <w:tcW w:type="dxa" w:w="1234"/>
            <w:shd w:fill="E8EEF4" w:val="clear"/>
          </w:tcPr>
          <w:p>
            <w:pPr>
              <w:spacing w:after="0" w:before="0" w:line="240" w:lineRule="auto"/>
              <w:jc w:val="center"/>
            </w:pPr>
            <w:r/>
            <w:r>
              <w:rPr>
                <w:rFonts w:ascii="Times New Roman" w:hAnsi="Times New Roman" w:eastAsia="Times New Roman"/>
                <w:b w:val="0"/>
                <w:sz w:val="18"/>
              </w:rPr>
              <w:t>scorer.py clips raw values to [0, 1] when no threshold exists</w:t>
            </w:r>
          </w:p>
        </w:tc>
        <w:tc>
          <w:tcPr>
            <w:tcW w:type="dxa" w:w="1234"/>
            <w:shd w:fill="E8EEF4" w:val="clear"/>
          </w:tcPr>
          <w:p>
            <w:pPr>
              <w:spacing w:after="0" w:before="0" w:line="240" w:lineRule="auto"/>
              <w:jc w:val="center"/>
            </w:pPr>
            <w:r/>
            <w:r>
              <w:rPr>
                <w:rFonts w:ascii="Times New Roman" w:hAnsi="Times New Roman" w:eastAsia="Times New Roman"/>
                <w:b w:val="0"/>
                <w:sz w:val="18"/>
              </w:rPr>
              <w:t>Partially met</w:t>
            </w:r>
          </w:p>
        </w:tc>
        <w:tc>
          <w:tcPr>
            <w:tcW w:type="dxa" w:w="1234"/>
            <w:shd w:fill="E8EEF4" w:val="clear"/>
          </w:tcPr>
          <w:p>
            <w:pPr>
              <w:spacing w:after="0" w:before="0" w:line="240" w:lineRule="auto"/>
              <w:jc w:val="center"/>
            </w:pPr>
            <w:r/>
            <w:r>
              <w:rPr>
                <w:rFonts w:ascii="Times New Roman" w:hAnsi="Times New Roman" w:eastAsia="Times New Roman"/>
                <w:b w:val="0"/>
                <w:sz w:val="18"/>
              </w:rPr>
              <w:t>Medium</w:t>
            </w:r>
          </w:p>
        </w:tc>
        <w:tc>
          <w:tcPr>
            <w:tcW w:type="dxa" w:w="1234"/>
            <w:shd w:fill="E8EEF4" w:val="clear"/>
          </w:tcPr>
          <w:p>
            <w:pPr>
              <w:spacing w:after="0" w:before="0" w:line="240" w:lineRule="auto"/>
              <w:jc w:val="center"/>
            </w:pPr>
            <w:r/>
            <w:r>
              <w:rPr>
                <w:rFonts w:ascii="Times New Roman" w:hAnsi="Times New Roman" w:eastAsia="Times New Roman"/>
                <w:b w:val="0"/>
                <w:sz w:val="18"/>
              </w:rPr>
              <w:t>A Sharpe ratio of 1.8 and a return of 0.18 can receive similar threshold scores.</w:t>
            </w:r>
          </w:p>
        </w:tc>
        <w:tc>
          <w:tcPr>
            <w:tcW w:type="dxa" w:w="1234"/>
            <w:shd w:fill="E8EEF4" w:val="clear"/>
          </w:tcPr>
          <w:p>
            <w:pPr>
              <w:spacing w:after="0" w:before="0" w:line="240" w:lineRule="auto"/>
              <w:jc w:val="center"/>
            </w:pPr>
            <w:r/>
            <w:r>
              <w:rPr>
                <w:rFonts w:ascii="Times New Roman" w:hAnsi="Times New Roman" w:eastAsia="Times New Roman"/>
                <w:b w:val="0"/>
                <w:sz w:val="18"/>
              </w:rPr>
              <w:t>Require per-metric scaling or refuse to score without thresholds.</w:t>
            </w:r>
          </w:p>
        </w:tc>
      </w:tr>
      <w:tr>
        <w:tc>
          <w:tcPr>
            <w:tcW w:type="dxa" w:w="1234"/>
            <w:shd w:fill="FFFFFF" w:val="clear"/>
          </w:tcPr>
          <w:p>
            <w:pPr>
              <w:spacing w:after="0" w:before="0" w:line="240" w:lineRule="auto"/>
              <w:jc w:val="left"/>
            </w:pPr>
            <w:r/>
            <w:r>
              <w:rPr>
                <w:rFonts w:ascii="Times New Roman" w:hAnsi="Times New Roman" w:eastAsia="Times New Roman"/>
                <w:b w:val="0"/>
                <w:sz w:val="18"/>
              </w:rPr>
              <w:t>Q8</w:t>
            </w:r>
          </w:p>
        </w:tc>
        <w:tc>
          <w:tcPr>
            <w:tcW w:type="dxa" w:w="1234"/>
            <w:shd w:fill="FFFFFF" w:val="clear"/>
          </w:tcPr>
          <w:p>
            <w:pPr>
              <w:spacing w:after="0" w:before="0" w:line="240" w:lineRule="auto"/>
              <w:jc w:val="center"/>
            </w:pPr>
            <w:r/>
            <w:r>
              <w:rPr>
                <w:rFonts w:ascii="Times New Roman" w:hAnsi="Times New Roman" w:eastAsia="Times New Roman"/>
                <w:b w:val="0"/>
                <w:sz w:val="18"/>
              </w:rPr>
              <w:t>Objective direction and hybrid Bayesian half</w:t>
            </w:r>
          </w:p>
        </w:tc>
        <w:tc>
          <w:tcPr>
            <w:tcW w:type="dxa" w:w="1234"/>
            <w:shd w:fill="FFFFFF" w:val="clear"/>
          </w:tcPr>
          <w:p>
            <w:pPr>
              <w:spacing w:after="0" w:before="0" w:line="240" w:lineRule="auto"/>
              <w:jc w:val="center"/>
            </w:pPr>
            <w:r/>
            <w:r>
              <w:rPr>
                <w:rFonts w:ascii="Times New Roman" w:hAnsi="Times New Roman" w:eastAsia="Times New Roman"/>
                <w:b w:val="0"/>
                <w:sz w:val="18"/>
              </w:rPr>
              <w:t>optimizer.py _init_bayesian uses objectives[0]</w:t>
            </w:r>
          </w:p>
        </w:tc>
        <w:tc>
          <w:tcPr>
            <w:tcW w:type="dxa" w:w="1234"/>
            <w:shd w:fill="FFFFFF" w:val="clear"/>
          </w:tcPr>
          <w:p>
            <w:pPr>
              <w:spacing w:after="0" w:before="0" w:line="240" w:lineRule="auto"/>
              <w:jc w:val="center"/>
            </w:pPr>
            <w:r/>
            <w:r>
              <w:rPr>
                <w:rFonts w:ascii="Times New Roman" w:hAnsi="Times New Roman" w:eastAsia="Times New Roman"/>
                <w:b w:val="0"/>
                <w:sz w:val="18"/>
              </w:rPr>
              <w:t>Not met</w:t>
            </w:r>
          </w:p>
        </w:tc>
        <w:tc>
          <w:tcPr>
            <w:tcW w:type="dxa" w:w="1234"/>
            <w:shd w:fill="FFFFFF" w:val="clear"/>
          </w:tcPr>
          <w:p>
            <w:pPr>
              <w:spacing w:after="0" w:before="0" w:line="240" w:lineRule="auto"/>
              <w:jc w:val="center"/>
            </w:pPr>
            <w:r/>
            <w:r>
              <w:rPr>
                <w:rFonts w:ascii="Times New Roman" w:hAnsi="Times New Roman" w:eastAsia="Times New Roman"/>
                <w:b w:val="0"/>
                <w:sz w:val="18"/>
              </w:rPr>
              <w:t>High</w:t>
            </w:r>
          </w:p>
        </w:tc>
        <w:tc>
          <w:tcPr>
            <w:tcW w:type="dxa" w:w="1234"/>
            <w:shd w:fill="FFFFFF" w:val="clear"/>
          </w:tcPr>
          <w:p>
            <w:pPr>
              <w:spacing w:after="0" w:before="0" w:line="240" w:lineRule="auto"/>
              <w:jc w:val="center"/>
            </w:pPr>
            <w:r/>
            <w:r>
              <w:rPr>
                <w:rFonts w:ascii="Times New Roman" w:hAnsi="Times New Roman" w:eastAsia="Times New Roman"/>
                <w:b w:val="0"/>
                <w:sz w:val="18"/>
              </w:rPr>
              <w:t>Hybrid search wastes budget on one objective and poisons the shared archive.</w:t>
            </w:r>
          </w:p>
        </w:tc>
        <w:tc>
          <w:tcPr>
            <w:tcW w:type="dxa" w:w="1234"/>
            <w:shd w:fill="FFFFFF" w:val="clear"/>
          </w:tcPr>
          <w:p>
            <w:pPr>
              <w:spacing w:after="0" w:before="0" w:line="240" w:lineRule="auto"/>
              <w:jc w:val="center"/>
            </w:pPr>
            <w:r/>
            <w:r>
              <w:rPr>
                <w:rFonts w:ascii="Times New Roman" w:hAnsi="Times New Roman" w:eastAsia="Times New Roman"/>
                <w:b w:val="0"/>
                <w:sz w:val="18"/>
              </w:rPr>
              <w:t>Scalarise as BayesianBackend does, or replace the hybrid GP.</w:t>
            </w:r>
          </w:p>
        </w:tc>
      </w:tr>
      <w:tr>
        <w:tc>
          <w:tcPr>
            <w:tcW w:type="dxa" w:w="1234"/>
            <w:shd w:fill="E8EEF4" w:val="clear"/>
          </w:tcPr>
          <w:p>
            <w:pPr>
              <w:spacing w:after="0" w:before="0" w:line="240" w:lineRule="auto"/>
              <w:jc w:val="left"/>
            </w:pPr>
            <w:r/>
            <w:r>
              <w:rPr>
                <w:rFonts w:ascii="Times New Roman" w:hAnsi="Times New Roman" w:eastAsia="Times New Roman"/>
                <w:b w:val="0"/>
                <w:sz w:val="18"/>
              </w:rPr>
              <w:t>Q9</w:t>
            </w:r>
          </w:p>
        </w:tc>
        <w:tc>
          <w:tcPr>
            <w:tcW w:type="dxa" w:w="1234"/>
            <w:shd w:fill="E8EEF4" w:val="clear"/>
          </w:tcPr>
          <w:p>
            <w:pPr>
              <w:spacing w:after="0" w:before="0" w:line="240" w:lineRule="auto"/>
              <w:jc w:val="center"/>
            </w:pPr>
            <w:r/>
            <w:r>
              <w:rPr>
                <w:rFonts w:ascii="Times New Roman" w:hAnsi="Times New Roman" w:eastAsia="Times New Roman"/>
                <w:b w:val="0"/>
                <w:sz w:val="18"/>
              </w:rPr>
              <w:t>Finance-pack annualisation across fidelity</w:t>
            </w:r>
          </w:p>
        </w:tc>
        <w:tc>
          <w:tcPr>
            <w:tcW w:type="dxa" w:w="1234"/>
            <w:shd w:fill="E8EEF4" w:val="clear"/>
          </w:tcPr>
          <w:p>
            <w:pPr>
              <w:spacing w:after="0" w:before="0" w:line="240" w:lineRule="auto"/>
              <w:jc w:val="center"/>
            </w:pPr>
            <w:r/>
            <w:r>
              <w:rPr>
                <w:rFonts w:ascii="Times New Roman" w:hAnsi="Times New Roman" w:eastAsia="Times New Roman"/>
                <w:b w:val="0"/>
                <w:sz w:val="18"/>
              </w:rPr>
              <w:t>pack.py uses 252 in score() after cheap/mid/high generate monthly or weekly series</w:t>
            </w:r>
          </w:p>
        </w:tc>
        <w:tc>
          <w:tcPr>
            <w:tcW w:type="dxa" w:w="1234"/>
            <w:shd w:fill="E8EEF4" w:val="clear"/>
          </w:tcPr>
          <w:p>
            <w:pPr>
              <w:spacing w:after="0" w:before="0" w:line="240" w:lineRule="auto"/>
              <w:jc w:val="center"/>
            </w:pPr>
            <w:r/>
            <w:r>
              <w:rPr>
                <w:rFonts w:ascii="Times New Roman" w:hAnsi="Times New Roman" w:eastAsia="Times New Roman"/>
                <w:b w:val="0"/>
                <w:sz w:val="18"/>
              </w:rPr>
              <w:t>Not met</w:t>
            </w:r>
          </w:p>
        </w:tc>
        <w:tc>
          <w:tcPr>
            <w:tcW w:type="dxa" w:w="1234"/>
            <w:shd w:fill="E8EEF4" w:val="clear"/>
          </w:tcPr>
          <w:p>
            <w:pPr>
              <w:spacing w:after="0" w:before="0" w:line="240" w:lineRule="auto"/>
              <w:jc w:val="center"/>
            </w:pPr>
            <w:r/>
            <w:r>
              <w:rPr>
                <w:rFonts w:ascii="Times New Roman" w:hAnsi="Times New Roman" w:eastAsia="Times New Roman"/>
                <w:b w:val="0"/>
                <w:sz w:val="18"/>
              </w:rPr>
              <w:t>High</w:t>
            </w:r>
          </w:p>
        </w:tc>
        <w:tc>
          <w:tcPr>
            <w:tcW w:type="dxa" w:w="1234"/>
            <w:shd w:fill="E8EEF4" w:val="clear"/>
          </w:tcPr>
          <w:p>
            <w:pPr>
              <w:spacing w:after="0" w:before="0" w:line="240" w:lineRule="auto"/>
              <w:jc w:val="center"/>
            </w:pPr>
            <w:r/>
            <w:r>
              <w:rPr>
                <w:rFonts w:ascii="Times New Roman" w:hAnsi="Times New Roman" w:eastAsia="Times New Roman"/>
                <w:b w:val="0"/>
                <w:sz w:val="18"/>
              </w:rPr>
              <w:t>Annualised return, volatility and Sharpe ratio are not comparable across fidelity.</w:t>
            </w:r>
          </w:p>
        </w:tc>
        <w:tc>
          <w:tcPr>
            <w:tcW w:type="dxa" w:w="1234"/>
            <w:shd w:fill="E8EEF4" w:val="clear"/>
          </w:tcPr>
          <w:p>
            <w:pPr>
              <w:spacing w:after="0" w:before="0" w:line="240" w:lineRule="auto"/>
              <w:jc w:val="center"/>
            </w:pPr>
            <w:r/>
            <w:r>
              <w:rPr>
                <w:rFonts w:ascii="Times New Roman" w:hAnsi="Times New Roman" w:eastAsia="Times New Roman"/>
                <w:b w:val="0"/>
                <w:sz w:val="18"/>
              </w:rPr>
              <w:t>Annualise with the periods_per_year already used in _generate_returns.</w:t>
            </w:r>
          </w:p>
        </w:tc>
      </w:tr>
      <w:tr>
        <w:tc>
          <w:tcPr>
            <w:tcW w:type="dxa" w:w="1234"/>
            <w:shd w:fill="FFFFFF" w:val="clear"/>
          </w:tcPr>
          <w:p>
            <w:pPr>
              <w:spacing w:after="0" w:before="0" w:line="240" w:lineRule="auto"/>
              <w:jc w:val="left"/>
            </w:pPr>
            <w:r/>
            <w:r>
              <w:rPr>
                <w:rFonts w:ascii="Times New Roman" w:hAnsi="Times New Roman" w:eastAsia="Times New Roman"/>
                <w:b w:val="0"/>
                <w:sz w:val="18"/>
              </w:rPr>
              <w:t>Q10</w:t>
            </w:r>
          </w:p>
        </w:tc>
        <w:tc>
          <w:tcPr>
            <w:tcW w:type="dxa" w:w="1234"/>
            <w:shd w:fill="FFFFFF" w:val="clear"/>
          </w:tcPr>
          <w:p>
            <w:pPr>
              <w:spacing w:after="0" w:before="0" w:line="240" w:lineRule="auto"/>
              <w:jc w:val="center"/>
            </w:pPr>
            <w:r/>
            <w:r>
              <w:rPr>
                <w:rFonts w:ascii="Times New Roman" w:hAnsi="Times New Roman" w:eastAsia="Times New Roman"/>
                <w:b w:val="0"/>
                <w:sz w:val="18"/>
              </w:rPr>
              <w:t>Spatial threshold boundaries</w:t>
            </w:r>
          </w:p>
        </w:tc>
        <w:tc>
          <w:tcPr>
            <w:tcW w:type="dxa" w:w="1234"/>
            <w:shd w:fill="FFFFFF" w:val="clear"/>
          </w:tcPr>
          <w:p>
            <w:pPr>
              <w:spacing w:after="0" w:before="0" w:line="240" w:lineRule="auto"/>
              <w:jc w:val="center"/>
            </w:pPr>
            <w:r/>
            <w:r>
              <w:rPr>
                <w:rFonts w:ascii="Times New Roman" w:hAnsi="Times New Roman" w:eastAsia="Times New Roman"/>
                <w:b w:val="0"/>
                <w:sz w:val="18"/>
              </w:rPr>
              <w:t>safe_cells = grid &lt; safe_t; critical uses &gt;= crit_t; warning is [safe, warn)</w:t>
            </w:r>
          </w:p>
        </w:tc>
        <w:tc>
          <w:tcPr>
            <w:tcW w:type="dxa" w:w="1234"/>
            <w:shd w:fill="FFFFFF" w:val="clear"/>
          </w:tcPr>
          <w:p>
            <w:pPr>
              <w:spacing w:after="0" w:before="0" w:line="240" w:lineRule="auto"/>
              <w:jc w:val="center"/>
            </w:pPr>
            <w:r/>
            <w:r>
              <w:rPr>
                <w:rFonts w:ascii="Times New Roman" w:hAnsi="Times New Roman" w:eastAsia="Times New Roman"/>
                <w:b w:val="0"/>
                <w:sz w:val="18"/>
              </w:rPr>
              <w:t>Partially met</w:t>
            </w:r>
          </w:p>
        </w:tc>
        <w:tc>
          <w:tcPr>
            <w:tcW w:type="dxa" w:w="1234"/>
            <w:shd w:fill="FFFFFF" w:val="clear"/>
          </w:tcPr>
          <w:p>
            <w:pPr>
              <w:spacing w:after="0" w:before="0" w:line="240" w:lineRule="auto"/>
              <w:jc w:val="center"/>
            </w:pPr>
            <w:r/>
            <w:r>
              <w:rPr>
                <w:rFonts w:ascii="Times New Roman" w:hAnsi="Times New Roman" w:eastAsia="Times New Roman"/>
                <w:b w:val="0"/>
                <w:sz w:val="18"/>
              </w:rPr>
              <w:t>Low</w:t>
            </w:r>
          </w:p>
        </w:tc>
        <w:tc>
          <w:tcPr>
            <w:tcW w:type="dxa" w:w="1234"/>
            <w:shd w:fill="FFFFFF" w:val="clear"/>
          </w:tcPr>
          <w:p>
            <w:pPr>
              <w:spacing w:after="0" w:before="0" w:line="240" w:lineRule="auto"/>
              <w:jc w:val="center"/>
            </w:pPr>
            <w:r/>
            <w:r>
              <w:rPr>
                <w:rFonts w:ascii="Times New Roman" w:hAnsi="Times New Roman" w:eastAsia="Times New Roman"/>
                <w:b w:val="0"/>
                <w:sz w:val="18"/>
              </w:rPr>
              <w:t>A cell equal to the safe threshold is counted as warning, not safe. The cells between warning and critical are unlabelled.</w:t>
            </w:r>
          </w:p>
        </w:tc>
        <w:tc>
          <w:tcPr>
            <w:tcW w:type="dxa" w:w="1234"/>
            <w:shd w:fill="FFFFFF" w:val="clear"/>
          </w:tcPr>
          <w:p>
            <w:pPr>
              <w:spacing w:after="0" w:before="0" w:line="240" w:lineRule="auto"/>
              <w:jc w:val="center"/>
            </w:pPr>
            <w:r/>
            <w:r>
              <w:rPr>
                <w:rFonts w:ascii="Times New Roman" w:hAnsi="Times New Roman" w:eastAsia="Times New Roman"/>
                <w:b w:val="0"/>
                <w:sz w:val="18"/>
              </w:rPr>
              <w:t>Document and test closed-open intervals explicitly.</w:t>
            </w:r>
          </w:p>
        </w:tc>
      </w:tr>
      <w:tr>
        <w:tc>
          <w:tcPr>
            <w:tcW w:type="dxa" w:w="1234"/>
            <w:shd w:fill="E8EEF4" w:val="clear"/>
          </w:tcPr>
          <w:p>
            <w:pPr>
              <w:spacing w:after="0" w:before="0" w:line="240" w:lineRule="auto"/>
              <w:jc w:val="left"/>
            </w:pPr>
            <w:r/>
            <w:r>
              <w:rPr>
                <w:rFonts w:ascii="Times New Roman" w:hAnsi="Times New Roman" w:eastAsia="Times New Roman"/>
                <w:b w:val="0"/>
                <w:sz w:val="18"/>
              </w:rPr>
              <w:t>Q11</w:t>
            </w:r>
          </w:p>
        </w:tc>
        <w:tc>
          <w:tcPr>
            <w:tcW w:type="dxa" w:w="1234"/>
            <w:shd w:fill="E8EEF4" w:val="clear"/>
          </w:tcPr>
          <w:p>
            <w:pPr>
              <w:spacing w:after="0" w:before="0" w:line="240" w:lineRule="auto"/>
              <w:jc w:val="center"/>
            </w:pPr>
            <w:r/>
            <w:r>
              <w:rPr>
                <w:rFonts w:ascii="Times New Roman" w:hAnsi="Times New Roman" w:eastAsia="Times New Roman"/>
                <w:b w:val="0"/>
                <w:sz w:val="18"/>
              </w:rPr>
              <w:t>Durable object storage for reports</w:t>
            </w:r>
          </w:p>
        </w:tc>
        <w:tc>
          <w:tcPr>
            <w:tcW w:type="dxa" w:w="1234"/>
            <w:shd w:fill="E8EEF4" w:val="clear"/>
          </w:tcPr>
          <w:p>
            <w:pPr>
              <w:spacing w:after="0" w:before="0" w:line="240" w:lineRule="auto"/>
              <w:jc w:val="center"/>
            </w:pPr>
            <w:r/>
            <w:r>
              <w:rPr>
                <w:rFonts w:ascii="Times New Roman" w:hAnsi="Times New Roman" w:eastAsia="Times New Roman"/>
                <w:b w:val="0"/>
                <w:sz w:val="18"/>
              </w:rPr>
              <w:t>MinIO not running; PDFs written locally by the evidence script</w:t>
            </w:r>
          </w:p>
        </w:tc>
        <w:tc>
          <w:tcPr>
            <w:tcW w:type="dxa" w:w="1234"/>
            <w:shd w:fill="E8EEF4" w:val="clear"/>
          </w:tcPr>
          <w:p>
            <w:pPr>
              <w:spacing w:after="0" w:before="0" w:line="240" w:lineRule="auto"/>
              <w:jc w:val="center"/>
            </w:pPr>
            <w:r/>
            <w:r>
              <w:rPr>
                <w:rFonts w:ascii="Times New Roman" w:hAnsi="Times New Roman" w:eastAsia="Times New Roman"/>
                <w:b w:val="0"/>
                <w:sz w:val="18"/>
              </w:rPr>
              <w:t>Not evaluated</w:t>
            </w:r>
          </w:p>
        </w:tc>
        <w:tc>
          <w:tcPr>
            <w:tcW w:type="dxa" w:w="1234"/>
            <w:shd w:fill="E8EEF4" w:val="clear"/>
          </w:tcPr>
          <w:p>
            <w:pPr>
              <w:spacing w:after="0" w:before="0" w:line="240" w:lineRule="auto"/>
              <w:jc w:val="center"/>
            </w:pPr>
            <w:r/>
            <w:r>
              <w:rPr>
                <w:rFonts w:ascii="Times New Roman" w:hAnsi="Times New Roman" w:eastAsia="Times New Roman"/>
                <w:b w:val="0"/>
                <w:sz w:val="18"/>
              </w:rPr>
              <w:t>Medium</w:t>
            </w:r>
          </w:p>
        </w:tc>
        <w:tc>
          <w:tcPr>
            <w:tcW w:type="dxa" w:w="1234"/>
            <w:shd w:fill="E8EEF4" w:val="clear"/>
          </w:tcPr>
          <w:p>
            <w:pPr>
              <w:spacing w:after="0" w:before="0" w:line="240" w:lineRule="auto"/>
              <w:jc w:val="center"/>
            </w:pPr>
            <w:r/>
            <w:r>
              <w:rPr>
                <w:rFonts w:ascii="Times New Roman" w:hAnsi="Times New Roman" w:eastAsia="Times New Roman"/>
                <w:b w:val="0"/>
                <w:sz w:val="18"/>
              </w:rPr>
              <w:t>Reports shown in the UI were not shown to survive process restart in object storage.</w:t>
            </w:r>
          </w:p>
        </w:tc>
        <w:tc>
          <w:tcPr>
            <w:tcW w:type="dxa" w:w="1234"/>
            <w:shd w:fill="E8EEF4" w:val="clear"/>
          </w:tcPr>
          <w:p>
            <w:pPr>
              <w:spacing w:after="0" w:before="0" w:line="240" w:lineRule="auto"/>
              <w:jc w:val="center"/>
            </w:pPr>
            <w:r/>
            <w:r>
              <w:rPr>
                <w:rFonts w:ascii="Times New Roman" w:hAnsi="Times New Roman" w:eastAsia="Times New Roman"/>
                <w:b w:val="0"/>
                <w:sz w:val="18"/>
              </w:rPr>
              <w:t>Exercise MinIO in the experimental environment.</w:t>
            </w:r>
          </w:p>
        </w:tc>
      </w:tr>
      <w:tr>
        <w:tc>
          <w:tcPr>
            <w:tcW w:type="dxa" w:w="1234"/>
            <w:shd w:fill="FFFFFF" w:val="clear"/>
          </w:tcPr>
          <w:p>
            <w:pPr>
              <w:spacing w:after="0" w:before="0" w:line="240" w:lineRule="auto"/>
              <w:jc w:val="left"/>
            </w:pPr>
            <w:r/>
            <w:r>
              <w:rPr>
                <w:rFonts w:ascii="Times New Roman" w:hAnsi="Times New Roman" w:eastAsia="Times New Roman"/>
                <w:b w:val="0"/>
                <w:sz w:val="18"/>
              </w:rPr>
              <w:t>Q12</w:t>
            </w:r>
          </w:p>
        </w:tc>
        <w:tc>
          <w:tcPr>
            <w:tcW w:type="dxa" w:w="1234"/>
            <w:shd w:fill="FFFFFF" w:val="clear"/>
          </w:tcPr>
          <w:p>
            <w:pPr>
              <w:spacing w:after="0" w:before="0" w:line="240" w:lineRule="auto"/>
              <w:jc w:val="center"/>
            </w:pPr>
            <w:r/>
            <w:r>
              <w:rPr>
                <w:rFonts w:ascii="Times New Roman" w:hAnsi="Times New Roman" w:eastAsia="Times New Roman"/>
                <w:b w:val="0"/>
                <w:sz w:val="18"/>
              </w:rPr>
              <w:t>Judge service in the principal workflow</w:t>
            </w:r>
          </w:p>
        </w:tc>
        <w:tc>
          <w:tcPr>
            <w:tcW w:type="dxa" w:w="1234"/>
            <w:shd w:fill="FFFFFF" w:val="clear"/>
          </w:tcPr>
          <w:p>
            <w:pPr>
              <w:spacing w:after="0" w:before="0" w:line="240" w:lineRule="auto"/>
              <w:jc w:val="center"/>
            </w:pPr>
            <w:r/>
            <w:r>
              <w:rPr>
                <w:rFonts w:ascii="Times New Roman" w:hAnsi="Times New Roman" w:eastAsia="Times New Roman"/>
                <w:b w:val="0"/>
                <w:sz w:val="18"/>
              </w:rPr>
              <w:t>SimulationRunWorkflow imports judge_score_outcomes; judge HTTP service was not started</w:t>
            </w:r>
          </w:p>
        </w:tc>
        <w:tc>
          <w:tcPr>
            <w:tcW w:type="dxa" w:w="1234"/>
            <w:shd w:fill="FFFFFF" w:val="clear"/>
          </w:tcPr>
          <w:p>
            <w:pPr>
              <w:spacing w:after="0" w:before="0" w:line="240" w:lineRule="auto"/>
              <w:jc w:val="center"/>
            </w:pPr>
            <w:r/>
            <w:r>
              <w:rPr>
                <w:rFonts w:ascii="Times New Roman" w:hAnsi="Times New Roman" w:eastAsia="Times New Roman"/>
                <w:b w:val="0"/>
                <w:sz w:val="18"/>
              </w:rPr>
              <w:t>Partially met</w:t>
            </w:r>
          </w:p>
        </w:tc>
        <w:tc>
          <w:tcPr>
            <w:tcW w:type="dxa" w:w="1234"/>
            <w:shd w:fill="FFFFFF" w:val="clear"/>
          </w:tcPr>
          <w:p>
            <w:pPr>
              <w:spacing w:after="0" w:before="0" w:line="240" w:lineRule="auto"/>
              <w:jc w:val="center"/>
            </w:pPr>
            <w:r/>
            <w:r>
              <w:rPr>
                <w:rFonts w:ascii="Times New Roman" w:hAnsi="Times New Roman" w:eastAsia="Times New Roman"/>
                <w:b w:val="0"/>
                <w:sz w:val="18"/>
              </w:rPr>
              <w:t>Medium</w:t>
            </w:r>
          </w:p>
        </w:tc>
        <w:tc>
          <w:tcPr>
            <w:tcW w:type="dxa" w:w="1234"/>
            <w:shd w:fill="FFFFFF" w:val="clear"/>
          </w:tcPr>
          <w:p>
            <w:pPr>
              <w:spacing w:after="0" w:before="0" w:line="240" w:lineRule="auto"/>
              <w:jc w:val="center"/>
            </w:pPr>
            <w:r/>
            <w:r>
              <w:rPr>
                <w:rFonts w:ascii="Times New Roman" w:hAnsi="Times New Roman" w:eastAsia="Times New Roman"/>
                <w:b w:val="0"/>
                <w:sz w:val="18"/>
              </w:rPr>
              <w:t>In-process DeterministicScorer was used for UI runs. The judge HTTP service was not experimentally verified.</w:t>
            </w:r>
          </w:p>
        </w:tc>
        <w:tc>
          <w:tcPr>
            <w:tcW w:type="dxa" w:w="1234"/>
            <w:shd w:fill="FFFFFF" w:val="clear"/>
          </w:tcPr>
          <w:p>
            <w:pPr>
              <w:spacing w:after="0" w:before="0" w:line="240" w:lineRule="auto"/>
              <w:jc w:val="center"/>
            </w:pPr>
            <w:r/>
            <w:r>
              <w:rPr>
                <w:rFonts w:ascii="Times New Roman" w:hAnsi="Times New Roman" w:eastAsia="Times New Roman"/>
                <w:b w:val="0"/>
                <w:sz w:val="18"/>
              </w:rPr>
              <w:t>Run the judge service in the workflow under test.</w:t>
            </w:r>
          </w:p>
        </w:tc>
      </w:tr>
      <w:tr>
        <w:tc>
          <w:tcPr>
            <w:tcW w:type="dxa" w:w="1234"/>
            <w:shd w:fill="E8EEF4" w:val="clear"/>
          </w:tcPr>
          <w:p>
            <w:pPr>
              <w:spacing w:after="0" w:before="0" w:line="240" w:lineRule="auto"/>
              <w:jc w:val="left"/>
            </w:pPr>
            <w:r/>
            <w:r>
              <w:rPr>
                <w:rFonts w:ascii="Times New Roman" w:hAnsi="Times New Roman" w:eastAsia="Times New Roman"/>
                <w:b w:val="0"/>
                <w:sz w:val="18"/>
              </w:rPr>
              <w:t>Q13</w:t>
            </w:r>
          </w:p>
        </w:tc>
        <w:tc>
          <w:tcPr>
            <w:tcW w:type="dxa" w:w="1234"/>
            <w:shd w:fill="E8EEF4" w:val="clear"/>
          </w:tcPr>
          <w:p>
            <w:pPr>
              <w:spacing w:after="0" w:before="0" w:line="240" w:lineRule="auto"/>
              <w:jc w:val="center"/>
            </w:pPr>
            <w:r/>
            <w:r>
              <w:rPr>
                <w:rFonts w:ascii="Times New Roman" w:hAnsi="Times New Roman" w:eastAsia="Times New Roman"/>
                <w:b w:val="0"/>
                <w:sz w:val="18"/>
              </w:rPr>
              <w:t>Error reporting when Temporal is unavailable</w:t>
            </w:r>
          </w:p>
        </w:tc>
        <w:tc>
          <w:tcPr>
            <w:tcW w:type="dxa" w:w="1234"/>
            <w:shd w:fill="E8EEF4" w:val="clear"/>
          </w:tcPr>
          <w:p>
            <w:pPr>
              <w:spacing w:after="0" w:before="0" w:line="240" w:lineRule="auto"/>
              <w:jc w:val="center"/>
            </w:pPr>
            <w:r/>
            <w:r>
              <w:rPr>
                <w:rFonts w:ascii="Times New Roman" w:hAnsi="Times New Roman" w:eastAsia="Times New Roman"/>
                <w:b w:val="0"/>
                <w:sz w:val="18"/>
              </w:rPr>
              <w:t>start_run Depends on TemporalClient.connect</w:t>
            </w:r>
          </w:p>
        </w:tc>
        <w:tc>
          <w:tcPr>
            <w:tcW w:type="dxa" w:w="1234"/>
            <w:shd w:fill="E8EEF4" w:val="clear"/>
          </w:tcPr>
          <w:p>
            <w:pPr>
              <w:spacing w:after="0" w:before="0" w:line="240" w:lineRule="auto"/>
              <w:jc w:val="center"/>
            </w:pPr>
            <w:r/>
            <w:r>
              <w:rPr>
                <w:rFonts w:ascii="Times New Roman" w:hAnsi="Times New Roman" w:eastAsia="Times New Roman"/>
                <w:b w:val="0"/>
                <w:sz w:val="18"/>
              </w:rPr>
              <w:t>Partially met</w:t>
            </w:r>
          </w:p>
        </w:tc>
        <w:tc>
          <w:tcPr>
            <w:tcW w:type="dxa" w:w="1234"/>
            <w:shd w:fill="E8EEF4" w:val="clear"/>
          </w:tcPr>
          <w:p>
            <w:pPr>
              <w:spacing w:after="0" w:before="0" w:line="240" w:lineRule="auto"/>
              <w:jc w:val="center"/>
            </w:pPr>
            <w:r/>
            <w:r>
              <w:rPr>
                <w:rFonts w:ascii="Times New Roman" w:hAnsi="Times New Roman" w:eastAsia="Times New Roman"/>
                <w:b w:val="0"/>
                <w:sz w:val="18"/>
              </w:rPr>
              <w:t>Medium</w:t>
            </w:r>
          </w:p>
        </w:tc>
        <w:tc>
          <w:tcPr>
            <w:tcW w:type="dxa" w:w="1234"/>
            <w:shd w:fill="E8EEF4" w:val="clear"/>
          </w:tcPr>
          <w:p>
            <w:pPr>
              <w:spacing w:after="0" w:before="0" w:line="240" w:lineRule="auto"/>
              <w:jc w:val="center"/>
            </w:pPr>
            <w:r/>
            <w:r>
              <w:rPr>
                <w:rFonts w:ascii="Times New Roman" w:hAnsi="Times New Roman" w:eastAsia="Times New Roman"/>
                <w:b w:val="0"/>
                <w:sz w:val="18"/>
              </w:rPr>
              <w:t>Run creation fails at dependency resolution rather than a structured capability error.</w:t>
            </w:r>
          </w:p>
        </w:tc>
        <w:tc>
          <w:tcPr>
            <w:tcW w:type="dxa" w:w="1234"/>
            <w:shd w:fill="E8EEF4" w:val="clear"/>
          </w:tcPr>
          <w:p>
            <w:pPr>
              <w:spacing w:after="0" w:before="0" w:line="240" w:lineRule="auto"/>
              <w:jc w:val="center"/>
            </w:pPr>
            <w:r/>
            <w:r>
              <w:rPr>
                <w:rFonts w:ascii="Times New Roman" w:hAnsi="Times New Roman" w:eastAsia="Times New Roman"/>
                <w:b w:val="0"/>
                <w:sz w:val="18"/>
              </w:rPr>
              <w:t>Return a 503 with an explicit 'orchestrator unavailable' body.</w:t>
            </w:r>
          </w:p>
        </w:tc>
      </w:tr>
      <w:tr>
        <w:tc>
          <w:tcPr>
            <w:tcW w:type="dxa" w:w="1234"/>
            <w:shd w:fill="FFFFFF" w:val="clear"/>
          </w:tcPr>
          <w:p>
            <w:pPr>
              <w:spacing w:after="0" w:before="0" w:line="240" w:lineRule="auto"/>
              <w:jc w:val="left"/>
            </w:pPr>
            <w:r/>
            <w:r>
              <w:rPr>
                <w:rFonts w:ascii="Times New Roman" w:hAnsi="Times New Roman" w:eastAsia="Times New Roman"/>
                <w:b w:val="0"/>
                <w:sz w:val="18"/>
              </w:rPr>
              <w:t>Q14</w:t>
            </w:r>
          </w:p>
        </w:tc>
        <w:tc>
          <w:tcPr>
            <w:tcW w:type="dxa" w:w="1234"/>
            <w:shd w:fill="FFFFFF" w:val="clear"/>
          </w:tcPr>
          <w:p>
            <w:pPr>
              <w:spacing w:after="0" w:before="0" w:line="240" w:lineRule="auto"/>
              <w:jc w:val="center"/>
            </w:pPr>
            <w:r/>
            <w:r>
              <w:rPr>
                <w:rFonts w:ascii="Times New Roman" w:hAnsi="Times New Roman" w:eastAsia="Times New Roman"/>
                <w:b w:val="0"/>
                <w:sz w:val="18"/>
              </w:rPr>
              <w:t>core/contract.py provenance types unused by coverage</w:t>
            </w:r>
          </w:p>
        </w:tc>
        <w:tc>
          <w:tcPr>
            <w:tcW w:type="dxa" w:w="1234"/>
            <w:shd w:fill="FFFFFF" w:val="clear"/>
          </w:tcPr>
          <w:p>
            <w:pPr>
              <w:spacing w:after="0" w:before="0" w:line="240" w:lineRule="auto"/>
              <w:jc w:val="center"/>
            </w:pPr>
            <w:r/>
            <w:r>
              <w:rPr>
                <w:rFonts w:ascii="Times New Roman" w:hAnsi="Times New Roman" w:eastAsia="Times New Roman"/>
                <w:b w:val="0"/>
                <w:sz w:val="18"/>
              </w:rPr>
              <w:t>coverage 0% on core/contract.py</w:t>
            </w:r>
          </w:p>
        </w:tc>
        <w:tc>
          <w:tcPr>
            <w:tcW w:type="dxa" w:w="1234"/>
            <w:shd w:fill="FFFFFF" w:val="clear"/>
          </w:tcPr>
          <w:p>
            <w:pPr>
              <w:spacing w:after="0" w:before="0" w:line="240" w:lineRule="auto"/>
              <w:jc w:val="center"/>
            </w:pPr>
            <w:r/>
            <w:r>
              <w:rPr>
                <w:rFonts w:ascii="Times New Roman" w:hAnsi="Times New Roman" w:eastAsia="Times New Roman"/>
                <w:b w:val="0"/>
                <w:sz w:val="18"/>
              </w:rPr>
              <w:t>Not met</w:t>
            </w:r>
          </w:p>
        </w:tc>
        <w:tc>
          <w:tcPr>
            <w:tcW w:type="dxa" w:w="1234"/>
            <w:shd w:fill="FFFFFF" w:val="clear"/>
          </w:tcPr>
          <w:p>
            <w:pPr>
              <w:spacing w:after="0" w:before="0" w:line="240" w:lineRule="auto"/>
              <w:jc w:val="center"/>
            </w:pPr>
            <w:r/>
            <w:r>
              <w:rPr>
                <w:rFonts w:ascii="Times New Roman" w:hAnsi="Times New Roman" w:eastAsia="Times New Roman"/>
                <w:b w:val="0"/>
                <w:sz w:val="18"/>
              </w:rPr>
              <w:t>Medium</w:t>
            </w:r>
          </w:p>
        </w:tc>
        <w:tc>
          <w:tcPr>
            <w:tcW w:type="dxa" w:w="1234"/>
            <w:shd w:fill="FFFFFF" w:val="clear"/>
          </w:tcPr>
          <w:p>
            <w:pPr>
              <w:spacing w:after="0" w:before="0" w:line="240" w:lineRule="auto"/>
              <w:jc w:val="center"/>
            </w:pPr>
            <w:r/>
            <w:r>
              <w:rPr>
                <w:rFonts w:ascii="Times New Roman" w:hAnsi="Times New Roman" w:eastAsia="Times New Roman"/>
                <w:b w:val="0"/>
                <w:sz w:val="18"/>
              </w:rPr>
              <w:t>The provenance gate described in the architecture is types only.</w:t>
            </w:r>
          </w:p>
        </w:tc>
        <w:tc>
          <w:tcPr>
            <w:tcW w:type="dxa" w:w="1234"/>
            <w:shd w:fill="FFFFFF" w:val="clear"/>
          </w:tcPr>
          <w:p>
            <w:pPr>
              <w:spacing w:after="0" w:before="0" w:line="240" w:lineRule="auto"/>
              <w:jc w:val="center"/>
            </w:pPr>
            <w:r/>
            <w:r>
              <w:rPr>
                <w:rFonts w:ascii="Times New Roman" w:hAnsi="Times New Roman" w:eastAsia="Times New Roman"/>
                <w:b w:val="0"/>
                <w:sz w:val="18"/>
              </w:rPr>
              <w:t>Wire Provenance into formalisation before execution.</w:t>
            </w:r>
          </w:p>
        </w:tc>
      </w:tr>
    </w:tbl>
    <w:p>
      <w:pPr>
        <w:keepNext w:val="0"/>
        <w:keepLines w:val="0"/>
        <w:widowControl/>
        <w:spacing w:after="120" w:before="0" w:line="240" w:lineRule="auto"/>
        <w:jc w:val="both"/>
      </w:pPr>
    </w:p>
    <w:p>
      <w:pPr>
        <w:keepNext w:val="0"/>
        <w:keepLines w:val="0"/>
        <w:widowControl/>
        <w:spacing w:after="120" w:before="0" w:line="360" w:lineRule="auto"/>
        <w:jc w:val="both"/>
      </w:pPr>
      <w:r>
        <w:rPr>
          <w:rFonts w:ascii="Times New Roman" w:hAnsi="Times New Roman" w:eastAsia="Times New Roman"/>
          <w:b w:val="0"/>
          <w:sz w:val="24"/>
        </w:rPr>
        <w:t>The highest-risk findings are Q1, Q3, Q4, Q5, Q8 and Q9. Run sealing is intended and not implemented. Zero-vector embeddings are implemented and would silently degrade retrieval. Container isolation is intended, stubbed, and falls back to in-process execution. Header authentication is implemented and automatically tested for membership, but demo auth is on by default. The hybrid design is implemented, automatically tested only for end-to-end progress, and experimentally shown to be ineffective on ZDT1 and ZDT2. Finance annualisation is implemented incorrectly relative to fidelity and was not caught by the unit tests that do not assert annualisation factors. No finding in Table 4.5 altered the ZDT or DTLZ numbers. Several would expose another organisation's data or produce a misleading report if the HTTP path were used for real decisions. Distinguishing status: intended in comments and docs; implemented in source; automatically tested where a test exists; experimentally verified only for the optimiser campaign and the in-process UI runs; incomplete otherwise.</w:t>
      </w:r>
    </w:p>
    <w:p>
      <w:pPr>
        <w:pStyle w:val="Heading2"/>
      </w:pPr>
      <w:r>
        <w:t>4.6 Discussion</w:t>
      </w:r>
    </w:p>
    <w:p>
      <w:pPr>
        <w:keepNext w:val="0"/>
        <w:keepLines w:val="0"/>
        <w:widowControl/>
        <w:spacing w:after="120" w:before="0" w:line="360" w:lineRule="auto"/>
        <w:jc w:val="both"/>
      </w:pPr>
      <w:r>
        <w:rPr>
          <w:rFonts w:ascii="Times New Roman" w:hAnsi="Times New Roman" w:eastAsia="Times New Roman"/>
          <w:b w:val="0"/>
          <w:sz w:val="24"/>
        </w:rPr>
        <w:t>The discussion uses only results already reported in Sections 4.2 to 4.5.</w:t>
      </w:r>
    </w:p>
    <w:p>
      <w:pPr>
        <w:pStyle w:val="Heading3"/>
      </w:pPr>
      <w:r>
        <w:t>RQ1</w:t>
      </w:r>
    </w:p>
    <w:p>
      <w:pPr>
        <w:keepNext w:val="0"/>
        <w:keepLines w:val="0"/>
        <w:widowControl/>
        <w:spacing w:after="120" w:before="0" w:line="360" w:lineRule="auto"/>
        <w:jc w:val="both"/>
      </w:pPr>
      <w:r>
        <w:rPr>
          <w:rFonts w:ascii="Times New Roman" w:hAnsi="Times New Roman" w:eastAsia="Times New Roman"/>
          <w:b w:val="0"/>
          <w:sz w:val="24"/>
        </w:rPr>
        <w:t>Research Question 1 asked how successfully a natural-language decision question is transformed into an explicit, executable specification. The Python tests demonstrated that different prompts produced different ObjectiveSpecs, that minimise and maximise cues were detected, and that domain hints distinguished finance-pack from spatial-pack (tests/test_smoke_e2e.py). The in-process UI runs stored those structured fields in run_spec and displayed them in the Overview and Report tabs. formalize_objective uses heuristics when use_llm is false, and LLM health reported enabled true with configured_providers empty, so the experimental formalisation path was heuristic, not model-backed. core/contract.py defines provenance tags including LLM_RECALL, but coverage on that module was zero and the types are not wired into the executed formaliser. The danger of unsupported generated fields therefore remains: the architecture intends a grounding gate, the tests show keyword mapping works for canned phrases, and the available evidence does not establish that an unseen question cannot acquire metrics or bounds that the user never confirmed. Confirmation and human-in-the-loop override endpoints are listed as not built in LOCAL_RUN.md; they were not found in the running API.</w:t>
      </w:r>
    </w:p>
    <w:p>
      <w:pPr>
        <w:pStyle w:val="Heading3"/>
      </w:pPr>
      <w:r>
        <w:t>RQ2</w:t>
      </w:r>
    </w:p>
    <w:p>
      <w:pPr>
        <w:keepNext w:val="0"/>
        <w:keepLines w:val="0"/>
        <w:widowControl/>
        <w:spacing w:after="120" w:before="0" w:line="360" w:lineRule="auto"/>
        <w:jc w:val="both"/>
      </w:pPr>
      <w:r>
        <w:rPr>
          <w:rFonts w:ascii="Times New Roman" w:hAnsi="Times New Roman" w:eastAsia="Times New Roman"/>
          <w:b w:val="0"/>
          <w:sz w:val="24"/>
        </w:rPr>
        <w:t>Research Question 2 asked to what extent GSIP supports reproducible, traceable and auditable decision experiments. Implemented strengths include canonical hashing helpers, seed arguments on domain-pack simulate() methods, run_spec snapshots that the web client can reload, organisation membership checks, and Alembic-managed schema. Incomplete enforcement is equally clear. Run sealing is not persisted. Demo authentication is on by default. Evidence search can degrade to zero vectors. Isolation can degrade to in-process execution. Temporal retries, MinIO durability and post-completion mutation guards were not experimentally verified. The same-seed optimiser replay matched exactly, which is numerical repeatability of the search harness, not full computational reproducibility of a decision experiment. NIST's AI Risk Management Framework treats measurement, documentation and governance as joint requirements (NIST, 2023). GSIP documents more than it currently enforces.</w:t>
      </w:r>
    </w:p>
    <w:p>
      <w:pPr>
        <w:pStyle w:val="Heading3"/>
      </w:pPr>
      <w:r>
        <w:t>RQ3</w:t>
      </w:r>
    </w:p>
    <w:p>
      <w:pPr>
        <w:keepNext w:val="0"/>
        <w:keepLines w:val="0"/>
        <w:widowControl/>
        <w:spacing w:after="120" w:before="0" w:line="360" w:lineRule="auto"/>
        <w:jc w:val="both"/>
      </w:pPr>
      <w:r>
        <w:rPr>
          <w:rFonts w:ascii="Times New Roman" w:hAnsi="Times New Roman" w:eastAsia="Times New Roman"/>
          <w:b w:val="0"/>
          <w:sz w:val="24"/>
        </w:rPr>
        <w:t>Research Question 3 asked what the evidence shows about a fair comparison of evolutionary, Bayesian and hybrid optimisation. The harness gave every method the same evaluation count, ten seeds, shared reference points and shared fronts. That is the comparison Knowles, Thiele and Zitzler (2006) argued for when they treated function evaluations as the scarce resource. On ZDT1 the scalarising Bayesian backend dominated the other three methods on hypervolume and IGD, at roughly thirty times the wall-clock cost of the evolutionary search. On ZDT2 only Bayesian search regularly entered the reference box. On DTLZ2 the evolutionary backend was at least as good as the surrogates, and random search was competitive, which is consistent with the observation that inexpensive population search can still cover a spherical front when the budget is small relative to dimension (Deb et al., 2002). The hybrid method, which is the v1 engine, did not earn its place on the two-objective problems. That finding agrees with the repository's own Phase 0 note and extends it from one seed to ten. It challenges any architectural claim that combining the two strategies is automatically beneficial. ParEGO-style scalarisation remains a legitimate multi-objective Bayesian technique (Knowles, 2006); the defect is that the hybrid does not use it.</w:t>
      </w:r>
    </w:p>
    <w:p>
      <w:pPr>
        <w:pStyle w:val="Heading3"/>
      </w:pPr>
      <w:r>
        <w:t>Threats to validity</w:t>
      </w:r>
    </w:p>
    <w:p>
      <w:pPr>
        <w:keepNext w:val="0"/>
        <w:keepLines w:val="0"/>
        <w:widowControl/>
        <w:spacing w:after="120" w:before="0" w:line="360" w:lineRule="auto"/>
        <w:jc w:val="both"/>
      </w:pPr>
      <w:r>
        <w:rPr>
          <w:rFonts w:ascii="Times New Roman" w:hAnsi="Times New Roman" w:eastAsia="Times New Roman"/>
          <w:b w:val="0"/>
          <w:sz w:val="24"/>
        </w:rPr>
        <w:t>Benchmark diversity was limited to ZDT1, ZDT2 and DTLZ2 at reduced ZDT dimension. Ten seeds support a Kruskal-Wallis test but remain a small sample for estimating tails. Domain packs are synthetic. Wall times are specific to a four-core Xeon without a GPU. Fidelity labels cheap, mid and high are simplified, and finance annualisation is internally inconsistent. Coverage gaps hide router and workflow behaviour. There was no user study, so RQ1 says nothing about whether analysts accept the generated specification. Temporal, MinIO and the judge HTTP service were incomplete in the experimental environment. The project is individual, so the same person wrote the harness, chose the budget and interpreted the hybrid failure; that bias is reduced by pre-registering the smoke budget from the repository rather than tuning it after seeing ranks, but it is not removed. Results must not be generalised to real financial, environmental or policy decisions.</w:t>
      </w:r>
    </w:p>
    <w:p>
      <w:pPr>
        <w:pStyle w:val="Heading2"/>
      </w:pPr>
      <w:r>
        <w:t>4.7 Chapter summary</w:t>
      </w:r>
    </w:p>
    <w:p>
      <w:pPr>
        <w:keepNext w:val="0"/>
        <w:keepLines w:val="0"/>
        <w:widowControl/>
        <w:spacing w:after="120" w:before="0" w:line="360" w:lineRule="auto"/>
        <w:jc w:val="both"/>
      </w:pPr>
      <w:r>
        <w:rPr>
          <w:rFonts w:ascii="Times New Roman" w:hAnsi="Times New Roman" w:eastAsia="Times New Roman"/>
          <w:b w:val="0"/>
          <w:sz w:val="24"/>
        </w:rPr>
        <w:t>The experimental campaign executed the unmodified GSIP tree at commit 7803baa. Two hundred and twenty-three Python tests passed and one integration test was skipped. Fifty-five web tests passed. Ruff reported three style errors, and GitHub Actions lint failed while other CI jobs succeeded. One hundred and twenty optimiser runs completed at an equal budget of 200 evaluations.</w:t>
      </w:r>
    </w:p>
    <w:p>
      <w:pPr>
        <w:keepNext w:val="0"/>
        <w:keepLines w:val="0"/>
        <w:widowControl/>
        <w:spacing w:after="120" w:before="0" w:line="360" w:lineRule="auto"/>
        <w:jc w:val="both"/>
      </w:pPr>
      <w:r>
        <w:rPr>
          <w:rFonts w:ascii="Times New Roman" w:hAnsi="Times New Roman" w:eastAsia="Times New Roman"/>
          <w:b w:val="0"/>
          <w:sz w:val="24"/>
        </w:rPr>
        <w:t>RQ1. Heuristic formalisation mapped canned prompts onto different schemas, metrics and domains in unit tests, and those fields appeared in persisted run_spec objects. Provenance tagging, confirmation and LLM-backed formalisation were not experimentally established.</w:t>
      </w:r>
    </w:p>
    <w:p>
      <w:pPr>
        <w:keepNext w:val="0"/>
        <w:keepLines w:val="0"/>
        <w:widowControl/>
        <w:spacing w:after="120" w:before="0" w:line="360" w:lineRule="auto"/>
        <w:jc w:val="both"/>
      </w:pPr>
      <w:r>
        <w:rPr>
          <w:rFonts w:ascii="Times New Roman" w:hAnsi="Times New Roman" w:eastAsia="Times New Roman"/>
          <w:b w:val="0"/>
          <w:sz w:val="24"/>
        </w:rPr>
        <w:t>RQ2. GSIP implements hashing helpers, seeds and reloadable run snapshots, which support numerical repeatability of the optimiser harness. Persistent run sealing, durable artefact storage, isolation and retrieval integrity are not enforced in the submitted implementation.</w:t>
      </w:r>
    </w:p>
    <w:p>
      <w:pPr>
        <w:keepNext w:val="0"/>
        <w:keepLines w:val="0"/>
        <w:widowControl/>
        <w:spacing w:after="120" w:before="0" w:line="360" w:lineRule="auto"/>
        <w:jc w:val="both"/>
      </w:pPr>
      <w:r>
        <w:rPr>
          <w:rFonts w:ascii="Times New Roman" w:hAnsi="Times New Roman" w:eastAsia="Times New Roman"/>
          <w:b w:val="0"/>
          <w:sz w:val="24"/>
        </w:rPr>
        <w:t>RQ3. At five variables and 200 evaluations, Bayesian scalarisation outperformed evolutionary search, hybrid search and random search on ZDT1 and ZDT2. Hybrid search did not beat random search on those problems because its Bayesian half optimises a single objective. On three-objective DTLZ2, evolutionary search matched or exceeded the surrogates. The comparison is fair on evaluation count and unfair as a test of multi-objective Bayesian optimisation in the hybrid.</w:t>
      </w:r>
    </w:p>
    <w:p>
      <w:pPr>
        <w:keepNext w:val="0"/>
        <w:keepLines w:val="0"/>
        <w:widowControl/>
        <w:spacing w:after="120" w:before="0" w:line="360" w:lineRule="auto"/>
        <w:jc w:val="both"/>
      </w:pPr>
      <w:r>
        <w:rPr>
          <w:rFonts w:ascii="Times New Roman" w:hAnsi="Times New Roman" w:eastAsia="Times New Roman"/>
          <w:b w:val="0"/>
          <w:sz w:val="24"/>
        </w:rPr>
        <w:t>Findings that must be carried into Chapter 5 are: the hybrid multi-objective defect; the unverified sealing path; the zero-vector and isolation fallbacks; finance annualisation across fidelity; the absence of a user study; and the limit of the benchmark campaign to reduced ZDT dimension without Temporal.</w:t>
      </w:r>
    </w:p>
    <w:p>
      <w:pPr>
        <w:pStyle w:val="Heading2"/>
      </w:pPr>
      <w:r>
        <w:t>References cited in Chapter 4</w:t>
      </w:r>
    </w:p>
    <w:p>
      <w:pPr>
        <w:keepNext w:val="0"/>
        <w:keepLines w:val="0"/>
        <w:widowControl/>
        <w:spacing w:after="120" w:before="0" w:line="276" w:lineRule="auto"/>
        <w:ind w:left="720" w:hanging="720"/>
        <w:jc w:val="left"/>
      </w:pPr>
      <w:r>
        <w:rPr>
          <w:rFonts w:ascii="Times New Roman" w:hAnsi="Times New Roman" w:eastAsia="Times New Roman"/>
          <w:b w:val="0"/>
          <w:sz w:val="22"/>
        </w:rPr>
        <w:t>Deb, K., Thiele, L., Laumanns, M. and Zitzler, E. (2002) 'Scalable test problems for evolutionary multiobjective optimization', in Abraham, A., Jain, L. and Goldberg, R. (eds.) Evolutionary Multiobjective Optimization. London: Springer, pp. 105-145.</w:t>
      </w:r>
    </w:p>
    <w:p>
      <w:pPr>
        <w:keepNext w:val="0"/>
        <w:keepLines w:val="0"/>
        <w:widowControl/>
        <w:spacing w:after="120" w:before="0" w:line="276" w:lineRule="auto"/>
        <w:ind w:left="720" w:hanging="720"/>
        <w:jc w:val="left"/>
      </w:pPr>
      <w:r>
        <w:rPr>
          <w:rFonts w:ascii="Times New Roman" w:hAnsi="Times New Roman" w:eastAsia="Times New Roman"/>
          <w:b w:val="0"/>
          <w:sz w:val="22"/>
        </w:rPr>
        <w:t>International Organization for Standardization (2023) ISO/IEC 25010:2023 Systems and software engineering. Systems and software Quality Requirements and Evaluation (SQuaRE). System and software quality models. Geneva: ISO.</w:t>
      </w:r>
    </w:p>
    <w:p>
      <w:pPr>
        <w:keepNext w:val="0"/>
        <w:keepLines w:val="0"/>
        <w:widowControl/>
        <w:spacing w:after="120" w:before="0" w:line="276" w:lineRule="auto"/>
        <w:ind w:left="720" w:hanging="720"/>
        <w:jc w:val="left"/>
      </w:pPr>
      <w:r>
        <w:rPr>
          <w:rFonts w:ascii="Times New Roman" w:hAnsi="Times New Roman" w:eastAsia="Times New Roman"/>
          <w:b w:val="0"/>
          <w:sz w:val="22"/>
        </w:rPr>
        <w:t>Knowles, J. (2006) 'ParEGO: a hybrid algorithm with on-line landscape approximation for expensive multiobjective optimization problems', IEEE Transactions on Evolutionary Computation, 10(1), pp. 50-66.</w:t>
      </w:r>
    </w:p>
    <w:p>
      <w:pPr>
        <w:keepNext w:val="0"/>
        <w:keepLines w:val="0"/>
        <w:widowControl/>
        <w:spacing w:after="120" w:before="0" w:line="276" w:lineRule="auto"/>
        <w:ind w:left="720" w:hanging="720"/>
        <w:jc w:val="left"/>
      </w:pPr>
      <w:r>
        <w:rPr>
          <w:rFonts w:ascii="Times New Roman" w:hAnsi="Times New Roman" w:eastAsia="Times New Roman"/>
          <w:b w:val="0"/>
          <w:sz w:val="22"/>
        </w:rPr>
        <w:t>Knowles, J., Thiele, L. and Zitzler, E. (2006) A tutorial on the performance assessment of stochastic multiobjective optimizers. TIK Report 214, ETH Zurich.</w:t>
      </w:r>
    </w:p>
    <w:p>
      <w:pPr>
        <w:keepNext w:val="0"/>
        <w:keepLines w:val="0"/>
        <w:widowControl/>
        <w:spacing w:after="120" w:before="0" w:line="276" w:lineRule="auto"/>
        <w:ind w:left="720" w:hanging="720"/>
        <w:jc w:val="left"/>
      </w:pPr>
      <w:r>
        <w:rPr>
          <w:rFonts w:ascii="Times New Roman" w:hAnsi="Times New Roman" w:eastAsia="Times New Roman"/>
          <w:b w:val="0"/>
          <w:sz w:val="22"/>
        </w:rPr>
        <w:t>National Institute of Standards and Technology (2023) Artificial Intelligence Risk Management Framework (AI RMF 1.0). NIST AI 100-1. Gaithersburg, MD: NIST.</w:t>
      </w:r>
    </w:p>
    <w:p>
      <w:pPr>
        <w:keepNext w:val="0"/>
        <w:keepLines w:val="0"/>
        <w:widowControl/>
        <w:spacing w:after="120" w:before="0" w:line="276" w:lineRule="auto"/>
        <w:ind w:left="720" w:hanging="720"/>
        <w:jc w:val="left"/>
      </w:pPr>
      <w:r>
        <w:rPr>
          <w:rFonts w:ascii="Times New Roman" w:hAnsi="Times New Roman" w:eastAsia="Times New Roman"/>
          <w:b w:val="0"/>
          <w:sz w:val="22"/>
        </w:rPr>
        <w:t>National Institute of Standards and Technology (2024) Artificial Intelligence Risk Management Framework: Generative Artificial Intelligence Profile. NIST AI 600-1. Gaithersburg, MD: NIST.</w:t>
      </w:r>
    </w:p>
    <w:p>
      <w:pPr>
        <w:keepNext w:val="0"/>
        <w:keepLines w:val="0"/>
        <w:widowControl/>
        <w:spacing w:after="120" w:before="0" w:line="276" w:lineRule="auto"/>
        <w:ind w:left="720" w:hanging="720"/>
        <w:jc w:val="left"/>
      </w:pPr>
      <w:r>
        <w:rPr>
          <w:rFonts w:ascii="Times New Roman" w:hAnsi="Times New Roman" w:eastAsia="Times New Roman"/>
          <w:b w:val="0"/>
          <w:sz w:val="22"/>
        </w:rPr>
        <w:t>OWASP Foundation (2023) OWASP API Security Top 10. Available at: https://owasp.org/API-Security/ (Accessed: 27 August 2026).</w:t>
      </w:r>
    </w:p>
    <w:p>
      <w:pPr>
        <w:keepNext w:val="0"/>
        <w:keepLines w:val="0"/>
        <w:widowControl/>
        <w:spacing w:after="120" w:before="0" w:line="276" w:lineRule="auto"/>
        <w:ind w:left="720" w:hanging="720"/>
        <w:jc w:val="left"/>
      </w:pPr>
      <w:r>
        <w:rPr>
          <w:rFonts w:ascii="Times New Roman" w:hAnsi="Times New Roman" w:eastAsia="Times New Roman"/>
          <w:b w:val="0"/>
          <w:sz w:val="22"/>
        </w:rPr>
        <w:t>Zitzler, E., Deb, K. and Thiele, L. (2000) 'Comparison of multiobjective evolutionary algorithms: empirical results', Evolutionary Computation, 8(2), pp. 173-195.</w:t>
      </w:r>
    </w:p>
    <w:p>
      <w:pPr>
        <w:pStyle w:val="Heading2"/>
      </w:pPr>
      <w:r>
        <w:t>Appendix 4A. Evidence inventory</w:t>
      </w:r>
    </w:p>
    <w:p>
      <w:pPr>
        <w:keepNext w:val="0"/>
        <w:keepLines w:val="0"/>
        <w:widowControl/>
        <w:spacing w:after="120" w:before="0" w:line="360" w:lineRule="auto"/>
        <w:jc w:val="both"/>
      </w:pPr>
      <w:r>
        <w:rPr>
          <w:rFonts w:ascii="Times New Roman" w:hAnsi="Times New Roman" w:eastAsia="Times New Roman"/>
          <w:b w:val="0"/>
          <w:sz w:val="24"/>
        </w:rPr>
        <w:t>Supporting files live under dissertation/chapter4/. The campaign JSON and CSV contain one row per run. Logs contain pytest, Ruff, Alembic, seed, Vitest and environment capture. Screenshots are PNG exports of the running web, admin and OpenAPI surfaces. Application source was not modified to obtain them.</w:t>
      </w:r>
    </w:p>
    <w:p>
      <w:pPr>
        <w:pStyle w:val="Heading2"/>
      </w:pPr>
      <w:r>
        <w:t>Appendix 4B. Application screenshots</w:t>
      </w:r>
    </w:p>
    <w:p>
      <w:pPr>
        <w:keepNext w:val="0"/>
        <w:keepLines w:val="0"/>
        <w:widowControl/>
        <w:spacing w:after="120" w:before="0" w:line="360" w:lineRule="auto"/>
        <w:jc w:val="both"/>
      </w:pPr>
      <w:r>
        <w:rPr>
          <w:rFonts w:ascii="Times New Roman" w:hAnsi="Times New Roman" w:eastAsia="Times New Roman"/>
          <w:b w:val="0"/>
          <w:sz w:val="24"/>
        </w:rPr>
        <w:t>The following figures are photographs of the experimental environment. They document what the interfaces displayed. Admin screens use mock data in the client and are labelled as such.</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7" name="Picture 7" descr="Figure 4.7. Idle web workspace before a run is opened."/>
            <wp:cNvGraphicFramePr>
              <a:graphicFrameLocks noChangeAspect="1"/>
            </wp:cNvGraphicFramePr>
            <a:graphic>
              <a:graphicData uri="http://schemas.openxmlformats.org/drawingml/2006/picture">
                <pic:pic>
                  <pic:nvPicPr>
                    <pic:cNvPr id="0" name="01_web_idle_overview.png"/>
                    <pic:cNvPicPr/>
                  </pic:nvPicPr>
                  <pic:blipFill>
                    <a:blip r:embed="rId16"/>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4.7. Idle web workspace before a run is opened.</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8" name="Picture 8" descr="Figure 4.8. Project selector."/>
            <wp:cNvGraphicFramePr>
              <a:graphicFrameLocks noChangeAspect="1"/>
            </wp:cNvGraphicFramePr>
            <a:graphic>
              <a:graphicData uri="http://schemas.openxmlformats.org/drawingml/2006/picture">
                <pic:pic>
                  <pic:nvPicPr>
                    <pic:cNvPr id="0" name="02_web_project_dropdown.png"/>
                    <pic:cNvPicPr/>
                  </pic:nvPicPr>
                  <pic:blipFill>
                    <a:blip r:embed="rId17"/>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4.8. Project selector.</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9" name="Picture 9" descr="Figure 4.9. Domain-pack selector."/>
            <wp:cNvGraphicFramePr>
              <a:graphicFrameLocks noChangeAspect="1"/>
            </wp:cNvGraphicFramePr>
            <a:graphic>
              <a:graphicData uri="http://schemas.openxmlformats.org/drawingml/2006/picture">
                <pic:pic>
                  <pic:nvPicPr>
                    <pic:cNvPr id="0" name="03_web_domain_pack_dropdown.png"/>
                    <pic:cNvPicPr/>
                  </pic:nvPicPr>
                  <pic:blipFill>
                    <a:blip r:embed="rId18"/>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4.9. Domain-pack selector.</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0" name="Picture 10" descr="Figure 4.10. Run settings panel."/>
            <wp:cNvGraphicFramePr>
              <a:graphicFrameLocks noChangeAspect="1"/>
            </wp:cNvGraphicFramePr>
            <a:graphic>
              <a:graphicData uri="http://schemas.openxmlformats.org/drawingml/2006/picture">
                <pic:pic>
                  <pic:nvPicPr>
                    <pic:cNvPr id="0" name="04_web_run_settings.png"/>
                    <pic:cNvPicPr/>
                  </pic:nvPicPr>
                  <pic:blipFill>
                    <a:blip r:embed="rId19"/>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4.10. Run settings panel.</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1" name="Picture 11" descr="Figure 4.11. Past-runs sidebar listing three completed in-process runs."/>
            <wp:cNvGraphicFramePr>
              <a:graphicFrameLocks noChangeAspect="1"/>
            </wp:cNvGraphicFramePr>
            <a:graphic>
              <a:graphicData uri="http://schemas.openxmlformats.org/drawingml/2006/picture">
                <pic:pic>
                  <pic:nvPicPr>
                    <pic:cNvPr id="0" name="05_web_run_history_sidebar.png"/>
                    <pic:cNvPicPr/>
                  </pic:nvPicPr>
                  <pic:blipFill>
                    <a:blip r:embed="rId20"/>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4.11. Past-runs sidebar listing three completed in-process runs.</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2" name="Picture 12" descr="Figure 4.12. ToyPack leaderboard."/>
            <wp:cNvGraphicFramePr>
              <a:graphicFrameLocks noChangeAspect="1"/>
            </wp:cNvGraphicFramePr>
            <a:graphic>
              <a:graphicData uri="http://schemas.openxmlformats.org/drawingml/2006/picture">
                <pic:pic>
                  <pic:nvPicPr>
                    <pic:cNvPr id="0" name="07_web_toypack_leaderboard.png"/>
                    <pic:cNvPicPr/>
                  </pic:nvPicPr>
                  <pic:blipFill>
                    <a:blip r:embed="rId21"/>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4.12. ToyPack leaderboard.</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3" name="Picture 13" descr="Figure 4.13. ToyPack scenario detail."/>
            <wp:cNvGraphicFramePr>
              <a:graphicFrameLocks noChangeAspect="1"/>
            </wp:cNvGraphicFramePr>
            <a:graphic>
              <a:graphicData uri="http://schemas.openxmlformats.org/drawingml/2006/picture">
                <pic:pic>
                  <pic:nvPicPr>
                    <pic:cNvPr id="0" name="08_web_toypack_scenario_detail.png"/>
                    <pic:cNvPicPr/>
                  </pic:nvPicPr>
                  <pic:blipFill>
                    <a:blip r:embed="rId22"/>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4.13. ToyPack scenario detail.</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4" name="Picture 14" descr="Figure 4.14. ToyPack charts, time series."/>
            <wp:cNvGraphicFramePr>
              <a:graphicFrameLocks noChangeAspect="1"/>
            </wp:cNvGraphicFramePr>
            <a:graphic>
              <a:graphicData uri="http://schemas.openxmlformats.org/drawingml/2006/picture">
                <pic:pic>
                  <pic:nvPicPr>
                    <pic:cNvPr id="0" name="09_web_toypack_charts_timeseries.png"/>
                    <pic:cNvPicPr/>
                  </pic:nvPicPr>
                  <pic:blipFill>
                    <a:blip r:embed="rId23"/>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4.14. ToyPack charts, time series.</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5" name="Picture 15" descr="Figure 4.15. ToyPack charts, comparison."/>
            <wp:cNvGraphicFramePr>
              <a:graphicFrameLocks noChangeAspect="1"/>
            </wp:cNvGraphicFramePr>
            <a:graphic>
              <a:graphicData uri="http://schemas.openxmlformats.org/drawingml/2006/picture">
                <pic:pic>
                  <pic:nvPicPr>
                    <pic:cNvPr id="0" name="10_web_toypack_charts_comparison.png"/>
                    <pic:cNvPicPr/>
                  </pic:nvPicPr>
                  <pic:blipFill>
                    <a:blip r:embed="rId24"/>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4.15. ToyPack charts, comparison.</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6" name="Picture 16" descr="Figure 4.16. ToyPack charts, labelled Pareto view."/>
            <wp:cNvGraphicFramePr>
              <a:graphicFrameLocks noChangeAspect="1"/>
            </wp:cNvGraphicFramePr>
            <a:graphic>
              <a:graphicData uri="http://schemas.openxmlformats.org/drawingml/2006/picture">
                <pic:pic>
                  <pic:nvPicPr>
                    <pic:cNvPr id="0" name="11_web_toypack_charts_pareto.png"/>
                    <pic:cNvPicPr/>
                  </pic:nvPicPr>
                  <pic:blipFill>
                    <a:blip r:embed="rId25"/>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4.16. ToyPack charts, labelled Pareto view.</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7" name="Picture 17" descr="Figure 4.17. Evidence tab empty state."/>
            <wp:cNvGraphicFramePr>
              <a:graphicFrameLocks noChangeAspect="1"/>
            </wp:cNvGraphicFramePr>
            <a:graphic>
              <a:graphicData uri="http://schemas.openxmlformats.org/drawingml/2006/picture">
                <pic:pic>
                  <pic:nvPicPr>
                    <pic:cNvPr id="0" name="12_web_toypack_evidence_empty.png"/>
                    <pic:cNvPicPr/>
                  </pic:nvPicPr>
                  <pic:blipFill>
                    <a:blip r:embed="rId26"/>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4.17. Evidence tab empty state.</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8" name="Picture 18" descr="Figure 4.18. Report tab."/>
            <wp:cNvGraphicFramePr>
              <a:graphicFrameLocks noChangeAspect="1"/>
            </wp:cNvGraphicFramePr>
            <a:graphic>
              <a:graphicData uri="http://schemas.openxmlformats.org/drawingml/2006/picture">
                <pic:pic>
                  <pic:nvPicPr>
                    <pic:cNvPr id="0" name="13_web_toypack_report.png"/>
                    <pic:cNvPicPr/>
                  </pic:nvPicPr>
                  <pic:blipFill>
                    <a:blip r:embed="rId27"/>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4.18. Report tab.</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19" name="Picture 19" descr="Figure 4.19. Logs and debug tab."/>
            <wp:cNvGraphicFramePr>
              <a:graphicFrameLocks noChangeAspect="1"/>
            </wp:cNvGraphicFramePr>
            <a:graphic>
              <a:graphicData uri="http://schemas.openxmlformats.org/drawingml/2006/picture">
                <pic:pic>
                  <pic:nvPicPr>
                    <pic:cNvPr id="0" name="14_web_toypack_logs.png"/>
                    <pic:cNvPicPr/>
                  </pic:nvPicPr>
                  <pic:blipFill>
                    <a:blip r:embed="rId28"/>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4.19. Logs and debug tab.</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0" name="Picture 20" descr="Figure 4.20. SpatialPack overview after an in-process run."/>
            <wp:cNvGraphicFramePr>
              <a:graphicFrameLocks noChangeAspect="1"/>
            </wp:cNvGraphicFramePr>
            <a:graphic>
              <a:graphicData uri="http://schemas.openxmlformats.org/drawingml/2006/picture">
                <pic:pic>
                  <pic:nvPicPr>
                    <pic:cNvPr id="0" name="15_web_spatial_overview.png"/>
                    <pic:cNvPicPr/>
                  </pic:nvPicPr>
                  <pic:blipFill>
                    <a:blip r:embed="rId29"/>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4.20. SpatialPack overview after an in-process run.</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1" name="Picture 21" descr="Figure 4.21. Heatmaps tab reporting no spatial data."/>
            <wp:cNvGraphicFramePr>
              <a:graphicFrameLocks noChangeAspect="1"/>
            </wp:cNvGraphicFramePr>
            <a:graphic>
              <a:graphicData uri="http://schemas.openxmlformats.org/drawingml/2006/picture">
                <pic:pic>
                  <pic:nvPicPr>
                    <pic:cNvPr id="0" name="16_web_spatial_heatmaps_empty.png"/>
                    <pic:cNvPicPr/>
                  </pic:nvPicPr>
                  <pic:blipFill>
                    <a:blip r:embed="rId30"/>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4.21. Heatmaps tab reporting no spatial data.</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2" name="Picture 22" descr="Figure 4.22. SpatialPack leaderboard."/>
            <wp:cNvGraphicFramePr>
              <a:graphicFrameLocks noChangeAspect="1"/>
            </wp:cNvGraphicFramePr>
            <a:graphic>
              <a:graphicData uri="http://schemas.openxmlformats.org/drawingml/2006/picture">
                <pic:pic>
                  <pic:nvPicPr>
                    <pic:cNvPr id="0" name="17_web_spatial_leaderboard.png"/>
                    <pic:cNvPicPr/>
                  </pic:nvPicPr>
                  <pic:blipFill>
                    <a:blip r:embed="rId31"/>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4.22. SpatialPack leaderboard.</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3" name="Picture 23" descr="Figure 4.23. SpatialPack charts."/>
            <wp:cNvGraphicFramePr>
              <a:graphicFrameLocks noChangeAspect="1"/>
            </wp:cNvGraphicFramePr>
            <a:graphic>
              <a:graphicData uri="http://schemas.openxmlformats.org/drawingml/2006/picture">
                <pic:pic>
                  <pic:nvPicPr>
                    <pic:cNvPr id="0" name="18_web_spatial_charts.png"/>
                    <pic:cNvPicPr/>
                  </pic:nvPicPr>
                  <pic:blipFill>
                    <a:blip r:embed="rId32"/>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4.23. SpatialPack charts.</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4" name="Picture 24" descr="Figure 4.24. FinancePack overview after an in-process run."/>
            <wp:cNvGraphicFramePr>
              <a:graphicFrameLocks noChangeAspect="1"/>
            </wp:cNvGraphicFramePr>
            <a:graphic>
              <a:graphicData uri="http://schemas.openxmlformats.org/drawingml/2006/picture">
                <pic:pic>
                  <pic:nvPicPr>
                    <pic:cNvPr id="0" name="19_web_finance_overview.png"/>
                    <pic:cNvPicPr/>
                  </pic:nvPicPr>
                  <pic:blipFill>
                    <a:blip r:embed="rId33"/>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4.24. FinancePack overview after an in-process run.</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5" name="Picture 25" descr="Figure 4.25. FinancePack leaderboard."/>
            <wp:cNvGraphicFramePr>
              <a:graphicFrameLocks noChangeAspect="1"/>
            </wp:cNvGraphicFramePr>
            <a:graphic>
              <a:graphicData uri="http://schemas.openxmlformats.org/drawingml/2006/picture">
                <pic:pic>
                  <pic:nvPicPr>
                    <pic:cNvPr id="0" name="20_web_finance_leaderboard.png"/>
                    <pic:cNvPicPr/>
                  </pic:nvPicPr>
                  <pic:blipFill>
                    <a:blip r:embed="rId34"/>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4.25. FinancePack leaderboard.</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6" name="Picture 26" descr="Figure 4.26. FinancePack charts."/>
            <wp:cNvGraphicFramePr>
              <a:graphicFrameLocks noChangeAspect="1"/>
            </wp:cNvGraphicFramePr>
            <a:graphic>
              <a:graphicData uri="http://schemas.openxmlformats.org/drawingml/2006/picture">
                <pic:pic>
                  <pic:nvPicPr>
                    <pic:cNvPr id="0" name="21_web_finance_charts.png"/>
                    <pic:cNvPicPr/>
                  </pic:nvPicPr>
                  <pic:blipFill>
                    <a:blip r:embed="rId35"/>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4.26. FinancePack charts.</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7" name="Picture 27" descr="Figure 4.27. FinancePack report tab."/>
            <wp:cNvGraphicFramePr>
              <a:graphicFrameLocks noChangeAspect="1"/>
            </wp:cNvGraphicFramePr>
            <a:graphic>
              <a:graphicData uri="http://schemas.openxmlformats.org/drawingml/2006/picture">
                <pic:pic>
                  <pic:nvPicPr>
                    <pic:cNvPr id="0" name="22_web_finance_report.png"/>
                    <pic:cNvPicPr/>
                  </pic:nvPicPr>
                  <pic:blipFill>
                    <a:blip r:embed="rId36"/>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4.27. FinancePack report tab.</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8" name="Picture 28" descr="Figure 4.28. Chat composer."/>
            <wp:cNvGraphicFramePr>
              <a:graphicFrameLocks noChangeAspect="1"/>
            </wp:cNvGraphicFramePr>
            <a:graphic>
              <a:graphicData uri="http://schemas.openxmlformats.org/drawingml/2006/picture">
                <pic:pic>
                  <pic:nvPicPr>
                    <pic:cNvPr id="0" name="23_web_chat_composer.png"/>
                    <pic:cNvPicPr/>
                  </pic:nvPicPr>
                  <pic:blipFill>
                    <a:blip r:embed="rId37"/>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4.28. Chat composer.</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29" name="Picture 29" descr="Figure 4.29. Admin benchmarks page (client mock data)."/>
            <wp:cNvGraphicFramePr>
              <a:graphicFrameLocks noChangeAspect="1"/>
            </wp:cNvGraphicFramePr>
            <a:graphic>
              <a:graphicData uri="http://schemas.openxmlformats.org/drawingml/2006/picture">
                <pic:pic>
                  <pic:nvPicPr>
                    <pic:cNvPr id="0" name="24_admin_benchmarks.png"/>
                    <pic:cNvPicPr/>
                  </pic:nvPicPr>
                  <pic:blipFill>
                    <a:blip r:embed="rId38"/>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4.29. Admin benchmarks page (client mock data).</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0" name="Picture 30" descr="Figure 4.30. Admin rubrics page (client mock data)."/>
            <wp:cNvGraphicFramePr>
              <a:graphicFrameLocks noChangeAspect="1"/>
            </wp:cNvGraphicFramePr>
            <a:graphic>
              <a:graphicData uri="http://schemas.openxmlformats.org/drawingml/2006/picture">
                <pic:pic>
                  <pic:nvPicPr>
                    <pic:cNvPr id="0" name="25_admin_rubrics.png"/>
                    <pic:cNvPicPr/>
                  </pic:nvPicPr>
                  <pic:blipFill>
                    <a:blip r:embed="rId39"/>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4.30. Admin rubrics page (client mock data).</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1" name="Picture 31" descr="Figure 4.31. Admin domain packs page (client mock data)."/>
            <wp:cNvGraphicFramePr>
              <a:graphicFrameLocks noChangeAspect="1"/>
            </wp:cNvGraphicFramePr>
            <a:graphic>
              <a:graphicData uri="http://schemas.openxmlformats.org/drawingml/2006/picture">
                <pic:pic>
                  <pic:nvPicPr>
                    <pic:cNvPr id="0" name="26_admin_packs.png"/>
                    <pic:cNvPicPr/>
                  </pic:nvPicPr>
                  <pic:blipFill>
                    <a:blip r:embed="rId40"/>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4.31. Admin domain packs page (client mock data).</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2" name="Picture 32" descr="Figure 4.32. Admin audit log (client mock data)."/>
            <wp:cNvGraphicFramePr>
              <a:graphicFrameLocks noChangeAspect="1"/>
            </wp:cNvGraphicFramePr>
            <a:graphic>
              <a:graphicData uri="http://schemas.openxmlformats.org/drawingml/2006/picture">
                <pic:pic>
                  <pic:nvPicPr>
                    <pic:cNvPr id="0" name="27_admin_audit.png"/>
                    <pic:cNvPicPr/>
                  </pic:nvPicPr>
                  <pic:blipFill>
                    <a:blip r:embed="rId41"/>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4.32. Admin audit log (client mock data).</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3" name="Picture 33" descr="Figure 4.33. Admin simulate preview (client mock data)."/>
            <wp:cNvGraphicFramePr>
              <a:graphicFrameLocks noChangeAspect="1"/>
            </wp:cNvGraphicFramePr>
            <a:graphic>
              <a:graphicData uri="http://schemas.openxmlformats.org/drawingml/2006/picture">
                <pic:pic>
                  <pic:nvPicPr>
                    <pic:cNvPr id="0" name="28_admin_simulate.png"/>
                    <pic:cNvPicPr/>
                  </pic:nvPicPr>
                  <pic:blipFill>
                    <a:blip r:embed="rId42"/>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4.33. Admin simulate preview (client mock data).</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4" name="Picture 34" descr="Figure 4.34. OpenAPI documentation at /docs."/>
            <wp:cNvGraphicFramePr>
              <a:graphicFrameLocks noChangeAspect="1"/>
            </wp:cNvGraphicFramePr>
            <a:graphic>
              <a:graphicData uri="http://schemas.openxmlformats.org/drawingml/2006/picture">
                <pic:pic>
                  <pic:nvPicPr>
                    <pic:cNvPr id="0" name="29_api_docs_home.png"/>
                    <pic:cNvPicPr/>
                  </pic:nvPicPr>
                  <pic:blipFill>
                    <a:blip r:embed="rId43"/>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4.34. OpenAPI documentation at /docs.</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5" name="Picture 35" descr="Figure 4.35. OpenAPI health endpoint."/>
            <wp:cNvGraphicFramePr>
              <a:graphicFrameLocks noChangeAspect="1"/>
            </wp:cNvGraphicFramePr>
            <a:graphic>
              <a:graphicData uri="http://schemas.openxmlformats.org/drawingml/2006/picture">
                <pic:pic>
                  <pic:nvPicPr>
                    <pic:cNvPr id="0" name="30_api_docs_health.png"/>
                    <pic:cNvPicPr/>
                  </pic:nvPicPr>
                  <pic:blipFill>
                    <a:blip r:embed="rId44"/>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4.35. OpenAPI health endpoint.</w:t>
      </w:r>
    </w:p>
    <w:p>
      <w:pPr>
        <w:keepNext/>
        <w:keepLines w:val="0"/>
        <w:widowControl/>
        <w:spacing w:after="0" w:before="0" w:line="240" w:lineRule="auto"/>
        <w:jc w:val="center"/>
      </w:pPr>
      <w:r>
        <w:drawing>
          <wp:inline xmlns:a="http://schemas.openxmlformats.org/drawingml/2006/main" xmlns:pic="http://schemas.openxmlformats.org/drawingml/2006/picture">
            <wp:extent cx="5577840" cy="3486150"/>
            <wp:docPr id="36" name="Picture 36" descr="Figure 4.36. OpenAPI projects endpoint."/>
            <wp:cNvGraphicFramePr>
              <a:graphicFrameLocks noChangeAspect="1"/>
            </wp:cNvGraphicFramePr>
            <a:graphic>
              <a:graphicData uri="http://schemas.openxmlformats.org/drawingml/2006/picture">
                <pic:pic>
                  <pic:nvPicPr>
                    <pic:cNvPr id="0" name="31_api_docs_projects.png"/>
                    <pic:cNvPicPr/>
                  </pic:nvPicPr>
                  <pic:blipFill>
                    <a:blip r:embed="rId45"/>
                    <a:stretch>
                      <a:fillRect/>
                    </a:stretch>
                  </pic:blipFill>
                  <pic:spPr>
                    <a:xfrm>
                      <a:off x="0" y="0"/>
                      <a:ext cx="5577840" cy="3486150"/>
                    </a:xfrm>
                    <a:prstGeom prst="rect"/>
                  </pic:spPr>
                </pic:pic>
              </a:graphicData>
            </a:graphic>
          </wp:inline>
        </w:drawing>
      </w:r>
    </w:p>
    <w:p>
      <w:pPr>
        <w:keepNext w:val="0"/>
        <w:keepLines w:val="0"/>
        <w:widowControl/>
        <w:spacing w:after="120" w:before="0" w:line="276" w:lineRule="auto"/>
        <w:jc w:val="center"/>
      </w:pPr>
      <w:r>
        <w:rPr>
          <w:rFonts w:ascii="Times New Roman" w:hAnsi="Times New Roman" w:eastAsia="Times New Roman"/>
          <w:b/>
          <w:sz w:val="20"/>
        </w:rPr>
        <w:t>Figure 4.36. OpenAPI projects endpoint.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240"/>
      <w:outlineLvl w:val="0"/>
    </w:pPr>
    <w:rPr>
      <w:rFonts w:asciiTheme="majorHAnsi" w:eastAsiaTheme="majorEastAsia" w:hAnsiTheme="majorHAnsi" w:cstheme="majorBidi" w:ascii="Times New Roman" w:hAnsi="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Times New Roman" w:hAnsi="Times New Roman" w:eastAsia="Times New Roman"/>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rial" w:hAnsi="Arial" w:eastAsia="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