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HelveticaNeue" w:hAnsi="HelveticaNeue" w:eastAsia="HelveticaNeue" w:cs="HelveticaNeue"/>
          <w:b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Q4. Briefly explain what Github is and how it facilitates collaboration and version control also name some alternatives to GitHub.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Github is a online cloud based hoisting platform to serve the code people around the network, developers can access the code and services offered by that particular repository.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97" w:leader="none"/>
        </w:tabs>
        <w:bidi w:val="0"/>
        <w:spacing w:lineRule="auto" w:line="360" w:before="0" w:after="0"/>
        <w:ind w:left="297" w:right="0" w:hanging="297"/>
        <w:jc w:val="left"/>
        <w:rPr/>
      </w:pPr>
      <w:r>
        <w:rPr/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77" w:leader="none"/>
        </w:tabs>
        <w:bidi w:val="0"/>
        <w:spacing w:lineRule="auto" w:line="360" w:before="0" w:after="0"/>
        <w:ind w:left="477" w:right="0" w:hanging="297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 xml:space="preserve">Forking: </w:t>
      </w: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Forking is the process of creating the copy of particular repo to our repo changes made in forked copy of repo will not affect the original copy.</w:t>
      </w:r>
    </w:p>
    <w:p>
      <w:pPr>
        <w:pStyle w:val="Normal"/>
        <w:widowControl/>
        <w:numPr>
          <w:ilvl w:val="2"/>
          <w:numId w:val="1"/>
        </w:numPr>
        <w:tabs>
          <w:tab w:val="clear" w:pos="720"/>
          <w:tab w:val="left" w:pos="657" w:leader="none"/>
        </w:tabs>
        <w:bidi w:val="0"/>
        <w:spacing w:lineRule="auto" w:line="360" w:before="0" w:after="0"/>
        <w:ind w:left="657" w:right="0" w:hanging="297"/>
        <w:jc w:val="left"/>
        <w:rPr/>
      </w:pPr>
      <w:r>
        <w:rPr/>
      </w:r>
    </w:p>
    <w:p>
      <w:pPr>
        <w:pStyle w:val="Normal"/>
        <w:widowControl/>
        <w:numPr>
          <w:ilvl w:val="3"/>
          <w:numId w:val="1"/>
        </w:numPr>
        <w:tabs>
          <w:tab w:val="clear" w:pos="720"/>
          <w:tab w:val="left" w:pos="837" w:leader="none"/>
        </w:tabs>
        <w:bidi w:val="0"/>
        <w:spacing w:lineRule="auto" w:line="360" w:before="0" w:after="0"/>
        <w:ind w:left="837" w:right="0" w:hanging="297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Developers around the world can collaborate with each other and can contribute to the projects</w:t>
      </w:r>
    </w:p>
    <w:p>
      <w:pPr>
        <w:pStyle w:val="Normal"/>
        <w:widowControl/>
        <w:numPr>
          <w:ilvl w:val="3"/>
          <w:numId w:val="1"/>
        </w:numPr>
        <w:tabs>
          <w:tab w:val="clear" w:pos="720"/>
          <w:tab w:val="left" w:pos="837" w:leader="none"/>
        </w:tabs>
        <w:bidi w:val="0"/>
        <w:spacing w:lineRule="auto" w:line="360" w:before="0" w:after="0"/>
        <w:ind w:left="837" w:right="0" w:hanging="297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Changes made can be seen globally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77" w:leader="none"/>
        </w:tabs>
        <w:bidi w:val="0"/>
        <w:spacing w:lineRule="auto" w:line="360" w:before="0" w:after="0"/>
        <w:ind w:left="477" w:right="0" w:hanging="297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 xml:space="preserve">Clone: </w:t>
      </w: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 xml:space="preserve">To make the local copy of the GitHub repo cloning is done with </w:t>
      </w: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 xml:space="preserve">     </w:t>
      </w:r>
      <w:r>
        <w:rPr>
          <w:rFonts w:eastAsia="HelveticaNeue" w:cs="HelveticaNeue" w:ascii="HelveticaNeue" w:hAnsi="HelveticaNeue"/>
          <w:b/>
          <w:bCs/>
          <w:i/>
          <w:iCs/>
          <w:color w:val="000000"/>
          <w:sz w:val="28"/>
          <w:szCs w:val="28"/>
          <w:lang w:val="en-US"/>
        </w:rPr>
        <w:t>git clone “&lt;</w:t>
      </w:r>
      <w:r>
        <w:rPr>
          <w:rFonts w:eastAsia="HelveticaNeue" w:cs="HelveticaNeue" w:ascii="HelveticaNeue" w:hAnsi="HelveticaNeue"/>
          <w:i/>
          <w:iCs/>
          <w:color w:val="000000"/>
          <w:sz w:val="28"/>
          <w:szCs w:val="28"/>
          <w:lang w:val="en-US"/>
        </w:rPr>
        <w:t>link</w:t>
      </w:r>
      <w:r>
        <w:rPr>
          <w:rFonts w:eastAsia="HelveticaNeue" w:cs="HelveticaNeue" w:ascii="HelveticaNeue" w:hAnsi="HelveticaNeue"/>
          <w:b/>
          <w:bCs/>
          <w:i/>
          <w:iCs/>
          <w:color w:val="000000"/>
          <w:sz w:val="28"/>
          <w:szCs w:val="28"/>
          <w:lang w:val="en-US"/>
        </w:rPr>
        <w:t>&gt;”</w:t>
      </w:r>
      <w:r>
        <w:rPr>
          <w:rFonts w:eastAsia="HelveticaNeue" w:cs="HelveticaNeue" w:ascii="HelveticaNeue" w:hAnsi="HelveticaNeue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and the local copy will be downloaded changes made in the cloned repo will not affect the original copy.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77" w:leader="none"/>
        </w:tabs>
        <w:bidi w:val="0"/>
        <w:spacing w:lineRule="auto" w:line="360" w:before="0" w:after="0"/>
        <w:ind w:left="477" w:right="0" w:hanging="297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 xml:space="preserve">Issue Tracker: </w:t>
      </w: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Github provides a dedicated section to handle and track the issues through GUI developers can collaborate and work on projects and resolve the issues.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477" w:leader="none"/>
        </w:tabs>
        <w:bidi w:val="0"/>
        <w:spacing w:lineRule="auto" w:line="360" w:before="0" w:after="0"/>
        <w:ind w:left="477" w:right="0" w:hanging="297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 xml:space="preserve">Alternatives: </w:t>
      </w: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Gitlab, Bitbucket, GitKarken, SourceForge, AWS codecommit, Gitea, Beanstalk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297"/>
        </w:tabs>
        <w:ind w:left="297" w:hanging="297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477"/>
        </w:tabs>
        <w:ind w:left="477" w:hanging="297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657"/>
        </w:tabs>
        <w:ind w:left="657" w:hanging="297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837"/>
        </w:tabs>
        <w:ind w:left="837" w:hanging="297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