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/>
        <w:jc w:val="center"/>
        <w:rPr>
          <w:rFonts w:hint="eastAsia" w:ascii="Dotum" w:hAnsi="Dotum" w:cs="Dotum"/>
          <w:sz w:val="72"/>
          <w:szCs w:val="72"/>
        </w:rPr>
      </w:pPr>
      <w:r>
        <w:rPr>
          <w:rFonts w:ascii="微软雅黑" w:hAnsi="微软雅黑" w:eastAsia="微软雅黑"/>
          <w:color w:val="0000FF"/>
        </w:rPr>
        <w:drawing>
          <wp:inline distT="0" distB="0" distL="0" distR="0">
            <wp:extent cx="4114800" cy="1181735"/>
            <wp:effectExtent l="0" t="0" r="0" b="0"/>
            <wp:docPr id="1" name="图片 1" descr="http://www.njtech.edu.cn/dfiles/14435/public/home/image/f9e37ed3934a07b32103be32dbd94348_logo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njtech.edu.cn/dfiles/14435/public/home/image/f9e37ed3934a07b32103be32dbd94348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12"/>
        <w:ind w:firstLine="1440"/>
        <w:rPr>
          <w:rFonts w:hint="eastAsia" w:ascii="Dotum" w:hAnsi="Dotum" w:cs="Dotum"/>
          <w:sz w:val="72"/>
          <w:szCs w:val="72"/>
        </w:rPr>
      </w:pPr>
    </w:p>
    <w:p>
      <w:pPr>
        <w:spacing w:after="312"/>
        <w:ind w:firstLine="960"/>
        <w:jc w:val="center"/>
        <w:rPr>
          <w:rFonts w:hint="eastAsia" w:ascii="Dotum" w:hAnsi="Dotum" w:cs="Dotum"/>
          <w:sz w:val="56"/>
          <w:szCs w:val="72"/>
        </w:rPr>
      </w:pPr>
      <w:r>
        <w:rPr>
          <w:rFonts w:hint="eastAsia" w:ascii="宋体" w:hAnsi="宋体" w:cs="Dotum"/>
          <w:sz w:val="48"/>
          <w:szCs w:val="56"/>
        </w:rPr>
        <w:t>《文本数据分析与知识图谱》课程报告</w:t>
      </w:r>
    </w:p>
    <w:p>
      <w:pPr>
        <w:spacing w:after="312"/>
        <w:ind w:firstLine="6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autoSpaceDE w:val="0"/>
        <w:spacing w:before="156" w:beforeLines="50" w:after="156" w:afterLines="50" w:line="360" w:lineRule="auto"/>
        <w:ind w:firstLine="720"/>
        <w:jc w:val="center"/>
        <w:rPr>
          <w:rFonts w:hint="eastAsia" w:ascii="华文中宋" w:hAnsi="华文中宋" w:eastAsia="华文中宋"/>
          <w:color w:val="231F20"/>
          <w:sz w:val="36"/>
          <w:szCs w:val="36"/>
        </w:rPr>
      </w:pPr>
    </w:p>
    <w:p>
      <w:pPr>
        <w:spacing w:after="312"/>
        <w:ind w:firstLine="640"/>
        <w:rPr>
          <w:rFonts w:eastAsia="楷体_GB2312"/>
          <w:sz w:val="32"/>
          <w:szCs w:val="32"/>
        </w:rPr>
      </w:pPr>
      <w:r>
        <w:rPr>
          <w:rFonts w:eastAsia="楷体_GB2312"/>
          <w:sz w:val="32"/>
          <w:szCs w:val="32"/>
        </w:rPr>
        <w:t xml:space="preserve"> </w:t>
      </w:r>
    </w:p>
    <w:p>
      <w:pPr>
        <w:spacing w:after="312"/>
        <w:ind w:firstLine="640"/>
        <w:rPr>
          <w:rFonts w:eastAsia="楷体_GB2312"/>
          <w:sz w:val="32"/>
          <w:szCs w:val="32"/>
          <w:u w:val="single"/>
        </w:rPr>
      </w:pPr>
      <w:r>
        <w:rPr>
          <w:rFonts w:hint="eastAsia" w:ascii="楷体_GB2312" w:hAnsi="楷体_GB2312"/>
          <w:sz w:val="32"/>
          <w:szCs w:val="32"/>
        </w:rPr>
        <w:t>题</w:t>
      </w:r>
      <w:r>
        <w:rPr>
          <w:rFonts w:ascii="楷体_GB2312" w:hAnsi="楷体_GB2312"/>
          <w:sz w:val="32"/>
          <w:szCs w:val="32"/>
        </w:rPr>
        <w:t xml:space="preserve">    </w:t>
      </w:r>
      <w:r>
        <w:rPr>
          <w:rFonts w:hint="eastAsia" w:ascii="楷体_GB2312" w:hAnsi="楷体_GB2312"/>
          <w:sz w:val="32"/>
          <w:szCs w:val="32"/>
        </w:rPr>
        <w:t>目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>基于《红与黑》与《摇滚红与黑</w:t>
      </w:r>
      <w:bookmarkStart w:id="2" w:name="_GoBack"/>
      <w:bookmarkEnd w:id="2"/>
    </w:p>
    <w:p>
      <w:pPr>
        <w:spacing w:after="312"/>
        <w:ind w:firstLine="640"/>
        <w:rPr>
          <w:rFonts w:hint="eastAsia" w:ascii="楷体_GB2312" w:hAnsi="楷体_GB2312"/>
          <w:sz w:val="32"/>
          <w:szCs w:val="32"/>
        </w:rPr>
      </w:pPr>
      <w:r>
        <w:rPr>
          <w:rFonts w:hint="eastAsia" w:ascii="楷体_GB2312" w:hAnsi="楷体_GB2312"/>
          <w:sz w:val="32"/>
          <w:szCs w:val="32"/>
        </w:rPr>
        <w:t xml:space="preserve">        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楷体_GB2312"/>
          <w:sz w:val="32"/>
          <w:szCs w:val="32"/>
          <w:u w:val="single"/>
        </w:rPr>
        <w:t>》</w:t>
      </w:r>
      <w:r>
        <w:rPr>
          <w:rFonts w:hint="eastAsia" w:ascii="楷体_GB2312" w:hAnsi="楷体_GB2312"/>
          <w:sz w:val="32"/>
          <w:szCs w:val="32"/>
          <w:u w:val="single"/>
          <w:lang w:val="en-US" w:eastAsia="zh-CN"/>
        </w:rPr>
        <w:t>的</w:t>
      </w:r>
      <w:r>
        <w:rPr>
          <w:rFonts w:hint="eastAsia" w:eastAsia="楷体_GB2312"/>
          <w:sz w:val="32"/>
          <w:szCs w:val="32"/>
          <w:u w:val="single"/>
        </w:rPr>
        <w:t>跨媒介传播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>特点分析</w:t>
      </w:r>
      <w:r>
        <w:rPr>
          <w:rFonts w:hint="eastAsia" w:eastAsia="楷体_GB2312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>
      <w:pPr>
        <w:spacing w:after="312"/>
        <w:ind w:firstLine="640"/>
        <w:rPr>
          <w:rFonts w:eastAsia="楷体_GB2312"/>
          <w:sz w:val="32"/>
          <w:szCs w:val="32"/>
        </w:rPr>
      </w:pPr>
      <w:r>
        <w:rPr>
          <w:rFonts w:ascii="楷体_GB2312" w:hAnsi="楷体_GB2312"/>
          <w:sz w:val="32"/>
          <w:szCs w:val="32"/>
        </w:rPr>
        <w:t>班</w:t>
      </w:r>
      <w:r>
        <w:rPr>
          <w:rFonts w:eastAsia="楷体_GB2312"/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级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      信管2402      </w:t>
      </w:r>
      <w:r>
        <w:rPr>
          <w:rFonts w:eastAsia="楷体_GB2312"/>
          <w:sz w:val="32"/>
          <w:szCs w:val="32"/>
          <w:u w:val="single"/>
        </w:rPr>
        <w:t xml:space="preserve">     </w:t>
      </w:r>
    </w:p>
    <w:p>
      <w:pPr>
        <w:spacing w:after="312"/>
        <w:ind w:firstLine="640"/>
        <w:rPr>
          <w:rFonts w:eastAsia="宋体"/>
          <w:sz w:val="32"/>
          <w:szCs w:val="32"/>
          <w:u w:val="single"/>
        </w:rPr>
      </w:pPr>
      <w:r>
        <w:rPr>
          <w:rFonts w:ascii="楷体_GB2312" w:hAnsi="楷体_GB2312"/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名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bookmarkStart w:id="0" w:name="_Hlk218536853"/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  </w:t>
      </w:r>
      <w:r>
        <w:rPr>
          <w:rFonts w:hint="eastAsia" w:eastAsia="楷体_GB2312"/>
          <w:sz w:val="32"/>
          <w:szCs w:val="32"/>
          <w:u w:val="single"/>
        </w:rPr>
        <w:t xml:space="preserve">        孙晓雪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bookmarkEnd w:id="0"/>
    </w:p>
    <w:p>
      <w:pPr>
        <w:spacing w:after="312"/>
        <w:ind w:firstLine="640"/>
        <w:jc w:val="left"/>
        <w:rPr>
          <w:rFonts w:hint="eastAsia"/>
          <w:sz w:val="32"/>
          <w:szCs w:val="32"/>
        </w:rPr>
      </w:pPr>
      <w:r>
        <w:rPr>
          <w:rFonts w:ascii="楷体_GB2312" w:hAnsi="楷体_GB2312"/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号</w:t>
      </w:r>
      <w:r>
        <w:rPr>
          <w:rFonts w:eastAsia="楷体_GB2312"/>
          <w:sz w:val="32"/>
          <w:szCs w:val="32"/>
        </w:rPr>
        <w:t xml:space="preserve">: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202421054033         </w:t>
      </w:r>
    </w:p>
    <w:p>
      <w:pPr>
        <w:spacing w:after="312"/>
        <w:ind w:firstLine="560"/>
        <w:jc w:val="center"/>
        <w:rPr>
          <w:rFonts w:hint="eastAsia" w:ascii="楷体_GB2312" w:hAnsi="楷体_GB2312"/>
          <w:sz w:val="28"/>
          <w:szCs w:val="28"/>
        </w:rPr>
      </w:pPr>
      <w:r>
        <w:rPr>
          <w:rFonts w:eastAsia="楷体_GB2312"/>
          <w:sz w:val="28"/>
          <w:szCs w:val="28"/>
        </w:rPr>
        <w:t>20</w:t>
      </w:r>
      <w:r>
        <w:rPr>
          <w:rFonts w:hint="eastAsia"/>
          <w:sz w:val="28"/>
          <w:szCs w:val="28"/>
        </w:rPr>
        <w:t>25</w:t>
      </w:r>
      <w:r>
        <w:rPr>
          <w:rFonts w:ascii="楷体_GB2312" w:hAnsi="楷体_GB2312"/>
          <w:sz w:val="28"/>
          <w:szCs w:val="28"/>
        </w:rPr>
        <w:t>年</w:t>
      </w:r>
      <w:r>
        <w:rPr>
          <w:rFonts w:eastAsia="楷体_GB2312"/>
          <w:sz w:val="28"/>
          <w:szCs w:val="28"/>
        </w:rPr>
        <w:t xml:space="preserve"> </w:t>
      </w:r>
      <w:r>
        <w:rPr>
          <w:rFonts w:hint="eastAsia" w:eastAsia="楷体_GB2312"/>
          <w:sz w:val="28"/>
          <w:szCs w:val="28"/>
        </w:rPr>
        <w:t>12</w:t>
      </w:r>
      <w:r>
        <w:rPr>
          <w:rFonts w:ascii="楷体_GB2312" w:hAnsi="楷体_GB2312"/>
          <w:sz w:val="28"/>
          <w:szCs w:val="28"/>
        </w:rPr>
        <w:t>月</w:t>
      </w:r>
    </w:p>
    <w:p>
      <w:pPr>
        <w:pStyle w:val="3"/>
        <w:spacing w:after="312"/>
        <w:ind w:firstLine="643"/>
      </w:pPr>
      <w:r>
        <w:rPr>
          <w:rFonts w:hint="eastAsia"/>
        </w:rPr>
        <w:br w:type="page"/>
      </w:r>
      <w:r>
        <w:rPr>
          <w:rFonts w:hint="eastAsia"/>
        </w:rPr>
        <w:t>一、引言</w:t>
      </w:r>
    </w:p>
    <w:p>
      <w:pPr>
        <w:pStyle w:val="18"/>
        <w:spacing w:after="156"/>
        <w:ind w:firstLine="560"/>
      </w:pPr>
      <w:r>
        <w:rPr>
          <w:rFonts w:hint="eastAsia"/>
        </w:rPr>
        <w:t>本次课程作业我们小组选取了文学经典《红与黑》及其音乐剧改编《摇滚红与黑》作为研究对象，旨在通过数据挖掘技术分析两种不同媒介载体在叙事上的差异。作为小组成员，我的工作重心主要在于底层的数据处理与量化分析。我负责了从原始</w:t>
      </w:r>
      <w:r>
        <w:t>PDF</w:t>
      </w:r>
      <w:r>
        <w:rPr>
          <w:rFonts w:hint="eastAsia"/>
        </w:rPr>
        <w:t>文本的清洗整理，到利用</w:t>
      </w:r>
      <w:r>
        <w:t>SnowNLP</w:t>
      </w:r>
      <w:r>
        <w:rPr>
          <w:rFonts w:hint="eastAsia"/>
        </w:rPr>
        <w:t>进行情感趋势分析，再到通过</w:t>
      </w:r>
      <w:r>
        <w:t>LDA</w:t>
      </w:r>
      <w:r>
        <w:rPr>
          <w:rFonts w:hint="eastAsia"/>
        </w:rPr>
        <w:t>模型挖掘潜在主题的全过程。我们需要证明，媒介形式的改变不仅仅影响了故事的讲法，更深刻地重塑了文本的内在逻辑。</w:t>
      </w:r>
    </w:p>
    <w:p>
      <w:pPr>
        <w:pStyle w:val="3"/>
        <w:rPr>
          <w:rFonts w:hint="eastAsia"/>
        </w:rPr>
      </w:pPr>
      <w:r>
        <w:rPr>
          <w:rFonts w:hint="eastAsia"/>
        </w:rPr>
        <w:t>二、数据预处理</w:t>
      </w:r>
    </w:p>
    <w:p>
      <w:pPr>
        <w:pStyle w:val="18"/>
        <w:spacing w:after="156"/>
        <w:ind w:firstLine="560"/>
      </w:pPr>
      <w:r>
        <w:rPr>
          <w:rFonts w:hint="eastAsia"/>
        </w:rPr>
        <w:t>收集数据与数据预处理是耗时最长的一环。由于剧本没有公开的文本文件，我们组分工，每人负责一部分台词的收录（从</w:t>
      </w:r>
      <w:r>
        <w:t>B</w:t>
      </w:r>
      <w:r>
        <w:rPr>
          <w:rFonts w:hint="eastAsia"/>
        </w:rPr>
        <w:t>站官摄中获取）。而且，由于我们获取的小说原著是</w:t>
      </w:r>
      <w:r>
        <w:t>PDF</w:t>
      </w:r>
      <w:r>
        <w:rPr>
          <w:rFonts w:hint="eastAsia"/>
        </w:rPr>
        <w:t>格式，无法直接进行文本挖掘，我首先需要将其转换为纯文本。在这里我借用了网页工具：</w:t>
      </w:r>
      <w:r>
        <w:t>PDF2 text</w:t>
      </w:r>
      <w:r>
        <w:rPr>
          <w:rFonts w:hint="eastAsia"/>
        </w:rPr>
        <w:t>网页，将《红与黑》</w:t>
      </w:r>
      <w:r>
        <w:t>PDF</w:t>
      </w:r>
      <w:r>
        <w:rPr>
          <w:rFonts w:hint="eastAsia"/>
        </w:rPr>
        <w:t>转化为《红与黑》</w:t>
      </w:r>
      <w:r>
        <w:t>text</w:t>
      </w:r>
      <w:r>
        <w:rPr>
          <w:rFonts w:hint="eastAsia"/>
        </w:rPr>
        <w:t>。</w:t>
      </w:r>
    </w:p>
    <w:p>
      <w:pPr>
        <w:ind w:firstLine="560"/>
      </w:pPr>
      <w:r>
        <w:drawing>
          <wp:inline distT="0" distB="0" distL="0" distR="0">
            <wp:extent cx="3276600" cy="1150620"/>
            <wp:effectExtent l="0" t="0" r="0" b="0"/>
            <wp:docPr id="9131654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542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pacing w:after="156"/>
        <w:ind w:firstLine="0" w:firstLineChars="0"/>
        <w:rPr>
          <w:rFonts w:hint="eastAsia"/>
        </w:rPr>
      </w:pPr>
      <w:r>
        <w:rPr>
          <w:rFonts w:hint="eastAsia"/>
        </w:rPr>
        <w:t>初步转换完成后，对章节进行抽样查看转换效果。但是</w:t>
      </w:r>
      <w:r>
        <w:t>PDF</w:t>
      </w:r>
      <w:r>
        <w:rPr>
          <w:rFonts w:hint="eastAsia"/>
        </w:rPr>
        <w:t>初步转换后仍然保留了大量的页码、注释以及各种由于排版产生的乱码和断行。于是我又利用</w:t>
      </w:r>
      <w:r>
        <w:t>AI</w:t>
      </w:r>
      <w:r>
        <w:rPr>
          <w:rFonts w:hint="eastAsia"/>
        </w:rPr>
        <w:t>帮助我进行编写了</w:t>
      </w:r>
      <w:r>
        <w:t>Python</w:t>
      </w:r>
      <w:r>
        <w:rPr>
          <w:rFonts w:hint="eastAsia"/>
        </w:rPr>
        <w:t>脚本，利用正则表达式对这些非文本信息进行了剔除。清洗工作完成后，担心代码运行效果，对章节进行抽样查看清洗效果。并且人工核查一遍。最终生成清洗后的数据文本。</w:t>
      </w:r>
    </w:p>
    <w:p>
      <w:pPr>
        <w:pStyle w:val="3"/>
        <w:rPr>
          <w:rFonts w:hint="eastAsia"/>
        </w:rPr>
      </w:pPr>
      <w:r>
        <w:rPr>
          <w:rFonts w:hint="eastAsia"/>
        </w:rPr>
        <w:t>三、情感分析</w:t>
      </w:r>
    </w:p>
    <w:p>
      <w:pPr>
        <w:pStyle w:val="18"/>
        <w:spacing w:after="156"/>
        <w:ind w:firstLine="560"/>
      </w:pPr>
      <w:r>
        <w:rPr>
          <w:rFonts w:hint="eastAsia"/>
        </w:rPr>
        <w:t>情感分析是我们验证“文学内敛”与“戏剧外放”这一假设的关键手段。我选择了SnowNLP库情感分析（Sentiment Analysis）模块来完成这项任务。</w:t>
      </w:r>
    </w:p>
    <w:p>
      <w:pPr>
        <w:pStyle w:val="18"/>
        <w:spacing w:after="156"/>
        <w:ind w:firstLine="560"/>
      </w:pPr>
      <w:r>
        <w:t>针对小说全文，我进行了</w:t>
      </w:r>
      <w:r>
        <w:rPr>
          <w:rFonts w:hint="eastAsia"/>
        </w:rPr>
        <w:t>上下卷</w:t>
      </w:r>
      <w:r>
        <w:t>的情感值计算，追踪了主要人物的情感起伏。生成的曲线图非常直观。小说的情感曲线呈现出一种明显的“渐进式”特征。它很少出现剧烈的跳变，大部分时间都在中性值附近上下浮动，波动的幅度很小。这其实就是司汤达笔下“心理现实主义”的数字映射。小说里的情感往往是压抑的、克制的，人物内心的波澜需要读者去字里行间体会，而不是通过文字表面的词藻直接宣泄出来。</w:t>
      </w:r>
      <w:r>
        <w:rPr>
          <w:rFonts w:hint="eastAsia"/>
        </w:rPr>
        <w:t>与之相对的剧本中主要人物的情感波动就有高有低，像过山车一样起伏。</w:t>
      </w:r>
    </w:p>
    <w:p>
      <w:pPr>
        <w:pStyle w:val="18"/>
        <w:spacing w:after="156"/>
        <w:ind w:firstLine="560"/>
      </w:pPr>
      <w:r>
        <w:rPr>
          <w:rFonts w:hint="eastAsia"/>
        </w:rPr>
        <w:t>同时，由于小说字数近30万字，文本量过大，于是选取与剧本中相同情节、情感冲突剧烈的场景进行分析。</w:t>
      </w:r>
      <w:r>
        <w:t>剧本的波形图剧烈震荡，频繁出现极端的峰值和谷值。这种强烈的视觉反差，印证了我们关于“剧本放大情感极致性”的论点。音乐剧受限</w:t>
      </w:r>
      <w:r>
        <w:rPr>
          <w:rFonts w:hint="eastAsia"/>
        </w:rPr>
        <w:t>于</w:t>
      </w:r>
      <w:r>
        <w:t>舞台</w:t>
      </w:r>
      <w:r>
        <w:rPr>
          <w:rFonts w:hint="eastAsia"/>
        </w:rPr>
        <w:t>时长</w:t>
      </w:r>
      <w:r>
        <w:t>，</w:t>
      </w:r>
      <w:r>
        <w:rPr>
          <w:rFonts w:hint="eastAsia"/>
        </w:rPr>
        <w:t>没有办法</w:t>
      </w:r>
      <w:r>
        <w:t>像小说那样</w:t>
      </w:r>
      <w:r>
        <w:rPr>
          <w:rFonts w:hint="eastAsia"/>
        </w:rPr>
        <w:t>娓娓道来</w:t>
      </w:r>
      <w:r>
        <w:t>的心理</w:t>
      </w:r>
      <w:r>
        <w:rPr>
          <w:rFonts w:hint="eastAsia"/>
        </w:rPr>
        <w:t>渐变</w:t>
      </w:r>
      <w:r>
        <w:t>，它必须在短时间内抓住观众的注意力。因此，台词和唱词必须充满张力，情绪必须直给。通过SnowNLP的量化，我们将这种“舞台张力”变成了可视化的数据证据</w:t>
      </w:r>
      <w:r>
        <w:rPr>
          <w:rFonts w:hint="eastAsia"/>
        </w:rPr>
        <w:t>。</w:t>
      </w:r>
    </w:p>
    <w:p>
      <w:pPr>
        <w:pStyle w:val="3"/>
      </w:pPr>
      <w:r>
        <w:rPr>
          <w:rFonts w:hint="eastAsia"/>
        </w:rPr>
        <w:t>四、LDA主题建模</w:t>
      </w:r>
    </w:p>
    <w:p>
      <w:pPr>
        <w:pStyle w:val="18"/>
        <w:spacing w:after="156"/>
        <w:ind w:firstLine="560"/>
      </w:pPr>
      <w:r>
        <w:t>为了探究小说与剧本在</w:t>
      </w:r>
      <w:r>
        <w:rPr>
          <w:rFonts w:hint="eastAsia"/>
        </w:rPr>
        <w:t>情感主题</w:t>
      </w:r>
      <w:r>
        <w:t>上的差异，我使用了LDA（Latent Dirichlet Allocation）主题模型。</w:t>
      </w:r>
      <w:r>
        <w:rPr>
          <w:rFonts w:hint="eastAsia"/>
        </w:rPr>
        <w:t>这也</w:t>
      </w:r>
      <w:r>
        <w:t>是</w:t>
      </w:r>
      <w:r>
        <w:rPr>
          <w:rFonts w:hint="eastAsia"/>
        </w:rPr>
        <w:t>让我感觉最头疼</w:t>
      </w:r>
      <w:r>
        <w:t>的部分。</w:t>
      </w:r>
    </w:p>
    <w:p>
      <w:pPr>
        <w:pStyle w:val="18"/>
        <w:spacing w:after="156"/>
        <w:ind w:firstLine="560"/>
      </w:pPr>
      <w:r>
        <w:t>由于小说和剧本的词汇量</w:t>
      </w:r>
      <w:r>
        <w:rPr>
          <w:rFonts w:hint="eastAsia"/>
        </w:rPr>
        <w:t>、</w:t>
      </w:r>
      <w:r>
        <w:t>语体风格</w:t>
      </w:r>
      <w:r>
        <w:rPr>
          <w:rFonts w:hint="eastAsia"/>
        </w:rPr>
        <w:t>差异巨大</w:t>
      </w:r>
      <w:r>
        <w:t>，</w:t>
      </w:r>
      <w:r>
        <w:rPr>
          <w:rFonts w:hint="eastAsia"/>
        </w:rPr>
        <w:t>刚开始</w:t>
      </w:r>
      <w:r>
        <w:t>直接套用默认参数导致主题混淆，分出来的主题要么全是</w:t>
      </w:r>
      <w:r>
        <w:rPr>
          <w:rFonts w:hint="eastAsia"/>
        </w:rPr>
        <w:t>小说中不适用</w:t>
      </w:r>
      <w:r>
        <w:t>，要么</w:t>
      </w:r>
      <w:r>
        <w:rPr>
          <w:rFonts w:hint="eastAsia"/>
        </w:rPr>
        <w:t>剧本中不存在</w:t>
      </w:r>
      <w:r>
        <w:t>。</w:t>
      </w:r>
      <w:r>
        <w:rPr>
          <w:rFonts w:hint="eastAsia"/>
        </w:rPr>
        <w:t>并且由于小说的文学性，对情感的表达相对含蓄隐喻，提取关键词时总会存在一些不必要的通用词，所以我借用了哈尔滨工业大学的停用词表</w:t>
      </w:r>
      <w:r>
        <w:t>（HIT Stop Words List）</w:t>
      </w:r>
      <w:r>
        <w:rPr>
          <w:rFonts w:hint="eastAsia"/>
        </w:rPr>
        <w:t>帮助我完成关键词的提取。同时我进行了多次参数调优实验。我调整了文档-主题分布的alpha参数和主题-词分布的eta参数，并参考了困惑度等指标。最终，我确定小说划分为4个主题，剧本划分为3个主题。</w:t>
      </w:r>
    </w:p>
    <w:p>
      <w:pPr>
        <w:pStyle w:val="18"/>
        <w:spacing w:after="156"/>
        <w:ind w:firstLine="560"/>
        <w:rPr>
          <w:rFonts w:hint="eastAsia"/>
        </w:rPr>
      </w:pPr>
      <w:r>
        <w:drawing>
          <wp:inline distT="0" distB="0" distL="0" distR="0">
            <wp:extent cx="4678680" cy="1973580"/>
            <wp:effectExtent l="0" t="0" r="0" b="0"/>
            <wp:docPr id="83793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359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spacing w:after="156"/>
        <w:ind w:firstLine="560"/>
      </w:pPr>
      <w:r>
        <w:rPr>
          <w:rFonts w:hint="eastAsia"/>
        </w:rPr>
        <w:t>模型运行出来的结果相对令人信服，也较为清晰。</w:t>
      </w:r>
      <w:r>
        <w:t>小说的主题分布呈现出一种多元共生的状态。阶级政治、宗教道德、爱情与人物关系等主题各占一定比例，没有哪一家独大。特别是“宗教道德”这一主题，在小说中占据了相当显著的权重。这符合《红与黑》作为批判现实主义作品的基调，它关注的是19世纪法国社会的全景。</w:t>
      </w:r>
      <w:r>
        <w:rPr>
          <w:rFonts w:hint="eastAsia"/>
        </w:rPr>
        <w:t>再看</w:t>
      </w:r>
      <w:r>
        <w:t>音乐剧剧本的模型结果，发生了剧烈的变化。剧本的主题高度集中，几乎被“爱情与人物关系”这一主题垄断，</w:t>
      </w:r>
      <w:r>
        <w:rPr>
          <w:rFonts w:hint="eastAsia"/>
        </w:rPr>
        <w:t>占比高达50%；</w:t>
      </w:r>
      <w:r>
        <w:t>而在小说中极为重要的“宗教道德”维度，在剧本的主题模型中几乎消失了。</w:t>
      </w:r>
    </w:p>
    <w:p>
      <w:pPr>
        <w:pStyle w:val="3"/>
      </w:pPr>
      <w:r>
        <w:rPr>
          <w:rFonts w:hint="eastAsia"/>
        </w:rPr>
        <w:t>五、心得总结</w:t>
      </w:r>
    </w:p>
    <w:p>
      <w:pPr>
        <w:pStyle w:val="18"/>
        <w:spacing w:after="156"/>
        <w:ind w:firstLine="560"/>
      </w:pPr>
      <w:r>
        <w:t>回看整个作业过程，我最大的收获在于理解了“数据人文”的真实含义。以前</w:t>
      </w:r>
      <w:r>
        <w:rPr>
          <w:rFonts w:hint="eastAsia"/>
        </w:rPr>
        <w:t>总</w:t>
      </w:r>
      <w:r>
        <w:t>觉得</w:t>
      </w:r>
      <w:r>
        <w:rPr>
          <w:rFonts w:hint="eastAsia"/>
        </w:rPr>
        <w:t>玩</w:t>
      </w:r>
      <w:r>
        <w:t>代码的和搞文学的是两路人，这次作业让我看到了两者结合的巨大潜力。</w:t>
      </w:r>
    </w:p>
    <w:p>
      <w:pPr>
        <w:pStyle w:val="18"/>
        <w:spacing w:after="156"/>
        <w:ind w:firstLine="560"/>
        <w:rPr>
          <w:rFonts w:hint="eastAsia"/>
        </w:rPr>
      </w:pPr>
      <w:r>
        <w:t>以前我们评价改编作品，往往会</w:t>
      </w:r>
      <w:r>
        <w:rPr>
          <w:rFonts w:hint="eastAsia"/>
        </w:rPr>
        <w:t>从感性出发：</w:t>
      </w:r>
      <w:r>
        <w:t>“不如原著深刻”或者“为了商业化牺牲了艺术性”。通过这次的数据挖掘，我看到了</w:t>
      </w:r>
      <w:r>
        <w:rPr>
          <w:rFonts w:hint="eastAsia"/>
        </w:rPr>
        <w:t>改编作品</w:t>
      </w:r>
      <w:r>
        <w:t>背后的“</w:t>
      </w:r>
      <w:r>
        <w:rPr>
          <w:rFonts w:hint="eastAsia"/>
        </w:rPr>
        <w:t>逻辑性</w:t>
      </w:r>
      <w:r>
        <w:t>”。</w:t>
      </w:r>
      <w:bookmarkStart w:id="1" w:name="_Hlk218541454"/>
      <w:r>
        <w:t>LDA模型</w:t>
      </w:r>
      <w:bookmarkEnd w:id="1"/>
      <w:r>
        <w:t>的数据告诉我们，如果音乐剧保留原著那么复杂的宗教和政治主题，在短短两小时的舞台叙事里根本讲不清楚。情感曲线也告诉我们，如果不把情绪推到极端，坐在最后一排的观众根本感受不到角色的痛苦。数据没有审判改编的好坏，而是揭示了改编的生存法则。</w:t>
      </w:r>
      <w:r>
        <w:rPr>
          <w:rFonts w:hint="eastAsia"/>
        </w:rPr>
        <w:t>同时，</w:t>
      </w:r>
      <w:r>
        <w:t>这次作业也让我对LDA这类概率模型有了更深的理解。它不是魔法，而是一个基于统计的显微镜。</w:t>
      </w:r>
      <w:r>
        <w:rPr>
          <w:rFonts w:hint="eastAsia"/>
        </w:rPr>
        <w:t>而是</w:t>
      </w:r>
      <w:r>
        <w:t>通过数学计算，把人类阅读时潜意识里感受到的那些“氛围”、“基调”，量化成了一个个具体的主题概率分布。这让我意识到，所谓的“文学性”，在某种程度上也是可以通过语言特征被计算出来的。</w:t>
      </w:r>
    </w:p>
    <w:p>
      <w:pPr>
        <w:pStyle w:val="18"/>
        <w:spacing w:after="156"/>
        <w:ind w:firstLine="560"/>
      </w:pPr>
      <w:r>
        <w:t>我也深刻体会到了</w:t>
      </w:r>
      <w:r>
        <w:rPr>
          <w:rFonts w:hint="eastAsia"/>
        </w:rPr>
        <w:t>课业</w:t>
      </w:r>
      <w:r>
        <w:t>实践中的取舍艺术。比如在</w:t>
      </w:r>
      <w:r>
        <w:rPr>
          <w:rFonts w:hint="eastAsia"/>
        </w:rPr>
        <w:t>LDA模型</w:t>
      </w:r>
      <w:r>
        <w:t>时，如果追求100%的完美，可能一个学期也做不完。但</w:t>
      </w:r>
      <w:r>
        <w:rPr>
          <w:rFonts w:hint="eastAsia"/>
        </w:rPr>
        <w:t>由于时间问题</w:t>
      </w:r>
      <w:r>
        <w:t>，选择了</w:t>
      </w:r>
      <w:r>
        <w:rPr>
          <w:rFonts w:hint="eastAsia"/>
        </w:rPr>
        <w:t>相对可靠的一版。</w:t>
      </w:r>
      <w:r>
        <w:t>这种在“完美”与“可行”之间寻找平衡的能力，是我在课本上学不到的，但在实际做项目时却是最有用的。</w:t>
      </w:r>
    </w:p>
    <w:p>
      <w:pPr>
        <w:pStyle w:val="18"/>
        <w:spacing w:after="156"/>
        <w:ind w:firstLine="560"/>
        <w:rPr>
          <w:rFonts w:hint="eastAsia"/>
        </w:rPr>
      </w:pPr>
      <w:r>
        <w:t>总的来说，这次作业虽然过程曲折，但结果是很值得的。我不仅掌握了SnowNLP、LDA这些具体的工具，更重要的是建立了一种新的思维方式。这种思维让我不再仅仅把文学作品当作一种审美对象，而是把它看作一种可以被分析、被量化的复杂系统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D7966"/>
    <w:rsid w:val="00004725"/>
    <w:rsid w:val="00013C7E"/>
    <w:rsid w:val="00040AEC"/>
    <w:rsid w:val="000470A7"/>
    <w:rsid w:val="00076C36"/>
    <w:rsid w:val="000C755E"/>
    <w:rsid w:val="001509C7"/>
    <w:rsid w:val="00404645"/>
    <w:rsid w:val="00481988"/>
    <w:rsid w:val="004C41B8"/>
    <w:rsid w:val="004C77FC"/>
    <w:rsid w:val="004F6C25"/>
    <w:rsid w:val="00512711"/>
    <w:rsid w:val="006316B0"/>
    <w:rsid w:val="00682E39"/>
    <w:rsid w:val="00687E78"/>
    <w:rsid w:val="00696D59"/>
    <w:rsid w:val="006D1C5F"/>
    <w:rsid w:val="00854351"/>
    <w:rsid w:val="00877A7D"/>
    <w:rsid w:val="00895CF2"/>
    <w:rsid w:val="008C651B"/>
    <w:rsid w:val="00940196"/>
    <w:rsid w:val="00A01A1C"/>
    <w:rsid w:val="00A576B3"/>
    <w:rsid w:val="00AE31C1"/>
    <w:rsid w:val="00B07354"/>
    <w:rsid w:val="00B964BD"/>
    <w:rsid w:val="00C7191A"/>
    <w:rsid w:val="00D8336E"/>
    <w:rsid w:val="00DE19CC"/>
    <w:rsid w:val="00DF0389"/>
    <w:rsid w:val="00F37DF5"/>
    <w:rsid w:val="00F86947"/>
    <w:rsid w:val="00FF1E2D"/>
    <w:rsid w:val="03077792"/>
    <w:rsid w:val="064766A2"/>
    <w:rsid w:val="1A9C00AB"/>
    <w:rsid w:val="1CAD7966"/>
    <w:rsid w:val="43EF7549"/>
    <w:rsid w:val="475553D2"/>
    <w:rsid w:val="4A857ED3"/>
    <w:rsid w:val="6AC365A9"/>
    <w:rsid w:val="7BFA3413"/>
    <w:rsid w:val="7C1B1BE1"/>
    <w:rsid w:val="7D5969BC"/>
    <w:rsid w:val="FF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Date"/>
    <w:basedOn w:val="1"/>
    <w:next w:val="1"/>
    <w:link w:val="13"/>
    <w:uiPriority w:val="0"/>
    <w:pPr>
      <w:ind w:left="100" w:leftChars="2500"/>
    </w:pPr>
  </w:style>
  <w:style w:type="paragraph" w:styleId="6">
    <w:name w:val="Balloon Text"/>
    <w:basedOn w:val="1"/>
    <w:link w:val="14"/>
    <w:uiPriority w:val="0"/>
    <w:rPr>
      <w:sz w:val="18"/>
      <w:szCs w:val="18"/>
    </w:r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iPriority w:val="0"/>
    <w:rPr>
      <w:sz w:val="24"/>
    </w:rPr>
  </w:style>
  <w:style w:type="character" w:styleId="12">
    <w:name w:val="Strong"/>
    <w:qFormat/>
    <w:uiPriority w:val="22"/>
    <w:rPr>
      <w:b/>
      <w:bCs/>
    </w:rPr>
  </w:style>
  <w:style w:type="character" w:customStyle="1" w:styleId="13">
    <w:name w:val="日期 字符"/>
    <w:link w:val="5"/>
    <w:uiPriority w:val="0"/>
    <w:rPr>
      <w:rFonts w:ascii="Calibri" w:hAnsi="Calibri"/>
      <w:kern w:val="2"/>
      <w:sz w:val="21"/>
      <w:szCs w:val="24"/>
    </w:rPr>
  </w:style>
  <w:style w:type="character" w:customStyle="1" w:styleId="14">
    <w:name w:val="批注框文本 字符"/>
    <w:link w:val="6"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脚 字符"/>
    <w:link w:val="7"/>
    <w:uiPriority w:val="0"/>
    <w:rPr>
      <w:rFonts w:ascii="Calibri" w:hAnsi="Calibri"/>
      <w:kern w:val="2"/>
      <w:sz w:val="18"/>
      <w:szCs w:val="18"/>
    </w:rPr>
  </w:style>
  <w:style w:type="character" w:customStyle="1" w:styleId="16">
    <w:name w:val="页眉 字符"/>
    <w:link w:val="8"/>
    <w:qFormat/>
    <w:uiPriority w:val="0"/>
    <w:rPr>
      <w:rFonts w:ascii="Calibri" w:hAnsi="Calibri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文本"/>
    <w:basedOn w:val="1"/>
    <w:qFormat/>
    <w:uiPriority w:val="0"/>
    <w:pPr>
      <w:spacing w:after="50" w:afterLines="50"/>
      <w:ind w:firstLine="200" w:firstLineChars="200"/>
    </w:pPr>
    <w:rPr>
      <w:rFonts w:ascii="Times New Roman" w:hAnsi="Times New Roman" w:eastAsia="宋体"/>
      <w:color w:val="000000" w:themeColor="text1"/>
      <w:sz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://www.njtech.edu.cn/index.ht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1165</Words>
  <Characters>1305</Characters>
  <Lines>652</Lines>
  <Paragraphs>352</Paragraphs>
  <TotalTime>2</TotalTime>
  <ScaleCrop>false</ScaleCrop>
  <LinksUpToDate>false</LinksUpToDate>
  <CharactersWithSpaces>2118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2026-01-05T13:46:00Z</dcterms:created>
  <dc:creator>我是我亦将不是我</dc:creator>
  <cp:lastModifiedBy>WPS_1340142376</cp:lastModifiedBy>
  <dcterms:modified xsi:type="dcterms:W3CDTF">2026-01-05T15:47:12Z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RubyTemplateID">
    <vt:lpwstr>6</vt:lpwstr>
  </property>
  <property fmtid="{D5CDD505-2E9C-101B-9397-08002B2CF9AE}" pid="4" name="ICV">
    <vt:lpwstr>B09B20B377C4527EC7613A6919A29A53_43</vt:lpwstr>
  </property>
</Properties>
</file>