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E6021E">
      <w:pPr>
        <w:jc w:val="center"/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  <w:t>从“服务化”到“智能自治化”：软件发展的下一阶段特征与路径</w:t>
      </w:r>
    </w:p>
    <w:p w14:paraId="23E74338">
      <w:pPr>
        <w:pStyle w:val="3"/>
        <w:jc w:val="center"/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  <w:t>摘要</w:t>
      </w:r>
    </w:p>
    <w:p w14:paraId="555B2494">
      <w:pPr>
        <w:spacing w:after="120"/>
        <w:ind w:firstLine="720" w:firstLineChars="0"/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  <w:t>在经历了以SaaS/PaaS/IaaS为核心的“服务化”阶段之后，软件行业正迈向以AI为原生能力、以自治为目标的下一阶段。本文提出一个“智能自治化（Intelligent &amp; Autonomous Software）”分析框架：以AI原生架构、Agent化编排、云—边—端一体、可信与合规内建、从DevOps到MLOps/LLMOps/AIOps的运维一体化、以及从订阅到按成果计费的商业模式为关键特征。文章在技术架构、交付运维、用户体验、商业模式与治理合规五个维度给出可操作的落地路线与能力矩阵，并讨论风险与挑战。结论认为：下一阶段的软件将从“提供服务”进一步演进为“提供可验证成果与自治能力”，其竞争力来自模型与数据、自动化运营、以及可信合规的系统化能力。</w:t>
      </w:r>
    </w:p>
    <w:p w14:paraId="0D816C70">
      <w:pPr>
        <w:pStyle w:val="3"/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  <w:t>一、问题界定与趋势框架</w:t>
      </w:r>
    </w:p>
    <w:p w14:paraId="458C1039">
      <w:pPr>
        <w:spacing w:after="120"/>
        <w:ind w:firstLine="720" w:firstLineChars="0"/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  <w:t>“服务化”解决了供给方式与交付效率的问题，使软件能够以按需、弹性、持续交付的形态运行在云端。面向下一阶段，我们将“智能自治化”界定为：以模型/数据/知识为一等公民，以Agent为执行主体，能够在最小人工干预下完成感知—决策—执行闭环，并对质量、安全、成本与合规给出可观测、可控制、可追责的保证。它体现为五条主线：（1）AI原生：模型即平台、数据即产品、评测即流程；（2）Agent化：从API编排转向意图编排与工具使用；（3）云—边—端协同：在端侧/边缘部署轻量模型，云端负责训练与协调；（4）可信与治理：零信任+数据主权+AI治理一体化；（5）价值闭环：从“用量”走向“成果”，以业务指标驱动工程与运营。</w:t>
      </w:r>
    </w:p>
    <w:p w14:paraId="53251E15">
      <w:pPr>
        <w:pStyle w:val="3"/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  <w:t>二、技术架构新范式：AI‑Native 与 Agent‑Native</w:t>
      </w:r>
    </w:p>
    <w:p w14:paraId="13254954">
      <w:pPr>
        <w:spacing w:after="120"/>
        <w:ind w:firstLine="720" w:firstLineChars="0"/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  <w:t>1. 模型成为一等公民（AI‑Native）：系统把基础/专用模型、向量检索、知识图谱与特征仓作为核心底座。检索增强生成（RAG）、工具调用、长程记忆、上下文路由与评测/防护（Guardrails）形成“感知—理解—行动”的公共能力层。模型与数据的生命周期（数据治理→标注/对齐→训练/微调→评测→上线→监控→漂移处置）被工程化为ModelOps/LLMOps流水线。</w:t>
      </w:r>
    </w:p>
    <w:p w14:paraId="6BCFA27D">
      <w:pPr>
        <w:spacing w:after="120"/>
        <w:ind w:firstLine="720" w:firstLineChars="0"/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  <w:t>2. Agent化执行模型（Agent‑Native）：以“意图→计划→调用工具/服务→反思→复用记忆”替代纯粹的RPC编排。多智能体协作通过工作流/状态机/事件总线实现，面向业务以“能力合约”暴露功能（遵循开放API/异步API等规范），支持可回退、可审计与可解释。</w:t>
      </w:r>
    </w:p>
    <w:p w14:paraId="63AFA7C8">
      <w:pPr>
        <w:spacing w:after="120"/>
        <w:ind w:firstLine="720" w:firstLineChars="0"/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  <w:t>3. 统一运行时与可移植性：容器+Kubernetes仍是大规模调度主干，但轻量计算正向WASM、eBPF等演进；事件驱动与数据流（Kafka/Pulsar/事件网格）与函数计算协同，形成“批+流+触发”的统一执行面。对端侧与边缘，采用蒸馏/量化模型与增量同步，以“近数据计算”降低延迟与成本。</w:t>
      </w:r>
    </w:p>
    <w:p w14:paraId="53599C2D">
      <w:pPr>
        <w:spacing w:after="120"/>
        <w:ind w:firstLine="720" w:firstLineChars="0"/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  <w:t>4. 可信与隐私增强：将零信任从网络/身份扩展到数据与模型；在跨域协同中引入隐私计算（TEE、MPC、FHE）与差分隐私；对模型输出配置安全策略与内容政策，并以可解释机制与证据记录支持合规审计。</w:t>
      </w:r>
    </w:p>
    <w:p w14:paraId="67DD2C33">
      <w:pPr>
        <w:spacing w:after="120"/>
        <w:ind w:firstLine="720" w:firstLineChars="0"/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  <w:t>5. 可靠性工程升级：从SRE扩展到MRE（Model Reliability Engineering），监控不仅包含延迟/错误率，也包含提示/数据漂移、毒性/偏见、幻觉率、事实一致性等AI质量指标；以“评测即代码（Eval-as-Code）”与“策略即代码”把质量与风险控制前移到流水线。</w:t>
      </w:r>
    </w:p>
    <w:p w14:paraId="0D9C3BB0">
      <w:pPr>
        <w:pStyle w:val="3"/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  <w:t>三、交付与运维：从DevOps到LLMOps/AIOps/NoOps</w:t>
      </w:r>
    </w:p>
    <w:p w14:paraId="17AF0E6D">
      <w:pPr>
        <w:spacing w:after="120"/>
        <w:ind w:firstLine="720" w:firstLineChars="0"/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  <w:t>1. 流水线扩展：在CI/CD之上增加CT/CE（持续训练/评测），引入特征仓与数据版本管理；模型/提示/策略/评测基准均纳入版本化管理与回滚策略。上线采用多臂赌博/金丝雀对比不同模型/提示，结合红队测试与对抗评估。</w:t>
      </w:r>
    </w:p>
    <w:p w14:paraId="2B76B98D">
      <w:pPr>
        <w:spacing w:after="120"/>
        <w:ind w:firstLine="720" w:firstLineChars="0"/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  <w:t>2. 运维自治：AIOps利用日志/指标/追踪与知识图谱进行异常检测、根因分析与自动修复；对业务层面，Agent可对低风险工单、扩容与参数调优实现闭环处理——逐步走向“有监督的NoOps”。</w:t>
      </w:r>
      <w:bookmarkStart w:id="0" w:name="_GoBack"/>
      <w:bookmarkEnd w:id="0"/>
    </w:p>
    <w:p w14:paraId="4052494E">
      <w:pPr>
        <w:spacing w:after="120"/>
        <w:ind w:firstLine="720" w:firstLineChars="0"/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  <w:t>3. 成本与能耗治理：在FinOps基础上叠加GreenOps，以“每单位业务价值的能耗/成本”为目标函数；通过推理批处理、KV缓存、上下文压缩、模型路由与按需量化降低成本，以“冷/温/热”多层推理池与弹性容量规划应对峰值。</w:t>
      </w:r>
    </w:p>
    <w:p w14:paraId="55AA3FC5">
      <w:pPr>
        <w:pStyle w:val="3"/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  <w:t>四、用户体验：从“可用”到“会用”再到“会做”</w:t>
      </w:r>
    </w:p>
    <w:p w14:paraId="3FE47EC8">
      <w:pPr>
        <w:spacing w:after="120"/>
        <w:ind w:firstLine="720" w:firstLineChars="0"/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  <w:t>1. 自然语言与多模态入口：语音/图像/文本/结构化数据统一在语义层，交互从命令式转向意图式；系统“听得懂、看得见、会联想”。</w:t>
      </w:r>
    </w:p>
    <w:p w14:paraId="6AC722C9">
      <w:pPr>
        <w:spacing w:after="120"/>
        <w:ind w:firstLine="720" w:firstLineChars="0"/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  <w:t>2. 主动式与情境感知：在授权前提下，系统根据用户历史、位置、日程与组织策略主动给出建议或直接执行低风险任务，形成“建议—确认—自动化”的阶梯体验。</w:t>
      </w:r>
    </w:p>
    <w:p w14:paraId="3C6214B8">
      <w:pPr>
        <w:spacing w:after="120"/>
        <w:ind w:firstLine="720" w:firstLineChars="0"/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  <w:t>3. 个人与团队Copilot→Agent化：从“辅助填写/总结”升级到“代办任务与流程编排”；提供长时记忆、知识边界与可控开关（永远可一键回退），确保可预测与可信。</w:t>
      </w:r>
    </w:p>
    <w:p w14:paraId="653C096C">
      <w:pPr>
        <w:spacing w:after="120"/>
        <w:ind w:firstLine="720" w:firstLineChars="0"/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  <w:t>4. 隐私本地化与端侧个性化：通用能力在云端，个人偏好在本地；通过向量同步/差分更新实现个性化又不泄露原始数据。</w:t>
      </w:r>
    </w:p>
    <w:p w14:paraId="0D406AD5">
      <w:pPr>
        <w:pStyle w:val="3"/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  <w:t>五、商业模式：从订阅/用量到成果导向</w:t>
      </w:r>
    </w:p>
    <w:p w14:paraId="1AB246B1">
      <w:pPr>
        <w:spacing w:after="120"/>
        <w:ind w:firstLine="720" w:firstLineChars="0"/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  <w:t>1. 计费演进：在订阅与用量之外，引入“按成果/按成功率/按节省成本”计费；对生成式服务，结合上下文窗口/推理时长/模型层级的分级定价。</w:t>
      </w:r>
    </w:p>
    <w:p w14:paraId="53819CF1">
      <w:pPr>
        <w:spacing w:after="120"/>
        <w:ind w:firstLine="720" w:firstLineChars="0"/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  <w:t>2. 生态与市场：从应用市场扩展到“模型/数据/工具/Agent市场”，支持能力组合交易与收益分成；以互操作标准与可移植提示（Prompt Portability）降低锁定。</w:t>
      </w:r>
    </w:p>
    <w:p w14:paraId="729ED692">
      <w:pPr>
        <w:spacing w:after="120"/>
        <w:ind w:firstLine="720" w:firstLineChars="0"/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  <w:t>3. 度量体系：从SLA/SLO扩展到AI质量指标（准确性、稳健性、公平性、可解释性），并将其写入商业合同与监管报告。</w:t>
      </w:r>
    </w:p>
    <w:p w14:paraId="586605AE">
      <w:pPr>
        <w:pStyle w:val="3"/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  <w:t>六、治理与合规：把“可信”产品化</w:t>
      </w:r>
    </w:p>
    <w:p w14:paraId="281DC342">
      <w:pPr>
        <w:spacing w:after="120"/>
        <w:ind w:firstLine="720" w:firstLineChars="0"/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  <w:t>1. 政策驱动工程：结合AI风险管理框架，将数据来源、模型训练数据谱系、评测基准、偏见与安全测试、对人类的监督点等以工件形式固化，并形成合规证据链。</w:t>
      </w:r>
    </w:p>
    <w:p w14:paraId="1E803596">
      <w:pPr>
        <w:spacing w:after="120"/>
        <w:ind w:firstLine="720" w:firstLineChars="0"/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  <w:t>2. 权限与分级防护：对提示、工具与数据访问实施细粒度授权与隔离；默认最小权限与可追踪令牌化访问。</w:t>
      </w:r>
    </w:p>
    <w:p w14:paraId="4D69C974">
      <w:pPr>
        <w:spacing w:after="120"/>
        <w:ind w:firstLine="720" w:firstLineChars="0"/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  <w:t>3. 内容与版权：引入可溯源与水印技术、授权内容库与许可管理，避免版权与合规风险。</w:t>
      </w:r>
    </w:p>
    <w:p w14:paraId="79C756EB">
      <w:pPr>
        <w:pStyle w:val="3"/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  <w:t>七、典型先行者与参考路径</w:t>
      </w:r>
    </w:p>
    <w:p w14:paraId="09E4192F">
      <w:pPr>
        <w:spacing w:after="120"/>
        <w:ind w:firstLine="720" w:firstLineChars="0"/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  <w:t>业界的共性路径大致分三步：①“AI+SaaS”：为现有SaaS注入搜索/总结/问答等Copilot能力；②“Agent化SaaS”：把复杂业务流程拆解为可编排的任务，由Agent调用内外部工具完成闭环；③“自治化SaaS”：在明确定义的边界内，系统对常见场景自动决策与处理，仅在高风险步骤请求人工确认。与之配套的，是平台层沉淀“模型服务、知识服务、数据治理、评测与安全治理”的共享底座。</w:t>
      </w:r>
    </w:p>
    <w:p w14:paraId="6F179D38">
      <w:pPr>
        <w:pStyle w:val="3"/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  <w:t>八、能力矩阵与落地路线</w:t>
      </w:r>
    </w:p>
    <w:p w14:paraId="48F0C928">
      <w:pPr>
        <w:spacing w:after="120"/>
        <w:ind w:firstLine="720" w:firstLineChars="0"/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  <w:t>组织层：建立“平台工程+数据/模型平台+安全合规”三支柱；以领域团队（双披萨团队）对齐能力边界。工程层：补齐特征仓、向量库、工作流/编排、评测与观测、策略/合规模块；构建提示库与Agent模板。运营层：设置北极星指标（如单位价值成本、AI助攻转化率、自动处理占比、人工在环比率），形成“指标—实验—发布—复盘”闭环。</w:t>
      </w:r>
    </w:p>
    <w:p w14:paraId="4B332FFC">
      <w:pPr>
        <w:spacing w:after="120"/>
        <w:ind w:firstLine="720" w:firstLineChars="0"/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  <w:t>迁移路线建议：优先从高价值/低风险的知识类与运营类场景切入（搜索、客服、IT运维、财务核对）；随后推进半自动的流程编排（审批、供应链、营销自动化）；最终在可控域内引入自治处理（容量扩缩、异常处置、合规扫描），并以红蓝对抗持续检验。</w:t>
      </w:r>
    </w:p>
    <w:p w14:paraId="2E873768">
      <w:pPr>
        <w:pStyle w:val="3"/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  <w:t>九、风险与挑战</w:t>
      </w:r>
    </w:p>
    <w:p w14:paraId="3BEA455A">
      <w:pPr>
        <w:spacing w:after="120"/>
        <w:ind w:firstLine="720" w:firstLineChars="0"/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  <w:t>1. 质量与幻觉：需要场景化评测基准与事实核验链路；采用“生成前检索、生成后校验”与“陈述置信度”策略。2. 成本与能耗：模型推理费用与能耗压力大，需通过模型路由、蒸馏与缓存治理，并引入GreenOps。3. 数据与隐私：在多方协同与跨境场景下，需落实数据最小化、敏感数据脱敏与可信执行环境。4. 供应商锁定：通过开放标准、可移植提示与多云策略降低风险。5. 人机分工与伦理：明确人工在环的责任边界与复核机制，避免“过度自治”。</w:t>
      </w:r>
    </w:p>
    <w:p w14:paraId="08A22C2F">
      <w:pPr>
        <w:pStyle w:val="3"/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  <w:t>十、结论</w:t>
      </w:r>
    </w:p>
    <w:p w14:paraId="2219EC58">
      <w:pPr>
        <w:spacing w:after="120"/>
        <w:ind w:firstLine="720" w:firstLineChars="0"/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  <w:t>在服务化之后，软件的下一阶段不是“更多API”，而是“更强意图理解与自治执行”。其核心是AI‑Native与Agent‑Native：模型/数据/知识成为平台，Agent把能力编排成成果；运维从CI/CD扩展到CT/CE与AIOps/NoOps；体验从被动使用走向主动协作；商业从用量走向成果。建议以平台化方式夯实共性能力，循序推进从辅助到自治的阶梯，并以可信与合规作为“硬约束”贯穿全生命周期。</w:t>
      </w:r>
    </w:p>
    <w:p w14:paraId="33D7F1A8">
      <w:pPr>
        <w:pStyle w:val="3"/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  <w:t>参考文献（节选）</w:t>
      </w:r>
    </w:p>
    <w:p w14:paraId="59F5ED99">
      <w:pPr>
        <w:spacing w:after="120"/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  <w:t>[1] IEEE Software. AI-Native Software Engineering (special issues).</w:t>
      </w:r>
    </w:p>
    <w:p w14:paraId="5ED3BDEA">
      <w:pPr>
        <w:spacing w:after="120"/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  <w:t>[2] ACM Queue / Communications of the ACM. Agent Systems &amp; Orchestration for AI.</w:t>
      </w:r>
    </w:p>
    <w:p w14:paraId="2ABF2972">
      <w:pPr>
        <w:spacing w:after="120"/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  <w:t>[3] Thoughtworks Technology Radar. Generative AI, LLMOps, Platform Engineering (recent editions).</w:t>
      </w:r>
    </w:p>
    <w:p w14:paraId="12E5AD7D">
      <w:pPr>
        <w:spacing w:after="120"/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  <w:t>[4] Gartner Hype Cycle &amp; Trends: Generative AI, AI TRiSM, Platform Engineering, 2023–2025.</w:t>
      </w:r>
    </w:p>
    <w:p w14:paraId="75B6000A">
      <w:pPr>
        <w:spacing w:after="120"/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  <w:t>[5] CNCF Publications. Cloud Native, WasmEdge, Service Mesh and Observability Whitepapers.</w:t>
      </w:r>
    </w:p>
    <w:p w14:paraId="02E48520">
      <w:pPr>
        <w:spacing w:after="120"/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  <w:t>[6] NIST AI Risk Management Framework (AI RMF 1.0).</w:t>
      </w:r>
    </w:p>
    <w:p w14:paraId="01C00A52">
      <w:pPr>
        <w:spacing w:after="120"/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  <w:t>[7] EU AI Act (Regulation on Artificial Intelligence).</w:t>
      </w:r>
    </w:p>
    <w:p w14:paraId="521C384F">
      <w:pPr>
        <w:spacing w:after="120"/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  <w:t>[8] McKinsey Global Institute. The economic potential of Generative AI (2023/2024).</w:t>
      </w:r>
    </w:p>
    <w:p w14:paraId="15836039">
      <w:pPr>
        <w:spacing w:after="120"/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  <w:t>[9] Salesforce Einstein 1 platform briefs; Microsoft Copilot Stack documentation; AWS Bedrock &amp; Agents technical guides; Apple Intelligence overview (industry documentation).</w:t>
      </w:r>
    </w:p>
    <w:p w14:paraId="3AA90663">
      <w:pPr>
        <w:spacing w:after="120"/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  <w:t>[10] Open Source: LangChain, LlamaIndex, MLflow, OpenTelemetry specs and community docs.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49F2A07"/>
    <w:rsid w:val="5F612F8A"/>
    <w:rsid w:val="7A2B5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3077</Words>
  <Characters>4142</Characters>
  <Lines>0</Lines>
  <Paragraphs>0</Paragraphs>
  <TotalTime>1</TotalTime>
  <ScaleCrop>false</ScaleCrop>
  <LinksUpToDate>false</LinksUpToDate>
  <CharactersWithSpaces>4280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孙家豪</cp:lastModifiedBy>
  <dcterms:modified xsi:type="dcterms:W3CDTF">2025-09-25T06:33:38Z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eyJoZGlkIjoiN2YzM2U0YWI3NWNhZmM3MmNmOTJiNzYwYjE5YjM3ZGEiLCJ1c2VySWQiOiIxNzI5NzM4NDcwIn0=</vt:lpwstr>
  </property>
  <property fmtid="{D5CDD505-2E9C-101B-9397-08002B2CF9AE}" pid="3" name="KSOProductBuildVer">
    <vt:lpwstr>2052-12.1.0.22529</vt:lpwstr>
  </property>
  <property fmtid="{D5CDD505-2E9C-101B-9397-08002B2CF9AE}" pid="4" name="ICV">
    <vt:lpwstr>01EA38F456D8410BBF900387CAFBAA74_13</vt:lpwstr>
  </property>
</Properties>
</file>