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C1862">
      <w:pPr>
        <w:pStyle w:val="2"/>
        <w:numPr>
          <w:ilvl w:val="0"/>
          <w:numId w:val="1"/>
        </w:numPr>
        <w:bidi w:val="0"/>
        <w:rPr>
          <w:rFonts w:hint="eastAsia"/>
          <w:lang w:val="en-US" w:eastAsia="zh-CN"/>
        </w:rPr>
      </w:pPr>
      <w:r>
        <w:rPr>
          <w:rFonts w:hint="eastAsia"/>
          <w:lang w:val="en-US" w:eastAsia="zh-CN"/>
        </w:rPr>
        <w:t>核心理论</w:t>
      </w:r>
    </w:p>
    <w:p w14:paraId="5435476B">
      <w:pPr>
        <w:pStyle w:val="3"/>
        <w:bidi w:val="0"/>
        <w:rPr>
          <w:rFonts w:hint="eastAsia"/>
          <w:lang w:val="en-US" w:eastAsia="zh-CN"/>
        </w:rPr>
      </w:pPr>
      <w:r>
        <w:rPr>
          <w:rFonts w:hint="eastAsia"/>
          <w:lang w:val="en-US" w:eastAsia="zh-CN"/>
        </w:rPr>
        <w:t>亚⾥⼠多德修辞三要素</w:t>
      </w:r>
    </w:p>
    <w:p w14:paraId="5B194C02">
      <w:pPr>
        <w:numPr>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ethos 指向说话者的可信度，包括身份、资质、责任、善意；</w:t>
      </w:r>
    </w:p>
    <w:p w14:paraId="6A595517">
      <w:pPr>
        <w:numPr>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pathos 指向阅听⼈的情感处境，包括倾听、移情、求同；</w:t>
      </w:r>
    </w:p>
    <w:p w14:paraId="2B598BFF">
      <w:pPr>
        <w:numPr>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logos 指向内容本身，包括事实、证据、逻辑和推理。</w:t>
      </w:r>
    </w:p>
    <w:p w14:paraId="488D6942">
      <w:pPr>
        <w:pStyle w:val="3"/>
        <w:bidi w:val="0"/>
        <w:rPr>
          <w:rFonts w:hint="eastAsia"/>
          <w:lang w:val="en-US" w:eastAsia="zh-CN"/>
        </w:rPr>
      </w:pPr>
      <w:r>
        <w:rPr>
          <w:rFonts w:hint="eastAsia"/>
          <w:lang w:val="en-US" w:eastAsia="zh-CN"/>
        </w:rPr>
        <w:t>肯尼斯·伯克新修辞</w:t>
      </w:r>
    </w:p>
    <w:p w14:paraId="225615F3">
      <w:pPr>
        <w:numPr>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修辞不只是说服他⼈接受观点，⽽是通过“认同”消解隔阂。对公关写作⽽⾔，声明不是单⽅辩解，⽽是寻找组织与公众之间可以共享的价值底线。认同的⽅式有同情认同、对⽴认同、象征认同等。</w:t>
      </w:r>
    </w:p>
    <w:p w14:paraId="3635D4B5">
      <w:pPr>
        <w:pStyle w:val="2"/>
        <w:bidi w:val="0"/>
        <w:rPr>
          <w:rFonts w:hint="default"/>
          <w:lang w:val="en-US" w:eastAsia="zh-CN"/>
        </w:rPr>
      </w:pPr>
      <w:r>
        <w:rPr>
          <w:rFonts w:hint="eastAsia"/>
          <w:lang w:val="en-US" w:eastAsia="zh-CN"/>
        </w:rPr>
        <w:t>二、案例调研</w:t>
      </w:r>
    </w:p>
    <w:p w14:paraId="4D8B12A9">
      <w:pPr>
        <w:pStyle w:val="3"/>
        <w:bidi w:val="0"/>
        <w:rPr>
          <w:rFonts w:hint="eastAsia"/>
          <w:lang w:val="en-US" w:eastAsia="zh-CN"/>
        </w:rPr>
      </w:pPr>
      <w:r>
        <w:rPr>
          <w:rFonts w:hint="eastAsia"/>
          <w:lang w:val="en-US" w:eastAsia="zh-CN"/>
        </w:rPr>
        <w:t>（一）企业</w:t>
      </w:r>
    </w:p>
    <w:p w14:paraId="7E163EC6">
      <w:pPr>
        <w:pStyle w:val="4"/>
        <w:bidi w:val="0"/>
        <w:rPr>
          <w:rFonts w:hint="eastAsia"/>
          <w:lang w:val="en-US" w:eastAsia="zh-CN"/>
        </w:rPr>
      </w:pPr>
      <w:r>
        <w:rPr>
          <w:rFonts w:hint="eastAsia"/>
          <w:lang w:val="en-US" w:eastAsia="zh-CN"/>
        </w:rPr>
        <w:t>1.杨国福门店老鼠问题</w:t>
      </w:r>
    </w:p>
    <w:p w14:paraId="6B2DCA09">
      <w:pPr>
        <w:numPr>
          <w:ilvl w:val="0"/>
          <w:numId w:val="0"/>
        </w:numPr>
        <w:ind w:firstLine="420"/>
        <w:rPr>
          <w:rFonts w:hint="eastAsia"/>
          <w:lang w:val="en-US" w:eastAsia="zh-CN"/>
        </w:rPr>
      </w:pPr>
      <w:r>
        <w:rPr>
          <w:rFonts w:hint="eastAsia"/>
          <w:lang w:val="en-US" w:eastAsia="zh-CN"/>
        </w:rPr>
        <w:drawing>
          <wp:inline distT="0" distB="0" distL="114300" distR="114300">
            <wp:extent cx="2386965" cy="3261995"/>
            <wp:effectExtent l="0" t="0" r="635" b="1905"/>
            <wp:docPr id="2" name="图片 2" descr="杨国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杨国富"/>
                    <pic:cNvPicPr>
                      <a:picLocks noChangeAspect="1"/>
                    </pic:cNvPicPr>
                  </pic:nvPicPr>
                  <pic:blipFill>
                    <a:blip r:embed="rId4"/>
                    <a:stretch>
                      <a:fillRect/>
                    </a:stretch>
                  </pic:blipFill>
                  <pic:spPr>
                    <a:xfrm>
                      <a:off x="0" y="0"/>
                      <a:ext cx="2386965" cy="3261995"/>
                    </a:xfrm>
                    <a:prstGeom prst="rect">
                      <a:avLst/>
                    </a:prstGeom>
                  </pic:spPr>
                </pic:pic>
              </a:graphicData>
            </a:graphic>
          </wp:inline>
        </w:drawing>
      </w:r>
    </w:p>
    <w:p w14:paraId="11277B8F">
      <w:pPr>
        <w:numPr>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（1）Ethos：</w:t>
      </w:r>
    </w:p>
    <w:p w14:paraId="663397E3">
      <w:pPr>
        <w:numPr>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篇“郑重致歉”，不回避问题，主动担责；承认“加盟商监管疏漏”，企业不甩锅门店；落款包含完整的集团公章主体、官方投诉专线、明确发布日期，官方资质背书；承诺邀请消费者、媒体突击检查，主动开放监督，强化透明可信形象；表态配合市监局调查，主动服从监管，塑造合规企业形象。</w:t>
      </w:r>
    </w:p>
    <w:p w14:paraId="6EED78B5">
      <w:pPr>
        <w:numPr>
          <w:ilvl w:val="0"/>
          <w:numId w:val="0"/>
        </w:num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（2）Pathos：</w:t>
      </w:r>
    </w:p>
    <w:p w14:paraId="784D8C86">
      <w:pPr>
        <w:numPr>
          <w:ilvl w:val="0"/>
          <w:numId w:val="0"/>
        </w:num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“向消费者及社会各界郑重致歉”，安抚公众不满情绪；“食品安全是企业生命线”，唤起大众对饮食安全的共同关切；承认管理漏洞、深刻反省，传递愧疚感，软化公众抵触情绪。</w:t>
      </w:r>
    </w:p>
    <w:p w14:paraId="3E1D737C">
      <w:pPr>
        <w:numPr>
          <w:ilvl w:val="0"/>
          <w:numId w:val="0"/>
        </w:num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（3）Logos：</w:t>
      </w:r>
    </w:p>
    <w:p w14:paraId="3B45254D">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时间逻辑：事发2小时致歉赔付→门店停业消杀→全国门店彻查→长效监管机制；四点整改措施分条罗列，因果清晰：因监管疏漏而增设月度培训、专项调查组、24 小时投诉专线；明确监督机制：线上线下常态化监管、第三方代表突击检查，形成闭环管理逻辑。</w:t>
      </w:r>
    </w:p>
    <w:p w14:paraId="4BBFCF6D">
      <w:pPr>
        <w:numPr>
          <w:ilvl w:val="0"/>
          <w:numId w:val="0"/>
        </w:num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（4）认同策略</w:t>
      </w:r>
    </w:p>
    <w:p w14:paraId="6564BB2F">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同情认同：抓住大众重视食品安全、害怕门店卫生隐患的共同心理，站在消费者健康立场共情。</w:t>
      </w:r>
    </w:p>
    <w:p w14:paraId="16A06CA6">
      <w:pPr>
        <w:numPr>
          <w:ilvl w:val="0"/>
          <w:numId w:val="0"/>
        </w:num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（5）失败表达</w:t>
      </w:r>
    </w:p>
    <w:p w14:paraId="37683602">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仅提及涉事门店赔付，未说明赔付标准、赔付覆盖人群，信息缺失；整改未设置完成时限，如多久完成全国门店排查，逻辑落地性弱。</w:t>
      </w:r>
    </w:p>
    <w:p w14:paraId="23E01D84">
      <w:pPr>
        <w:pStyle w:val="4"/>
        <w:bidi w:val="0"/>
        <w:rPr>
          <w:rFonts w:hint="eastAsia"/>
          <w:lang w:val="en-US" w:eastAsia="zh-CN"/>
        </w:rPr>
      </w:pPr>
      <w:r>
        <w:rPr>
          <w:rFonts w:hint="eastAsia"/>
          <w:lang w:val="en-US" w:eastAsia="zh-CN"/>
        </w:rPr>
        <w:t>2.快手网信致歉声明</w:t>
      </w:r>
    </w:p>
    <w:p w14:paraId="09C7DCC8">
      <w:pPr>
        <w:numPr>
          <w:ilvl w:val="0"/>
          <w:numId w:val="0"/>
        </w:numPr>
        <w:ind w:firstLine="420"/>
        <w:rPr>
          <w:rFonts w:hint="default"/>
          <w:lang w:val="en-US" w:eastAsia="zh-CN"/>
        </w:rPr>
      </w:pPr>
      <w:r>
        <w:rPr>
          <w:rFonts w:hint="default"/>
          <w:lang w:val="en-US" w:eastAsia="zh-CN"/>
        </w:rPr>
        <w:drawing>
          <wp:inline distT="0" distB="0" distL="114300" distR="114300">
            <wp:extent cx="2402840" cy="3872865"/>
            <wp:effectExtent l="0" t="0" r="10160" b="635"/>
            <wp:docPr id="3" name="图片 3" descr="快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快手"/>
                    <pic:cNvPicPr>
                      <a:picLocks noChangeAspect="1"/>
                    </pic:cNvPicPr>
                  </pic:nvPicPr>
                  <pic:blipFill>
                    <a:blip r:embed="rId5"/>
                    <a:stretch>
                      <a:fillRect/>
                    </a:stretch>
                  </pic:blipFill>
                  <pic:spPr>
                    <a:xfrm>
                      <a:off x="0" y="0"/>
                      <a:ext cx="2402840" cy="3872865"/>
                    </a:xfrm>
                    <a:prstGeom prst="rect">
                      <a:avLst/>
                    </a:prstGeom>
                  </pic:spPr>
                </pic:pic>
              </a:graphicData>
            </a:graphic>
          </wp:inline>
        </w:drawing>
      </w:r>
    </w:p>
    <w:p w14:paraId="6DF4476E">
      <w:pPr>
        <w:numPr>
          <w:ilvl w:val="0"/>
          <w:numId w:val="0"/>
        </w:numPr>
        <w:ind w:firstLine="420"/>
        <w:rPr>
          <w:rFonts w:hint="eastAsia" w:ascii="宋体" w:hAnsi="宋体" w:eastAsia="宋体" w:cs="宋体"/>
          <w:lang w:val="en-US" w:eastAsia="zh-CN"/>
        </w:rPr>
      </w:pPr>
      <w:r>
        <w:rPr>
          <w:rFonts w:hint="eastAsia" w:ascii="宋体" w:hAnsi="宋体" w:eastAsia="宋体" w:cs="宋体"/>
          <w:lang w:val="en-US" w:eastAsia="zh-CN"/>
        </w:rPr>
        <w:t>（1）Ethos：</w:t>
      </w:r>
    </w:p>
    <w:p w14:paraId="463C7463">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开篇“诚恳接受，坚决整改”，全盘接纳监管处罚，不辩解、不抵触；承认自身技术、管理存在缺陷，企业主体责任主动认领；表态接受主管部门指导、社会公众监督，树立守法平台形象。</w:t>
      </w:r>
    </w:p>
    <w:p w14:paraId="275BCC61">
      <w:pPr>
        <w:numPr>
          <w:ilvl w:val="0"/>
          <w:numId w:val="0"/>
        </w:numPr>
        <w:ind w:firstLine="420"/>
        <w:rPr>
          <w:rFonts w:hint="eastAsia" w:ascii="宋体" w:hAnsi="宋体" w:eastAsia="宋体" w:cs="宋体"/>
          <w:lang w:val="en-US" w:eastAsia="zh-CN"/>
        </w:rPr>
      </w:pPr>
      <w:r>
        <w:rPr>
          <w:rFonts w:hint="eastAsia" w:ascii="宋体" w:hAnsi="宋体" w:eastAsia="宋体" w:cs="宋体"/>
          <w:lang w:val="en-US" w:eastAsia="zh-CN"/>
        </w:rPr>
        <w:t>（2）Pathos：</w:t>
      </w:r>
    </w:p>
    <w:p w14:paraId="0F474C7E">
      <w:pPr>
        <w:numPr>
          <w:ilvl w:val="0"/>
          <w:numId w:val="0"/>
        </w:numPr>
        <w:ind w:firstLine="420"/>
        <w:rPr>
          <w:rFonts w:hint="eastAsia" w:ascii="宋体" w:hAnsi="宋体" w:eastAsia="宋体" w:cs="宋体"/>
          <w:lang w:val="en-US" w:eastAsia="zh-CN"/>
        </w:rPr>
      </w:pPr>
      <w:r>
        <w:rPr>
          <w:rFonts w:hint="eastAsia" w:ascii="宋体" w:hAnsi="宋体" w:eastAsia="宋体" w:cs="宋体"/>
          <w:lang w:val="en-US" w:eastAsia="zh-CN"/>
        </w:rPr>
        <w:t>“深感自责、深表歉意”传递愧疚；“教训极其惨痛””强化对平台乱象危害的反思，唤起大众对网络内容环境的重视。</w:t>
      </w:r>
    </w:p>
    <w:p w14:paraId="67803E4D">
      <w:pPr>
        <w:numPr>
          <w:ilvl w:val="0"/>
          <w:numId w:val="0"/>
        </w:numPr>
        <w:ind w:firstLine="420"/>
        <w:rPr>
          <w:rFonts w:hint="eastAsia" w:ascii="宋体" w:hAnsi="宋体" w:eastAsia="宋体" w:cs="宋体"/>
          <w:lang w:val="en-US" w:eastAsia="zh-CN"/>
        </w:rPr>
      </w:pPr>
      <w:r>
        <w:rPr>
          <w:rFonts w:hint="eastAsia" w:ascii="宋体" w:hAnsi="宋体" w:eastAsia="宋体" w:cs="宋体"/>
          <w:lang w:val="en-US" w:eastAsia="zh-CN"/>
        </w:rPr>
        <w:t>（3）Logos：</w:t>
      </w:r>
    </w:p>
    <w:p w14:paraId="76339ABC">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因果逻辑：技术管理不足→低俗内容泛滥→被监管处罚→全面排查安全基建、应急机制；长效方案：健全治理机制、压实主体责任，形成“发现问题、反思问题、长效治理”的完整逻辑链。</w:t>
      </w:r>
    </w:p>
    <w:p w14:paraId="434D34EA">
      <w:pPr>
        <w:numPr>
          <w:ilvl w:val="0"/>
          <w:numId w:val="0"/>
        </w:numPr>
        <w:ind w:firstLine="420"/>
        <w:rPr>
          <w:rFonts w:hint="eastAsia" w:ascii="宋体" w:hAnsi="宋体" w:eastAsia="宋体" w:cs="宋体"/>
          <w:lang w:val="en-US" w:eastAsia="zh-CN"/>
        </w:rPr>
      </w:pPr>
      <w:r>
        <w:rPr>
          <w:rFonts w:hint="eastAsia" w:ascii="宋体" w:hAnsi="宋体" w:eastAsia="宋体" w:cs="宋体"/>
          <w:lang w:val="en-US" w:eastAsia="zh-CN"/>
        </w:rPr>
        <w:t>（4）认同策略：</w:t>
      </w:r>
    </w:p>
    <w:p w14:paraId="2B8C4A8A">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同情认同：与网民共享“期待干净网络环境”的共同诉求；对立认同：以“色情低俗不良内容”为共同对立面，和公众站在同一治理立场。</w:t>
      </w:r>
    </w:p>
    <w:p w14:paraId="0CE0E93A">
      <w:pPr>
        <w:numPr>
          <w:ilvl w:val="0"/>
          <w:numId w:val="0"/>
        </w:numPr>
        <w:ind w:firstLine="420"/>
        <w:rPr>
          <w:rFonts w:hint="eastAsia" w:ascii="宋体" w:hAnsi="宋体" w:eastAsia="宋体" w:cs="宋体"/>
          <w:lang w:val="en-US" w:eastAsia="zh-CN"/>
        </w:rPr>
      </w:pPr>
      <w:r>
        <w:rPr>
          <w:rFonts w:hint="eastAsia" w:ascii="宋体" w:hAnsi="宋体" w:eastAsia="宋体" w:cs="宋体"/>
          <w:lang w:val="en-US" w:eastAsia="zh-CN"/>
        </w:rPr>
        <w:t>（5）失败表达</w:t>
      </w:r>
    </w:p>
    <w:p w14:paraId="57438623">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全文无具体落地整改细则，无排查周期、无内容审核升级方案、无用户补偿措施，逻辑空洞；未提及对受害用户、受不良内容影响群体的安抚，情感共情薄弱。</w:t>
      </w:r>
    </w:p>
    <w:p w14:paraId="411B21A9">
      <w:pPr>
        <w:pStyle w:val="3"/>
        <w:numPr>
          <w:ilvl w:val="0"/>
          <w:numId w:val="2"/>
        </w:numPr>
        <w:bidi w:val="0"/>
        <w:rPr>
          <w:rFonts w:hint="eastAsia"/>
          <w:lang w:val="en-US" w:eastAsia="zh-CN"/>
        </w:rPr>
      </w:pPr>
      <w:r>
        <w:rPr>
          <w:rFonts w:hint="eastAsia"/>
          <w:lang w:val="en-US" w:eastAsia="zh-CN"/>
        </w:rPr>
        <w:t>明星或公众⼈物回应</w:t>
      </w:r>
    </w:p>
    <w:p w14:paraId="3672B1F2">
      <w:pPr>
        <w:pStyle w:val="4"/>
        <w:bidi w:val="0"/>
        <w:rPr>
          <w:rFonts w:hint="default"/>
          <w:lang w:val="en-US" w:eastAsia="zh-CN"/>
        </w:rPr>
      </w:pPr>
      <w:r>
        <w:rPr>
          <w:rFonts w:hint="eastAsia"/>
          <w:lang w:val="en-US" w:eastAsia="zh-CN"/>
        </w:rPr>
        <w:t>1.迪丽热巴工作室DG解约声明</w:t>
      </w:r>
    </w:p>
    <w:p w14:paraId="3CFB7186">
      <w:pPr>
        <w:numPr>
          <w:ilvl w:val="0"/>
          <w:numId w:val="0"/>
        </w:numPr>
        <w:ind w:firstLine="420"/>
        <w:rPr>
          <w:rFonts w:hint="eastAsia"/>
          <w:lang w:val="en-US" w:eastAsia="zh-CN"/>
        </w:rPr>
      </w:pPr>
      <w:r>
        <w:rPr>
          <w:rFonts w:hint="eastAsia"/>
          <w:lang w:val="en-US" w:eastAsia="zh-CN"/>
        </w:rPr>
        <w:drawing>
          <wp:inline distT="0" distB="0" distL="114300" distR="114300">
            <wp:extent cx="2720340" cy="3845560"/>
            <wp:effectExtent l="0" t="0" r="10160" b="2540"/>
            <wp:docPr id="4" name="图片 4" descr="迪丽热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迪丽热巴"/>
                    <pic:cNvPicPr>
                      <a:picLocks noChangeAspect="1"/>
                    </pic:cNvPicPr>
                  </pic:nvPicPr>
                  <pic:blipFill>
                    <a:blip r:embed="rId6"/>
                    <a:stretch>
                      <a:fillRect/>
                    </a:stretch>
                  </pic:blipFill>
                  <pic:spPr>
                    <a:xfrm>
                      <a:off x="0" y="0"/>
                      <a:ext cx="2720340" cy="3845560"/>
                    </a:xfrm>
                    <a:prstGeom prst="rect">
                      <a:avLst/>
                    </a:prstGeom>
                  </pic:spPr>
                </pic:pic>
              </a:graphicData>
            </a:graphic>
          </wp:inline>
        </w:drawing>
      </w:r>
    </w:p>
    <w:p w14:paraId="7C18509B">
      <w:pPr>
        <w:numPr>
          <w:ilvl w:val="0"/>
          <w:numId w:val="3"/>
        </w:numPr>
        <w:ind w:firstLine="420"/>
        <w:rPr>
          <w:rFonts w:hint="eastAsia" w:ascii="宋体" w:hAnsi="宋体" w:eastAsia="宋体" w:cs="宋体"/>
          <w:lang w:val="en-US" w:eastAsia="zh-CN"/>
        </w:rPr>
      </w:pPr>
      <w:r>
        <w:rPr>
          <w:rFonts w:hint="eastAsia" w:ascii="宋体" w:hAnsi="宋体" w:eastAsia="宋体" w:cs="宋体"/>
          <w:lang w:val="en-US" w:eastAsia="zh-CN"/>
        </w:rPr>
        <w:t>Ethos</w:t>
      </w:r>
    </w:p>
    <w:p w14:paraId="58C89A28">
      <w:pPr>
        <w:numPr>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以“中国企业、中国公民”双重身份确立立场，强化家国价值公信力；出具正式函告终止合作，出具盖章官方声明，具备法律严肃性；立场清晰、无模糊措辞，体现艺人与工作室的底线原则。</w:t>
      </w:r>
    </w:p>
    <w:p w14:paraId="76E72E8F">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（2）Pathos</w:t>
      </w:r>
    </w:p>
    <w:p w14:paraId="27C84C5B">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“无比愤慨”调动大众爱国情绪，契合全民对辱华行为的反感；“祖国不容侵犯”升华民族情感，激发集体共情。</w:t>
      </w:r>
    </w:p>
    <w:p w14:paraId="42734096">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（3）Logos</w:t>
      </w:r>
    </w:p>
    <w:p w14:paraId="1884F1A6">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事实逻辑：DG 设计师辱华言论曝光，迪丽热巴方发函终止合作，正式对外公示；价值演绎：公民身份即必须维护国家尊严，推导解约行为的合理性。</w:t>
      </w:r>
    </w:p>
    <w:p w14:paraId="15C41A9C">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（4）认同策略</w:t>
      </w:r>
    </w:p>
    <w:p w14:paraId="3EFC76CD">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对立认同：以DG设计师辱华言论为共同对立面，联合全体国民形成统一爱国立场；同情认同：依托全体中国人“维护国家荣誉”的共同情感达成认同。</w:t>
      </w:r>
    </w:p>
    <w:p w14:paraId="0DB7ACD4">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（5）失败表达</w:t>
      </w:r>
    </w:p>
    <w:p w14:paraId="020ACD65">
      <w:pPr>
        <w:numPr>
          <w:ilvl w:val="0"/>
          <w:numId w:val="0"/>
        </w:numPr>
        <w:ind w:firstLine="480" w:firstLineChars="200"/>
        <w:rPr>
          <w:rFonts w:hint="eastAsia"/>
          <w:lang w:val="en-US" w:eastAsia="zh-CN"/>
        </w:rPr>
      </w:pPr>
      <w:r>
        <w:rPr>
          <w:rFonts w:hint="eastAsia" w:ascii="宋体" w:hAnsi="宋体" w:eastAsia="宋体" w:cs="宋体"/>
          <w:lang w:val="en-US" w:eastAsia="zh-CN"/>
        </w:rPr>
        <w:t>仅切割合作，未表达对国内消费者、粉丝的安抚，缺少情感缓冲；无后续价值表态，认同延续性不足。</w:t>
      </w:r>
    </w:p>
    <w:p w14:paraId="56131A38">
      <w:pPr>
        <w:pStyle w:val="4"/>
        <w:bidi w:val="0"/>
        <w:rPr>
          <w:rFonts w:hint="eastAsia"/>
          <w:lang w:val="en-US" w:eastAsia="zh-CN"/>
        </w:rPr>
      </w:pPr>
      <w:r>
        <w:rPr>
          <w:rFonts w:hint="eastAsia"/>
          <w:lang w:val="en-US" w:eastAsia="zh-CN"/>
        </w:rPr>
        <w:t>2.黄晓明违法驾驶致歉</w:t>
      </w:r>
    </w:p>
    <w:p w14:paraId="52BFCBA1">
      <w:pPr>
        <w:numPr>
          <w:ilvl w:val="0"/>
          <w:numId w:val="0"/>
        </w:numPr>
        <w:ind w:firstLine="420"/>
        <w:rPr>
          <w:rFonts w:hint="default"/>
          <w:lang w:val="en-US" w:eastAsia="zh-CN"/>
        </w:rPr>
      </w:pPr>
    </w:p>
    <w:p w14:paraId="2894DEB1">
      <w:pPr>
        <w:numPr>
          <w:ilvl w:val="0"/>
          <w:numId w:val="0"/>
        </w:numPr>
        <w:ind w:firstLine="420"/>
        <w:rPr>
          <w:rFonts w:hint="default"/>
          <w:lang w:val="en-US" w:eastAsia="zh-CN"/>
        </w:rPr>
      </w:pPr>
      <w:r>
        <w:rPr>
          <w:rFonts w:hint="default"/>
          <w:lang w:val="en-US" w:eastAsia="zh-CN"/>
        </w:rPr>
        <w:drawing>
          <wp:inline distT="0" distB="0" distL="114300" distR="114300">
            <wp:extent cx="2126615" cy="3565525"/>
            <wp:effectExtent l="0" t="0" r="0" b="0"/>
            <wp:docPr id="5" name="图片 5" descr="黄晓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黄晓明"/>
                    <pic:cNvPicPr>
                      <a:picLocks noChangeAspect="1"/>
                    </pic:cNvPicPr>
                  </pic:nvPicPr>
                  <pic:blipFill>
                    <a:blip r:embed="rId7"/>
                    <a:srcRect t="6223" b="16467"/>
                    <a:stretch>
                      <a:fillRect/>
                    </a:stretch>
                  </pic:blipFill>
                  <pic:spPr>
                    <a:xfrm>
                      <a:off x="0" y="0"/>
                      <a:ext cx="2126615" cy="3565525"/>
                    </a:xfrm>
                    <a:prstGeom prst="rect">
                      <a:avLst/>
                    </a:prstGeom>
                  </pic:spPr>
                </pic:pic>
              </a:graphicData>
            </a:graphic>
          </wp:inline>
        </w:drawing>
      </w:r>
    </w:p>
    <w:p w14:paraId="4EAF3870">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（1）Ethos：</w:t>
      </w:r>
    </w:p>
    <w:p w14:paraId="13E8ECF7">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以当事人身份直面错误，主动自曝违规行为，无隐瞒；主动承诺前往交警部门接受处罚，自愿承担法律后果；以父亲、公众人物双重身份反思，树立以身作则的正向公众形象；主动科普交通法规，承担公众人物普法责任，提升道德可信度。</w:t>
      </w:r>
    </w:p>
    <w:p w14:paraId="15E88A7F">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（2）Pathos</w:t>
      </w:r>
    </w:p>
    <w:p w14:paraId="60C11BDD">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“深感愧疚”“郑重道歉”表达自我反省情绪；面向全体家长共情：“孩子安全、遵守法规是底线”，引发父母群体共鸣；感谢网友监督，传递虚心接受批评的温和态度。</w:t>
      </w:r>
    </w:p>
    <w:p w14:paraId="7DF35DD8">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（3）Logos</w:t>
      </w:r>
    </w:p>
    <w:p w14:paraId="3AC3369B">
      <w:pPr>
        <w:numPr>
          <w:ilvl w:val="0"/>
          <w:numId w:val="0"/>
        </w:numPr>
        <w:ind w:firstLine="420"/>
        <w:rPr>
          <w:rFonts w:hint="eastAsia" w:ascii="宋体" w:hAnsi="宋体" w:eastAsia="宋体" w:cs="宋体"/>
          <w:lang w:val="en-US" w:eastAsia="zh-CN"/>
        </w:rPr>
      </w:pPr>
      <w:r>
        <w:rPr>
          <w:rFonts w:hint="eastAsia" w:ascii="宋体" w:hAnsi="宋体" w:eastAsia="宋体" w:cs="宋体"/>
          <w:lang w:val="en-US" w:eastAsia="zh-CN"/>
        </w:rPr>
        <w:t>事实链条：假期骑行带孩子上路，被网友指出违反骑行年龄法规，认识错误；行动逻辑：公开致歉、主动接受处罚、向家长科普法规，三层行为层层递进；法规依据明确引用《道路交通安全法实施条例》，以法条支撑自身错误定性。</w:t>
      </w:r>
    </w:p>
    <w:p w14:paraId="035D6788">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（4）认同策略</w:t>
      </w:r>
    </w:p>
    <w:p w14:paraId="768D237C">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同情认同：抓住家长群体重视儿童出行安全的共同心理，以父亲身份拉近与普通受众距离；曲同：受众认同黄晓明知错认罚、主动普法的公众人物责任感，将其行为等同于大众认可的正向公民标准。</w:t>
      </w:r>
    </w:p>
    <w:p w14:paraId="6348092B">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（5）失败表达</w:t>
      </w:r>
    </w:p>
    <w:p w14:paraId="58DC1051">
      <w:pPr>
        <w:numPr>
          <w:ilvl w:val="0"/>
          <w:numId w:val="0"/>
        </w:numPr>
        <w:ind w:firstLine="480" w:firstLineChars="200"/>
        <w:rPr>
          <w:rFonts w:hint="eastAsia" w:ascii="宋体" w:hAnsi="宋体" w:eastAsia="宋体" w:cs="宋体"/>
          <w:lang w:val="en-US" w:eastAsia="zh-CN"/>
        </w:rPr>
      </w:pPr>
      <w:r>
        <w:rPr>
          <w:rFonts w:hint="eastAsia" w:ascii="宋体" w:hAnsi="宋体" w:eastAsia="宋体" w:cs="宋体"/>
          <w:lang w:val="en-US" w:eastAsia="zh-CN"/>
        </w:rPr>
        <w:t>措辞轻微避重就轻：将违法骑行简化为“疏忽”，弱化违规行为的主观警惕缺失；未说明后续如何约束自身、家人出行行为，长效改进措施缺失。</w:t>
      </w:r>
    </w:p>
    <w:p w14:paraId="2F8CD5D6">
      <w:pPr>
        <w:pStyle w:val="3"/>
        <w:bidi w:val="0"/>
        <w:rPr>
          <w:rFonts w:hint="eastAsia"/>
          <w:lang w:val="en-US" w:eastAsia="zh-CN"/>
        </w:rPr>
      </w:pPr>
      <w:r>
        <w:rPr>
          <w:rFonts w:hint="eastAsia"/>
          <w:lang w:val="en-US" w:eastAsia="zh-CN"/>
        </w:rPr>
        <w:t>（三）政府新闻发⾔⼈⼝径</w:t>
      </w:r>
    </w:p>
    <w:p w14:paraId="0D4A749C">
      <w:pPr>
        <w:pStyle w:val="4"/>
        <w:bidi w:val="0"/>
        <w:rPr>
          <w:rFonts w:hint="eastAsia"/>
          <w:lang w:val="en-US" w:eastAsia="zh-CN"/>
        </w:rPr>
      </w:pPr>
      <w:r>
        <w:rPr>
          <w:rFonts w:hint="eastAsia"/>
          <w:lang w:val="en-US" w:eastAsia="zh-CN"/>
        </w:rPr>
        <w:t>1.浏阳烟花厂爆炸新闻发布会</w:t>
      </w:r>
    </w:p>
    <w:p w14:paraId="3C7B0075">
      <w:pPr>
        <w:bidi w:val="0"/>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"https://link.wtturl.cn/?target=https://www.shouxian.gov.cn/ztbd/gdzl/aqscgzxczl/dxal/8184016.html&amp;scene=im&amp;aid=497858&amp;lang=zh" \o "autolink" \t "_blank"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https://www.shouxian.gov.cn/ztbd/gdzl/aqscgzxczl/dxal/8184016.html</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t>
      </w:r>
    </w:p>
    <w:p w14:paraId="332CAE03">
      <w:pPr>
        <w:keepNext w:val="0"/>
        <w:keepLines w:val="0"/>
        <w:widowControl/>
        <w:suppressLineNumbers w:val="0"/>
        <w:ind w:left="480" w:leftChars="200" w:firstLine="0" w:firstLine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（1）Ethos</w:t>
      </w:r>
    </w:p>
    <w:p w14:paraId="28B963D2">
      <w:pPr>
        <w:keepNext w:val="0"/>
        <w:keepLines w:val="0"/>
        <w:widowControl/>
        <w:suppressLineNumbers w:val="0"/>
        <w:ind w:firstLine="480" w:firstLineChars="20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政府官方发布主体，拥有行政、应急处置权威；开篇主动哀悼遇难者、向家属致歉，主动承担监管属地责任；披露完整伤亡、救援、追责信息，信息公开塑造政务公信力；同步对接国务院调查组、依法控制涉事企业负责人，体现依法行政。</w:t>
      </w:r>
    </w:p>
    <w:p w14:paraId="6DAA94B8">
      <w:pPr>
        <w:keepNext w:val="0"/>
        <w:keepLines w:val="0"/>
        <w:widowControl/>
        <w:suppressLineNumbers w:val="0"/>
        <w:ind w:left="480" w:leftChars="200" w:firstLine="0" w:firstLine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（2）Pathos</w:t>
      </w:r>
    </w:p>
    <w:p w14:paraId="63AD70B3">
      <w:pPr>
        <w:keepNext w:val="0"/>
        <w:keepLines w:val="0"/>
        <w:widowControl/>
        <w:suppressLineNumbers w:val="0"/>
        <w:ind w:firstLine="480" w:firstLineChars="20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“极为痛心、无比自责”传递政府沉痛情绪，安抚遇难家属悲痛；公布伤员“一患一策”救治方案，传递生命至上的人文关怀；全域停产整顿，回应民众对烟花爆竹安全的恐慌情绪。</w:t>
      </w:r>
    </w:p>
    <w:p w14:paraId="7EC9E8A4">
      <w:pPr>
        <w:keepNext w:val="0"/>
        <w:keepLines w:val="0"/>
        <w:widowControl/>
        <w:numPr>
          <w:ilvl w:val="0"/>
          <w:numId w:val="4"/>
        </w:numPr>
        <w:suppressLineNumbers w:val="0"/>
        <w:ind w:left="480" w:leftChars="200" w:firstLine="0" w:firstLine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Logos</w:t>
      </w:r>
    </w:p>
    <w:p w14:paraId="1A216FE5">
      <w:pPr>
        <w:keepNext w:val="0"/>
        <w:keepLines w:val="0"/>
        <w:widowControl/>
        <w:numPr>
          <w:numId w:val="0"/>
        </w:numPr>
        <w:suppressLineNumbers w:val="0"/>
        <w:ind w:firstLine="480" w:firstLineChars="20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完整闭环逻辑链：事故发生后立即启动应急响应，多部门救援、医疗救治、一对一善后，同时配合调查追责，最后全域停产加之行业安全排查长效整改；所有举措均对应事故暴露的安全漏洞。</w:t>
      </w:r>
    </w:p>
    <w:p w14:paraId="2AEE6CE2">
      <w:pPr>
        <w:keepNext w:val="0"/>
        <w:keepLines w:val="0"/>
        <w:widowControl/>
        <w:suppressLineNumbers w:val="0"/>
        <w:ind w:left="480" w:leftChars="200" w:firstLine="0" w:firstLine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（4）认同策略</w:t>
      </w:r>
    </w:p>
    <w:p w14:paraId="09820A58">
      <w:pPr>
        <w:keepNext w:val="0"/>
        <w:keepLines w:val="0"/>
        <w:widowControl/>
        <w:suppressLineNumbers w:val="0"/>
        <w:ind w:firstLine="480" w:firstLineChars="20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同情认同：与民众共享珍惜生命、痛恨安全生产事故的情感，聚焦伤亡群众达成共情；对立认同：以企业安全违规、监管漏洞为共同对立面，政府与民众共同追求安全生产环境。</w:t>
      </w:r>
    </w:p>
    <w:p w14:paraId="4E1F3380">
      <w:pPr>
        <w:keepNext w:val="0"/>
        <w:keepLines w:val="0"/>
        <w:widowControl/>
        <w:suppressLineNumbers w:val="0"/>
        <w:ind w:left="480" w:leftChars="200" w:firstLine="0" w:firstLine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（5）失败表达</w:t>
      </w:r>
    </w:p>
    <w:p w14:paraId="269C07AB">
      <w:pPr>
        <w:keepNext w:val="0"/>
        <w:keepLines w:val="0"/>
        <w:widowControl/>
        <w:suppressLineNumbers w:val="0"/>
        <w:ind w:firstLine="480" w:firstLineChars="200"/>
        <w:jc w:val="both"/>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发布会问答环节部分群众关切细节如企业日常监管漏洞明细等简化带过，信息披露不充分；全域停产整改未明确恢复生产验收标准，整改落地逻辑存在留白。</w:t>
      </w:r>
    </w:p>
    <w:p w14:paraId="2CF4CA0F">
      <w:pPr>
        <w:pStyle w:val="4"/>
        <w:numPr>
          <w:ilvl w:val="0"/>
          <w:numId w:val="5"/>
        </w:numPr>
        <w:bidi w:val="0"/>
        <w:rPr>
          <w:rFonts w:ascii="宋体" w:hAnsi="宋体" w:eastAsia="宋体" w:cs="宋体"/>
          <w:sz w:val="24"/>
          <w:szCs w:val="24"/>
        </w:rPr>
      </w:pPr>
      <w:r>
        <w:rPr>
          <w:rFonts w:hint="eastAsia"/>
          <w:lang w:val="en-US" w:eastAsia="zh-CN"/>
        </w:rPr>
        <w:t>郑州7·20特大暴雨灾害官方阶段性通报</w:t>
      </w:r>
    </w:p>
    <w:p w14:paraId="1D35A03B">
      <w:pPr>
        <w:bidi w:val="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"https://link.wtturl.cn/?target=http://www.scio.gov.cn/xwfb/dfxwfb/gssfbh/hn_13841/202207/t20220716_237167_m.html&amp;scene=im&amp;aid=497858&amp;lang=zh" \o "autolink" \t "_blank" </w:instrText>
      </w:r>
      <w:r>
        <w:rPr>
          <w:rFonts w:ascii="宋体" w:hAnsi="宋体" w:eastAsia="宋体" w:cs="宋体"/>
          <w:sz w:val="24"/>
          <w:szCs w:val="24"/>
        </w:rPr>
        <w:fldChar w:fldCharType="separate"/>
      </w:r>
      <w:r>
        <w:rPr>
          <w:rStyle w:val="9"/>
          <w:rFonts w:ascii="宋体" w:hAnsi="宋体" w:eastAsia="宋体" w:cs="宋体"/>
          <w:sz w:val="24"/>
          <w:szCs w:val="24"/>
        </w:rPr>
        <w:t>http://www.scio.gov.cn/xwfb/dfxwfb/gssfbh/hn_13841/202207/t20220716_237167_m.html</w:t>
      </w:r>
      <w:r>
        <w:rPr>
          <w:rFonts w:ascii="宋体" w:hAnsi="宋体" w:eastAsia="宋体" w:cs="宋体"/>
          <w:sz w:val="24"/>
          <w:szCs w:val="24"/>
        </w:rPr>
        <w:fldChar w:fldCharType="end"/>
      </w:r>
      <w:r>
        <w:rPr>
          <w:rFonts w:ascii="宋体" w:hAnsi="宋体" w:eastAsia="宋体" w:cs="宋体"/>
          <w:sz w:val="24"/>
          <w:szCs w:val="24"/>
        </w:rPr>
        <w:t xml:space="preserve"> </w:t>
      </w:r>
    </w:p>
    <w:p w14:paraId="63AF1A35">
      <w:pPr>
        <w:keepNext w:val="0"/>
        <w:keepLines w:val="0"/>
        <w:widowControl/>
        <w:numPr>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（1）Ethos</w:t>
      </w:r>
    </w:p>
    <w:p w14:paraId="01FB97C3">
      <w:pPr>
        <w:keepNext w:val="0"/>
        <w:keepLines w:val="0"/>
        <w:widowControl/>
        <w:numPr>
          <w:numId w:val="0"/>
        </w:numPr>
        <w:suppressLineNumbers w:val="0"/>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国新办官方发布，最高级别政务权威背书；完整披露降雨极值、受灾数据、救援力量，客观不隐瞒灾情；直面城市内涝、地铁险情等负面舆情，主动披露处置短板，体现政务坦诚。</w:t>
      </w:r>
    </w:p>
    <w:p w14:paraId="51532170">
      <w:pPr>
        <w:keepNext w:val="0"/>
        <w:keepLines w:val="0"/>
        <w:widowControl/>
        <w:numPr>
          <w:numId w:val="0"/>
        </w:numPr>
        <w:suppressLineNumbers w:val="0"/>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（2）Pathos</w:t>
      </w:r>
    </w:p>
    <w:p w14:paraId="68FA364A">
      <w:pPr>
        <w:keepNext w:val="0"/>
        <w:keepLines w:val="0"/>
        <w:widowControl/>
        <w:numPr>
          <w:numId w:val="0"/>
        </w:numPr>
        <w:suppressLineNumbers w:val="0"/>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开篇共情受灾群众苦难，传递政府救灾的急迫与心疼；重点说明群众转移安置、水电抢修、物资保障，缓解民众恐慌与无助感。</w:t>
      </w:r>
    </w:p>
    <w:p w14:paraId="0A27157D">
      <w:pPr>
        <w:keepNext w:val="0"/>
        <w:keepLines w:val="0"/>
        <w:widowControl/>
        <w:numPr>
          <w:numId w:val="0"/>
        </w:numPr>
        <w:suppressLineNumbers w:val="0"/>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（3）Logos</w:t>
      </w:r>
    </w:p>
    <w:p w14:paraId="7E00DB2D">
      <w:pPr>
        <w:keepNext w:val="0"/>
        <w:keepLines w:val="0"/>
        <w:widowControl/>
        <w:numPr>
          <w:numId w:val="0"/>
        </w:numPr>
        <w:suppressLineNumbers w:val="0"/>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遵循“灾情数据→救援行动→民生保障→下一步防汛举措”政务通报标准逻辑，分领域清晰罗列处置工作，条理严谨。</w:t>
      </w:r>
    </w:p>
    <w:p w14:paraId="14510E25">
      <w:pPr>
        <w:keepNext w:val="0"/>
        <w:keepLines w:val="0"/>
        <w:widowControl/>
        <w:numPr>
          <w:numId w:val="0"/>
        </w:numPr>
        <w:suppressLineNumbers w:val="0"/>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（4）认同策略</w:t>
      </w:r>
    </w:p>
    <w:p w14:paraId="6E9D7EA7">
      <w:pPr>
        <w:keepNext w:val="0"/>
        <w:keepLines w:val="0"/>
        <w:widowControl/>
        <w:numPr>
          <w:numId w:val="0"/>
        </w:numPr>
        <w:suppressLineNumbers w:val="0"/>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同情认同：依托全民共同经历的暴雨灾害苦难，与受灾群众共情；曲同：民众将政府抢险、安置行为等同于守护群众生命财产的共同诉求，形成价值认同。</w:t>
      </w:r>
    </w:p>
    <w:p w14:paraId="46794C69">
      <w:pPr>
        <w:keepNext w:val="0"/>
        <w:keepLines w:val="0"/>
        <w:widowControl/>
        <w:numPr>
          <w:numId w:val="0"/>
        </w:numPr>
        <w:suppressLineNumbers w:val="0"/>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（5）失败表达</w:t>
      </w:r>
    </w:p>
    <w:p w14:paraId="3F6380C8">
      <w:pPr>
        <w:keepNext w:val="0"/>
        <w:keepLines w:val="0"/>
        <w:widowControl/>
        <w:numPr>
          <w:numId w:val="0"/>
        </w:numPr>
        <w:suppressLineNumbers w:val="0"/>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阶段性通报侧重救援进展，对前期预警、应急响应疏漏轻描淡写，责任反思不足；受灾群众理赔、长期灾后重建方案篇幅极少，民众核心关切回应单薄。</w:t>
      </w:r>
    </w:p>
    <w:p w14:paraId="1C9A860B">
      <w:pPr>
        <w:pStyle w:val="2"/>
        <w:numPr>
          <w:numId w:val="0"/>
        </w:numPr>
        <w:bidi w:val="0"/>
        <w:ind w:leftChars="0"/>
        <w:rPr>
          <w:rFonts w:hint="eastAsia"/>
          <w:lang w:val="en-US" w:eastAsia="zh-CN"/>
        </w:rPr>
      </w:pPr>
      <w:r>
        <w:rPr>
          <w:rFonts w:hint="eastAsia"/>
          <w:lang w:val="en-US" w:eastAsia="zh-CN"/>
        </w:rPr>
        <w:t>三、示例案例池</w:t>
      </w:r>
    </w:p>
    <w:p w14:paraId="6B485111">
      <w:pPr>
        <w:numPr>
          <w:numId w:val="0"/>
        </w:numPr>
        <w:ind w:leftChars="0" w:firstLine="480" w:firstLineChars="200"/>
        <w:jc w:val="left"/>
        <w:rPr>
          <w:rFonts w:hint="eastAsia" w:ascii="宋体" w:hAnsi="宋体" w:eastAsia="宋体" w:cs="宋体"/>
          <w:lang w:val="en-US" w:eastAsia="zh-CN"/>
        </w:rPr>
      </w:pPr>
      <w:r>
        <w:rPr>
          <w:rFonts w:hint="eastAsia" w:ascii="宋体" w:hAnsi="宋体" w:eastAsia="宋体" w:cs="宋体"/>
          <w:lang w:val="en-US" w:eastAsia="zh-CN"/>
        </w:rPr>
        <w:t>杨国福门店老鼠问题：适合分析</w:t>
      </w:r>
      <w:r>
        <w:rPr>
          <w:rFonts w:hint="eastAsia" w:ascii="宋体" w:hAnsi="宋体" w:eastAsia="宋体" w:cs="宋体"/>
          <w:sz w:val="24"/>
          <w:szCs w:val="24"/>
        </w:rPr>
        <w:t>食品安全危机中道歉声明的结构（致歉表达</w:t>
      </w:r>
      <w:r>
        <w:rPr>
          <w:rFonts w:hint="eastAsia" w:ascii="宋体" w:hAnsi="宋体" w:eastAsia="宋体" w:cs="宋体"/>
          <w:sz w:val="24"/>
          <w:szCs w:val="24"/>
          <w:lang w:val="en-US" w:eastAsia="zh-CN"/>
        </w:rPr>
        <w:t>+</w:t>
      </w:r>
      <w:r>
        <w:rPr>
          <w:rFonts w:hint="eastAsia" w:ascii="宋体" w:hAnsi="宋体" w:eastAsia="宋体" w:cs="宋体"/>
          <w:sz w:val="24"/>
          <w:szCs w:val="24"/>
        </w:rPr>
        <w:t>事实承认</w:t>
      </w:r>
      <w:r>
        <w:rPr>
          <w:rFonts w:hint="eastAsia" w:ascii="宋体" w:hAnsi="宋体" w:eastAsia="宋体" w:cs="宋体"/>
          <w:sz w:val="24"/>
          <w:szCs w:val="24"/>
          <w:lang w:val="en-US" w:eastAsia="zh-CN"/>
        </w:rPr>
        <w:t>+</w:t>
      </w:r>
      <w:r>
        <w:rPr>
          <w:rFonts w:hint="eastAsia" w:ascii="宋体" w:hAnsi="宋体" w:eastAsia="宋体" w:cs="宋体"/>
          <w:sz w:val="24"/>
          <w:szCs w:val="24"/>
        </w:rPr>
        <w:t>整改闭环</w:t>
      </w:r>
      <w:r>
        <w:rPr>
          <w:rFonts w:hint="eastAsia" w:ascii="宋体" w:hAnsi="宋体" w:eastAsia="宋体" w:cs="宋体"/>
          <w:sz w:val="24"/>
          <w:szCs w:val="24"/>
          <w:lang w:val="en-US" w:eastAsia="zh-CN"/>
        </w:rPr>
        <w:t>+</w:t>
      </w:r>
      <w:r>
        <w:rPr>
          <w:rFonts w:hint="eastAsia" w:ascii="宋体" w:hAnsi="宋体" w:eastAsia="宋体" w:cs="宋体"/>
          <w:sz w:val="24"/>
          <w:szCs w:val="24"/>
        </w:rPr>
        <w:t>监管配合）</w:t>
      </w:r>
    </w:p>
    <w:p w14:paraId="5A6D9B8A">
      <w:pPr>
        <w:numPr>
          <w:numId w:val="0"/>
        </w:numPr>
        <w:ind w:leftChars="0" w:firstLine="480" w:firstLineChars="200"/>
        <w:jc w:val="left"/>
        <w:rPr>
          <w:rFonts w:hint="eastAsia" w:ascii="宋体" w:hAnsi="宋体" w:eastAsia="宋体" w:cs="宋体"/>
          <w:lang w:val="en-US" w:eastAsia="zh-CN"/>
        </w:rPr>
      </w:pPr>
      <w:r>
        <w:rPr>
          <w:rFonts w:hint="eastAsia" w:ascii="宋体" w:hAnsi="宋体" w:eastAsia="宋体" w:cs="宋体"/>
          <w:lang w:val="en-US" w:eastAsia="zh-CN"/>
        </w:rPr>
        <w:t>快手网信致歉声明：适合分析</w:t>
      </w:r>
      <w:r>
        <w:rPr>
          <w:rFonts w:hint="eastAsia" w:ascii="宋体" w:hAnsi="宋体" w:eastAsia="宋体" w:cs="宋体"/>
          <w:sz w:val="24"/>
          <w:szCs w:val="24"/>
        </w:rPr>
        <w:t>平台治理类危机中官方声明的责任认领结构与长期治理承诺表达方式</w:t>
      </w:r>
      <w:r>
        <w:rPr>
          <w:rFonts w:hint="eastAsia" w:ascii="宋体" w:hAnsi="宋体" w:eastAsia="宋体" w:cs="宋体"/>
          <w:sz w:val="24"/>
          <w:szCs w:val="24"/>
          <w:lang w:eastAsia="zh-CN"/>
        </w:rPr>
        <w:t>。</w:t>
      </w:r>
    </w:p>
    <w:p w14:paraId="43F3A27E">
      <w:pPr>
        <w:numPr>
          <w:numId w:val="0"/>
        </w:numPr>
        <w:ind w:leftChars="0" w:firstLine="480" w:firstLineChars="200"/>
        <w:jc w:val="left"/>
        <w:rPr>
          <w:rFonts w:hint="eastAsia" w:ascii="宋体" w:hAnsi="宋体" w:eastAsia="宋体" w:cs="宋体"/>
          <w:lang w:val="en-US" w:eastAsia="zh-CN"/>
        </w:rPr>
      </w:pPr>
      <w:r>
        <w:rPr>
          <w:rFonts w:hint="eastAsia" w:ascii="宋体" w:hAnsi="宋体" w:eastAsia="宋体" w:cs="宋体"/>
          <w:lang w:val="en-US" w:eastAsia="zh-CN"/>
        </w:rPr>
        <w:t>迪丽热巴DG解约声明：适合分析</w:t>
      </w:r>
      <w:r>
        <w:rPr>
          <w:rFonts w:hint="eastAsia" w:ascii="宋体" w:hAnsi="宋体" w:eastAsia="宋体" w:cs="宋体"/>
          <w:sz w:val="24"/>
          <w:szCs w:val="24"/>
        </w:rPr>
        <w:t>品牌价值观冲突中解约声明的立场表达、对立切割与情绪动员话术</w:t>
      </w:r>
      <w:r>
        <w:rPr>
          <w:rFonts w:hint="eastAsia" w:ascii="宋体" w:hAnsi="宋体" w:eastAsia="宋体" w:cs="宋体"/>
          <w:sz w:val="24"/>
          <w:szCs w:val="24"/>
          <w:lang w:eastAsia="zh-CN"/>
        </w:rPr>
        <w:t>。</w:t>
      </w:r>
    </w:p>
    <w:p w14:paraId="1DFDF2ED">
      <w:pPr>
        <w:numPr>
          <w:numId w:val="0"/>
        </w:numPr>
        <w:ind w:firstLine="480" w:firstLineChars="200"/>
        <w:jc w:val="left"/>
        <w:rPr>
          <w:rFonts w:hint="eastAsia" w:ascii="宋体" w:hAnsi="宋体" w:eastAsia="宋体" w:cs="宋体"/>
          <w:lang w:val="en-US" w:eastAsia="zh-CN"/>
        </w:rPr>
      </w:pPr>
      <w:r>
        <w:rPr>
          <w:rFonts w:hint="eastAsia" w:ascii="宋体" w:hAnsi="宋体" w:eastAsia="宋体" w:cs="宋体"/>
          <w:lang w:val="en-US" w:eastAsia="zh-CN"/>
        </w:rPr>
        <w:t>黄晓明违法驾驶致歉：适合分析</w:t>
      </w:r>
      <w:r>
        <w:rPr>
          <w:rFonts w:hint="eastAsia" w:ascii="宋体" w:hAnsi="宋体" w:eastAsia="宋体" w:cs="宋体"/>
          <w:sz w:val="24"/>
          <w:szCs w:val="24"/>
        </w:rPr>
        <w:t>公众人物失范事件中道歉声明的责任认领、情绪表达与公众教育型叙事结构</w:t>
      </w:r>
      <w:r>
        <w:rPr>
          <w:rFonts w:hint="eastAsia" w:ascii="宋体" w:hAnsi="宋体" w:eastAsia="宋体" w:cs="宋体"/>
          <w:sz w:val="24"/>
          <w:szCs w:val="24"/>
          <w:lang w:eastAsia="zh-CN"/>
        </w:rPr>
        <w:t>。</w:t>
      </w:r>
    </w:p>
    <w:p w14:paraId="0185E02D">
      <w:pPr>
        <w:numPr>
          <w:numId w:val="0"/>
        </w:numPr>
        <w:ind w:leftChars="0" w:firstLine="480" w:firstLineChars="200"/>
        <w:jc w:val="left"/>
        <w:rPr>
          <w:rFonts w:hint="eastAsia" w:ascii="宋体" w:hAnsi="宋体" w:eastAsia="宋体" w:cs="宋体"/>
          <w:lang w:val="en-US" w:eastAsia="zh-CN"/>
        </w:rPr>
      </w:pPr>
      <w:r>
        <w:rPr>
          <w:rFonts w:hint="eastAsia" w:ascii="宋体" w:hAnsi="宋体" w:eastAsia="宋体" w:cs="宋体"/>
          <w:lang w:val="en-US" w:eastAsia="zh-CN"/>
        </w:rPr>
        <w:t>浏阳烟花厂爆炸新闻发布会：适合分析</w:t>
      </w:r>
      <w:r>
        <w:rPr>
          <w:rFonts w:hint="eastAsia" w:ascii="宋体" w:hAnsi="宋体" w:eastAsia="宋体" w:cs="宋体"/>
          <w:sz w:val="24"/>
          <w:szCs w:val="24"/>
        </w:rPr>
        <w:t>生产安全事故中政府新闻发布口径的权威表达、信息披露节奏与情绪安抚结构</w:t>
      </w:r>
      <w:r>
        <w:rPr>
          <w:rFonts w:hint="eastAsia" w:ascii="宋体" w:hAnsi="宋体" w:eastAsia="宋体" w:cs="宋体"/>
          <w:sz w:val="24"/>
          <w:szCs w:val="24"/>
          <w:lang w:eastAsia="zh-CN"/>
        </w:rPr>
        <w:t>。</w:t>
      </w:r>
    </w:p>
    <w:p w14:paraId="013A59A9">
      <w:pPr>
        <w:numPr>
          <w:numId w:val="0"/>
        </w:numPr>
        <w:ind w:leftChars="0" w:firstLine="480" w:firstLineChars="200"/>
        <w:jc w:val="left"/>
        <w:rPr>
          <w:rFonts w:hint="eastAsia" w:ascii="宋体" w:hAnsi="宋体" w:eastAsia="宋体" w:cs="宋体"/>
          <w:lang w:val="en-US" w:eastAsia="zh-CN"/>
        </w:rPr>
      </w:pPr>
      <w:r>
        <w:rPr>
          <w:rFonts w:hint="eastAsia" w:ascii="宋体" w:hAnsi="宋体" w:eastAsia="宋体" w:cs="宋体"/>
          <w:lang w:val="en-US" w:eastAsia="zh-CN"/>
        </w:rPr>
        <w:t>郑州7·20暴雨通报：适合分析</w:t>
      </w:r>
      <w:r>
        <w:rPr>
          <w:rFonts w:hint="eastAsia" w:ascii="宋体" w:hAnsi="宋体" w:eastAsia="宋体" w:cs="宋体"/>
          <w:sz w:val="24"/>
          <w:szCs w:val="24"/>
        </w:rPr>
        <w:t>重大自然灾害中政务通报的事实披露结构、灾情叙事与共情表达方式</w:t>
      </w:r>
      <w:r>
        <w:rPr>
          <w:rFonts w:hint="eastAsia" w:ascii="宋体" w:hAnsi="宋体" w:eastAsia="宋体" w:cs="宋体"/>
          <w:sz w:val="24"/>
          <w:szCs w:val="24"/>
          <w:lang w:eastAsia="zh-CN"/>
        </w:rPr>
        <w:t>。</w:t>
      </w:r>
      <w:bookmarkStart w:id="0" w:name="_GoBack"/>
      <w:bookmarkEnd w:id="0"/>
    </w:p>
    <w:p w14:paraId="39B116FB">
      <w:pPr>
        <w:numPr>
          <w:numId w:val="0"/>
        </w:numPr>
        <w:ind w:leftChars="0"/>
        <w:rPr>
          <w:rFonts w:hint="default"/>
          <w:lang w:val="en-US" w:eastAsia="zh-CN"/>
        </w:rPr>
      </w:pPr>
    </w:p>
    <w:p w14:paraId="5C9D0C93">
      <w:pPr>
        <w:numPr>
          <w:numId w:val="0"/>
        </w:numPr>
        <w:ind w:leftChars="0"/>
        <w:rPr>
          <w:rFonts w:hint="eastAsia"/>
          <w:lang w:val="en-US" w:eastAsia="zh-CN"/>
        </w:rPr>
      </w:pPr>
    </w:p>
    <w:p w14:paraId="4A60DF5F">
      <w:pPr>
        <w:numPr>
          <w:numId w:val="0"/>
        </w:numPr>
        <w:ind w:leftChars="0"/>
        <w:rPr>
          <w:rFonts w:hint="default"/>
          <w:lang w:val="en-US" w:eastAsia="zh-CN"/>
        </w:rPr>
      </w:pPr>
    </w:p>
    <w:p w14:paraId="30B3AFB7">
      <w:pPr>
        <w:numPr>
          <w:ilvl w:val="0"/>
          <w:numId w:val="0"/>
        </w:numPr>
        <w:ind w:firstLine="420"/>
        <w:rPr>
          <w:rFonts w:hint="eastAsia" w:ascii="宋体" w:hAnsi="宋体" w:eastAsia="宋体" w:cs="宋体"/>
          <w:lang w:val="en-US" w:eastAsia="zh-CN"/>
        </w:rPr>
      </w:pPr>
    </w:p>
    <w:p w14:paraId="128974F3">
      <w:pPr>
        <w:numPr>
          <w:ilvl w:val="0"/>
          <w:numId w:val="0"/>
        </w:numPr>
        <w:ind w:firstLine="420"/>
        <w:rPr>
          <w:rFonts w:hint="default"/>
          <w:lang w:val="en-US" w:eastAsia="zh-CN"/>
        </w:rPr>
      </w:pPr>
    </w:p>
    <w:p w14:paraId="7A8E5F45">
      <w:pPr>
        <w:numPr>
          <w:ilvl w:val="0"/>
          <w:numId w:val="0"/>
        </w:numPr>
        <w:ind w:firstLine="420"/>
      </w:pPr>
    </w:p>
    <w:p w14:paraId="24B98C1B">
      <w:pPr>
        <w:numPr>
          <w:ilvl w:val="0"/>
          <w:numId w:val="0"/>
        </w:numPr>
        <w:ind w:firstLine="420"/>
        <w:rPr>
          <w:rFonts w:hint="eastAsia"/>
          <w:lang w:val="en-US" w:eastAsia="zh-CN"/>
        </w:rPr>
      </w:pPr>
    </w:p>
    <w:p w14:paraId="4494854A">
      <w:pPr>
        <w:numPr>
          <w:ilvl w:val="0"/>
          <w:numId w:val="0"/>
        </w:numPr>
        <w:ind w:firstLine="42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OpenSans-Regular">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B9A9A5"/>
    <w:multiLevelType w:val="singleLevel"/>
    <w:tmpl w:val="B6B9A9A5"/>
    <w:lvl w:ilvl="0" w:tentative="0">
      <w:start w:val="2"/>
      <w:numFmt w:val="decimal"/>
      <w:lvlText w:val="%1."/>
      <w:lvlJc w:val="left"/>
      <w:pPr>
        <w:tabs>
          <w:tab w:val="left" w:pos="312"/>
        </w:tabs>
      </w:pPr>
    </w:lvl>
  </w:abstractNum>
  <w:abstractNum w:abstractNumId="1">
    <w:nsid w:val="C569306D"/>
    <w:multiLevelType w:val="singleLevel"/>
    <w:tmpl w:val="C569306D"/>
    <w:lvl w:ilvl="0" w:tentative="0">
      <w:start w:val="3"/>
      <w:numFmt w:val="decimal"/>
      <w:suff w:val="nothing"/>
      <w:lvlText w:val="（%1）"/>
      <w:lvlJc w:val="left"/>
    </w:lvl>
  </w:abstractNum>
  <w:abstractNum w:abstractNumId="2">
    <w:nsid w:val="F95AC16E"/>
    <w:multiLevelType w:val="singleLevel"/>
    <w:tmpl w:val="F95AC16E"/>
    <w:lvl w:ilvl="0" w:tentative="0">
      <w:start w:val="1"/>
      <w:numFmt w:val="decimal"/>
      <w:suff w:val="nothing"/>
      <w:lvlText w:val="（%1）"/>
      <w:lvlJc w:val="left"/>
    </w:lvl>
  </w:abstractNum>
  <w:abstractNum w:abstractNumId="3">
    <w:nsid w:val="391C2E43"/>
    <w:multiLevelType w:val="singleLevel"/>
    <w:tmpl w:val="391C2E43"/>
    <w:lvl w:ilvl="0" w:tentative="0">
      <w:start w:val="1"/>
      <w:numFmt w:val="chineseCounting"/>
      <w:suff w:val="nothing"/>
      <w:lvlText w:val="%1、"/>
      <w:lvlJc w:val="left"/>
      <w:rPr>
        <w:rFonts w:hint="eastAsia"/>
      </w:rPr>
    </w:lvl>
  </w:abstractNum>
  <w:abstractNum w:abstractNumId="4">
    <w:nsid w:val="424D7F23"/>
    <w:multiLevelType w:val="singleLevel"/>
    <w:tmpl w:val="424D7F23"/>
    <w:lvl w:ilvl="0" w:tentative="0">
      <w:start w:val="2"/>
      <w:numFmt w:val="chineseCounting"/>
      <w:suff w:val="nothing"/>
      <w:lvlText w:val="（%1）"/>
      <w:lvlJc w:val="left"/>
      <w:rPr>
        <w:rFonts w:hint="eastAsia"/>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8372A0"/>
    <w:rsid w:val="09917564"/>
    <w:rsid w:val="44212A4D"/>
    <w:rsid w:val="65D82A97"/>
    <w:rsid w:val="774729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153</Words>
  <Characters>154</Characters>
  <Lines>0</Lines>
  <Paragraphs>0</Paragraphs>
  <TotalTime>110</TotalTime>
  <ScaleCrop>false</ScaleCrop>
  <LinksUpToDate>false</LinksUpToDate>
  <CharactersWithSpaces>154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2026-06-21T05:28:00Z</dcterms:created>
  <dc:creator>sdsx_</dc:creator>
  <cp:lastModifiedBy>三冬四夏</cp:lastModifiedBy>
  <dcterms:modified xsi:type="dcterms:W3CDTF">2026-06-21T09:22:42Z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eyJoZGlkIjoiYjBiNGFhODU2ZDQ1YzU5ODQwNmE5NTE0YTExYzVlZTkiLCJ1c2VySWQiOiIxNTk2NjUxNDAxIn0=</vt:lpwstr>
  </property>
  <property fmtid="{D5CDD505-2E9C-101B-9397-08002B2CF9AE}" pid="4" name="ICV">
    <vt:lpwstr>445F88C8F7A947BF8EBADCA2DB418C49_12</vt:lpwstr>
  </property>
</Properties>
</file>