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left"/>
      </w:pPr>
      <w:r>
        <w:rPr>
          <w:b/>
          <w:color w:val="000000"/>
          <w:sz w:val="28"/>
        </w:rPr>
        <w:t xml:space="preserve">SPECIAL DARK</w:t>
      </w:r>
    </w:p>
    <w:p>
      <w:pPr>
        <w:pStyle w:val="Title"/>
        <w:jc w:val="left"/>
      </w:pPr>
      <w:r>
        <w:t xml:space="preserve">TW6 Diffusion Agent Record</w:t>
      </w:r>
    </w:p>
    <w:p>
      <w:pPr>
        <w:jc w:val="left"/>
      </w:pPr>
      <w:r>
        <w:t xml:space="preserve">MASY1 GC 1800   Team Workshop 6   October 27 2026</w:t>
      </w:r>
    </w:p>
    <w:p>
      <w:pPr>
        <w:jc w:val="left"/>
      </w:pPr>
      <w:r>
        <w:t xml:space="preserve">The team has accepted this diffusion expert for its human-supervised chart-review application. General agent scaling is visible in a bounded survey, while exact-application and peer diffusion remain unknown. Factor priority depends on permissions and support capacity. Version 1.0 records the accepted synthesis.</w:t>
      </w:r>
    </w:p>
    <w:p>
      <w:pPr>
        <w:pStyle w:val="Heading1"/>
      </w:pPr>
      <w:r>
        <w:t xml:space="preserve">A Agent and Version</w:t>
      </w:r>
    </w:p>
    <w:tbl>
      <w:tblPr>
        <w:tblStyle w:val="TableGrid"/>
        <w:tblW w:type="auto" w:w="0"/>
        <w:jc w:val="center"/>
        <w:tblLayout w:type="autofit"/>
        <w:tblLook w:firstColumn="1" w:firstRow="1" w:lastColumn="0" w:lastRow="0" w:noHBand="0" w:noVBand="1" w:val="04A0"/>
      </w:tblPr>
      <w:tblGrid>
        <w:gridCol w:w="5227"/>
        <w:gridCol w:w="5227"/>
      </w:tblGrid>
      <w:tr>
        <w:trPr>
          <w:tblHeader/>
        </w:trPr>
        <w:tc>
          <w:tcPr>
            <w:tcW w:type="dxa" w:w="5227"/>
            <w:tcMar>
              <w:top w:w="70" w:type="dxa"/>
              <w:start w:w="90" w:type="dxa"/>
              <w:bottom w:w="70" w:type="dxa"/>
              <w:end w:w="90" w:type="dxa"/>
            </w:tcMar>
            <w:vAlign w:val="top"/>
            <w:shd w:fill="57068C"/>
          </w:tcPr>
          <w:p>
            <w:pPr>
              <w:spacing w:after="20"/>
            </w:pPr>
            <w:r>
              <w:rPr>
                <w:b/>
                <w:color w:val="FFFFFF"/>
                <w:sz w:val="17"/>
              </w:rPr>
              <w:t xml:space="preserve">Field</w:t>
            </w:r>
          </w:p>
        </w:tc>
        <w:tc>
          <w:tcPr>
            <w:tcW w:type="dxa" w:w="5227"/>
            <w:tcMar>
              <w:top w:w="70" w:type="dxa"/>
              <w:start w:w="90" w:type="dxa"/>
              <w:bottom w:w="70" w:type="dxa"/>
              <w:end w:w="90" w:type="dxa"/>
            </w:tcMar>
            <w:vAlign w:val="top"/>
            <w:shd w:fill="57068C"/>
          </w:tcPr>
          <w:p>
            <w:pPr>
              <w:spacing w:after="20"/>
            </w:pPr>
            <w:r>
              <w:rPr>
                <w:b/>
                <w:color w:val="FFFFFF"/>
                <w:sz w:val="17"/>
              </w:rPr>
              <w:t xml:space="preserve">Team record</w:t>
            </w:r>
          </w:p>
        </w:tc>
      </w:tr>
      <w:tr>
        <w:trPr>
          <w:cantSplit/>
        </w:trPr>
        <w:tc>
          <w:tcPr>
            <w:tcW w:type="dxa" w:w="5227"/>
            <w:tcMar>
              <w:top w:w="70" w:type="dxa"/>
              <w:start w:w="90" w:type="dxa"/>
              <w:bottom w:w="70" w:type="dxa"/>
              <w:end w:w="90" w:type="dxa"/>
            </w:tcMar>
            <w:vAlign w:val="top"/>
          </w:tcPr>
          <w:p>
            <w:pPr>
              <w:spacing w:after="20"/>
            </w:pPr>
            <w:r>
              <w:rPr>
                <w:sz w:val="17"/>
              </w:rPr>
              <w:t xml:space="preserve">Student and team</w:t>
            </w:r>
          </w:p>
        </w:tc>
        <w:tc>
          <w:tcPr>
            <w:tcW w:type="dxa" w:w="5227"/>
            <w:tcMar>
              <w:top w:w="70" w:type="dxa"/>
              <w:start w:w="90" w:type="dxa"/>
              <w:bottom w:w="70" w:type="dxa"/>
              <w:end w:w="90" w:type="dxa"/>
            </w:tcMar>
            <w:vAlign w:val="top"/>
          </w:tcPr>
          <w:p>
            <w:pPr>
              <w:spacing w:after="20"/>
            </w:pPr>
            <w:r>
              <w:rPr>
                <w:sz w:val="17"/>
              </w:rPr>
              <w:t xml:space="preserve">Special Dark — Yufei Cai, Chutong Wang, Jianbo Sun and Minghan Liu</w:t>
            </w:r>
          </w:p>
        </w:tc>
      </w:tr>
      <w:tr>
        <w:trPr>
          <w:cantSplit/>
        </w:trPr>
        <w:tc>
          <w:tcPr>
            <w:tcW w:type="dxa" w:w="5227"/>
            <w:tcMar>
              <w:top w:w="70" w:type="dxa"/>
              <w:start w:w="90" w:type="dxa"/>
              <w:bottom w:w="70" w:type="dxa"/>
              <w:end w:w="90" w:type="dxa"/>
            </w:tcMar>
            <w:vAlign w:val="top"/>
          </w:tcPr>
          <w:p>
            <w:pPr>
              <w:spacing w:after="20"/>
            </w:pPr>
            <w:r>
              <w:rPr>
                <w:sz w:val="17"/>
              </w:rPr>
              <w:t xml:space="preserve">Assignment and specialist</w:t>
            </w:r>
          </w:p>
        </w:tc>
        <w:tc>
          <w:tcPr>
            <w:tcW w:type="dxa" w:w="5227"/>
            <w:tcMar>
              <w:top w:w="70" w:type="dxa"/>
              <w:start w:w="90" w:type="dxa"/>
              <w:bottom w:w="70" w:type="dxa"/>
              <w:end w:w="90" w:type="dxa"/>
            </w:tcMar>
            <w:vAlign w:val="top"/>
          </w:tcPr>
          <w:p>
            <w:pPr>
              <w:spacing w:after="20"/>
            </w:pPr>
            <w:r>
              <w:rPr>
                <w:sz w:val="17"/>
              </w:rPr>
              <w:t xml:space="preserve">Team Workshop 6 — SubAgent 4 Emerging Technology Diffusion Agent</w:t>
            </w:r>
          </w:p>
        </w:tc>
      </w:tr>
      <w:tr>
        <w:trPr>
          <w:cantSplit/>
        </w:trPr>
        <w:tc>
          <w:tcPr>
            <w:tcW w:type="dxa" w:w="5227"/>
            <w:tcMar>
              <w:top w:w="70" w:type="dxa"/>
              <w:start w:w="90" w:type="dxa"/>
              <w:bottom w:w="70" w:type="dxa"/>
              <w:end w:w="90" w:type="dxa"/>
            </w:tcMar>
            <w:vAlign w:val="top"/>
          </w:tcPr>
          <w:p>
            <w:pPr>
              <w:spacing w:after="20"/>
            </w:pPr>
            <w:r>
              <w:rPr>
                <w:sz w:val="17"/>
              </w:rPr>
              <w:t xml:space="preserve">Date and release status</w:t>
            </w:r>
          </w:p>
        </w:tc>
        <w:tc>
          <w:tcPr>
            <w:tcW w:type="dxa" w:w="5227"/>
            <w:tcMar>
              <w:top w:w="70" w:type="dxa"/>
              <w:start w:w="90" w:type="dxa"/>
              <w:bottom w:w="70" w:type="dxa"/>
              <w:end w:w="90" w:type="dxa"/>
            </w:tcMar>
            <w:vAlign w:val="top"/>
          </w:tcPr>
          <w:p>
            <w:pPr>
              <w:spacing w:after="20"/>
            </w:pPr>
            <w:r>
              <w:rPr>
                <w:sz w:val="17"/>
              </w:rPr>
              <w:t xml:space="preserve">October 27, 2026. Version 1.0. Team acceptance and public-release authorization reported by Yufei Cai.</w:t>
            </w:r>
          </w:p>
        </w:tc>
      </w:tr>
      <w:tr>
        <w:trPr>
          <w:cantSplit/>
        </w:trPr>
        <w:tc>
          <w:tcPr>
            <w:tcW w:type="dxa" w:w="5227"/>
            <w:tcMar>
              <w:top w:w="70" w:type="dxa"/>
              <w:start w:w="90" w:type="dxa"/>
              <w:bottom w:w="70" w:type="dxa"/>
              <w:end w:w="90" w:type="dxa"/>
            </w:tcMar>
            <w:vAlign w:val="top"/>
          </w:tcPr>
          <w:p>
            <w:pPr>
              <w:spacing w:after="20"/>
            </w:pPr>
            <w:r>
              <w:rPr>
                <w:sz w:val="17"/>
              </w:rPr>
              <w:t xml:space="preserve">GitHub repository</w:t>
            </w:r>
          </w:p>
        </w:tc>
        <w:tc>
          <w:tcPr>
            <w:tcW w:type="dxa" w:w="5227"/>
            <w:tcMar>
              <w:top w:w="70" w:type="dxa"/>
              <w:start w:w="90" w:type="dxa"/>
              <w:bottom w:w="70" w:type="dxa"/>
              <w:end w:w="90" w:type="dxa"/>
            </w:tcMar>
            <w:vAlign w:val="top"/>
          </w:tcPr>
          <w:p>
            <w:pPr>
              <w:spacing w:after="20"/>
            </w:pPr>
            <w:hyperlink r:id="rIdTW61">
              <w:r>
                <w:rPr>
                  <w:sz w:val="17"/>
                  <w:color w:val="0563C1"/>
                </w:rPr>
                <w:t>Sun417-jianbo/special-dark</w:t>
              </w:r>
            </w:hyperlink>
          </w:p>
        </w:tc>
      </w:tr>
      <w:tr>
        <w:trPr>
          <w:cantSplit/>
        </w:trPr>
        <w:tc>
          <w:tcPr>
            <w:tcW w:type="dxa" w:w="5227"/>
            <w:tcMar>
              <w:top w:w="70" w:type="dxa"/>
              <w:start w:w="90" w:type="dxa"/>
              <w:bottom w:w="70" w:type="dxa"/>
              <w:end w:w="90" w:type="dxa"/>
            </w:tcMar>
            <w:vAlign w:val="top"/>
          </w:tcPr>
          <w:p>
            <w:pPr>
              <w:spacing w:after="20"/>
            </w:pPr>
            <w:r>
              <w:rPr>
                <w:sz w:val="17"/>
              </w:rPr>
              <w:t xml:space="preserve">Branch</w:t>
            </w:r>
          </w:p>
        </w:tc>
        <w:tc>
          <w:tcPr>
            <w:tcW w:type="dxa" w:w="5227"/>
            <w:tcMar>
              <w:top w:w="70" w:type="dxa"/>
              <w:start w:w="90" w:type="dxa"/>
              <w:bottom w:w="70" w:type="dxa"/>
              <w:end w:w="90" w:type="dxa"/>
            </w:tcMar>
            <w:vAlign w:val="top"/>
          </w:tcPr>
          <w:p>
            <w:pPr>
              <w:spacing w:after="20"/>
            </w:pPr>
            <w:hyperlink r:id="rIdTW6ReleaseBranch">
              <w:r>
                <w:rPr>
                  <w:sz w:val="17"/>
                  <w:color w:val="0563C1"/>
                </w:rPr>
                <w:t>tw6-diffusion-20261027</w:t>
              </w:r>
            </w:hyperlink>
          </w:p>
        </w:tc>
      </w:tr>
      <w:tr>
        <w:trPr>
          <w:cantSplit/>
        </w:trPr>
        <w:tc>
          <w:tcPr>
            <w:tcW w:type="dxa" w:w="5227"/>
            <w:tcMar>
              <w:top w:w="70" w:type="dxa"/>
              <w:start w:w="90" w:type="dxa"/>
              <w:bottom w:w="70" w:type="dxa"/>
              <w:end w:w="90" w:type="dxa"/>
            </w:tcMar>
            <w:vAlign w:val="top"/>
          </w:tcPr>
          <w:p>
            <w:pPr>
              <w:spacing w:after="20"/>
            </w:pPr>
            <w:r>
              <w:rPr>
                <w:sz w:val="17"/>
              </w:rPr>
              <w:t xml:space="preserve">Implementation commit</w:t>
            </w:r>
          </w:p>
        </w:tc>
        <w:tc>
          <w:tcPr>
            <w:tcW w:type="dxa" w:w="5227"/>
            <w:tcMar>
              <w:top w:w="70" w:type="dxa"/>
              <w:start w:w="90" w:type="dxa"/>
              <w:bottom w:w="70" w:type="dxa"/>
              <w:end w:w="90" w:type="dxa"/>
            </w:tcMar>
            <w:vAlign w:val="top"/>
          </w:tcPr>
          <w:p>
            <w:pPr>
              <w:spacing w:after="20"/>
            </w:pPr>
            <w:hyperlink r:id="rIdTW6ReleaseCommit">
              <w:r>
                <w:rPr>
                  <w:sz w:val="17"/>
                  <w:color w:val="0563C1"/>
                </w:rPr>
                <w:t>8e33e86307d8280383d1cfebfd43041a87577bde</w:t>
              </w:r>
            </w:hyperlink>
          </w:p>
        </w:tc>
      </w:tr>
      <w:tr>
        <w:trPr>
          <w:cantSplit/>
        </w:trPr>
        <w:tc>
          <w:tcPr>
            <w:tcW w:type="dxa" w:w="5227"/>
            <w:tcMar>
              <w:top w:w="70" w:type="dxa"/>
              <w:start w:w="90" w:type="dxa"/>
              <w:bottom w:w="70" w:type="dxa"/>
              <w:end w:w="90" w:type="dxa"/>
            </w:tcMar>
            <w:vAlign w:val="top"/>
          </w:tcPr>
          <w:p>
            <w:pPr>
              <w:spacing w:after="20"/>
            </w:pPr>
            <w:r>
              <w:rPr>
                <w:sz w:val="17"/>
              </w:rPr>
              <w:t xml:space="preserve">Frozen scaffold version</w:t>
            </w:r>
          </w:p>
        </w:tc>
        <w:tc>
          <w:tcPr>
            <w:tcW w:type="dxa" w:w="5227"/>
            <w:tcMar>
              <w:top w:w="70" w:type="dxa"/>
              <w:start w:w="90" w:type="dxa"/>
              <w:bottom w:w="70" w:type="dxa"/>
              <w:end w:w="90" w:type="dxa"/>
            </w:tcMar>
            <w:vAlign w:val="top"/>
          </w:tcPr>
          <w:p>
            <w:pPr>
              <w:spacing w:after="20"/>
            </w:pPr>
            <w:r>
              <w:rPr>
                <w:sz w:val="17"/>
              </w:rPr>
              <w:t xml:space="preserve">MASY1800_ET_Agent_Scaffold_v1_0. All original scaffold files and the seven frozen files are unchanged. All four member packages also match the seven frozen files.</w:t>
            </w:r>
          </w:p>
        </w:tc>
      </w:tr>
    </w:tbl>
    <w:p>
      <w:pPr>
        <w:pStyle w:val="Heading1"/>
      </w:pPr>
      <w:r>
        <w:t xml:space="preserve">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rPr>
          <w:tblHeader/>
        </w:trPr>
        <w:tc>
          <w:tcPr>
            <w:tcW w:type="dxa" w:w="5227"/>
            <w:tcMar>
              <w:top w:w="70" w:type="dxa"/>
              <w:start w:w="90" w:type="dxa"/>
              <w:bottom w:w="70" w:type="dxa"/>
              <w:end w:w="90" w:type="dxa"/>
            </w:tcMar>
            <w:vAlign w:val="top"/>
            <w:shd w:fill="57068C"/>
          </w:tcPr>
          <w:p>
            <w:pPr>
              <w:spacing w:after="20"/>
            </w:pPr>
            <w:r>
              <w:rPr>
                <w:b/>
                <w:color w:val="FFFFFF"/>
                <w:sz w:val="17"/>
              </w:rPr>
              <w:t xml:space="preserve">Field</w:t>
            </w:r>
          </w:p>
        </w:tc>
        <w:tc>
          <w:tcPr>
            <w:tcW w:type="dxa" w:w="5227"/>
            <w:tcMar>
              <w:top w:w="70" w:type="dxa"/>
              <w:start w:w="90" w:type="dxa"/>
              <w:bottom w:w="70" w:type="dxa"/>
              <w:end w:w="90" w:type="dxa"/>
            </w:tcMar>
            <w:vAlign w:val="top"/>
            <w:shd w:fill="57068C"/>
          </w:tcPr>
          <w:p>
            <w:pPr>
              <w:spacing w:after="20"/>
            </w:pPr>
            <w:r>
              <w:rPr>
                <w:b/>
                <w:color w:val="FFFFFF"/>
                <w:sz w:val="17"/>
              </w:rPr>
              <w:t xml:space="preserve">Team record</w:t>
            </w:r>
          </w:p>
        </w:tc>
      </w:tr>
      <w:tr>
        <w:trPr>
          <w:cantSplit/>
        </w:trPr>
        <w:tc>
          <w:tcPr>
            <w:tcW w:type="dxa" w:w="5227"/>
            <w:tcMar>
              <w:top w:w="70" w:type="dxa"/>
              <w:start w:w="90" w:type="dxa"/>
              <w:bottom w:w="70" w:type="dxa"/>
              <w:end w:w="90" w:type="dxa"/>
            </w:tcMar>
            <w:vAlign w:val="top"/>
          </w:tcPr>
          <w:p>
            <w:pPr>
              <w:spacing w:after="20"/>
            </w:pPr>
            <w:r>
              <w:rPr>
                <w:sz w:val="17"/>
              </w:rPr>
              <w:t xml:space="preserve">Governing question</w:t>
            </w:r>
          </w:p>
        </w:tc>
        <w:tc>
          <w:tcPr>
            <w:tcW w:type="dxa" w:w="5227"/>
            <w:tcMar>
              <w:top w:w="70" w:type="dxa"/>
              <w:start w:w="90" w:type="dxa"/>
              <w:bottom w:w="70" w:type="dxa"/>
              <w:end w:w="90" w:type="dxa"/>
            </w:tcMar>
            <w:vAlign w:val="top"/>
          </w:tcPr>
          <w:p>
            <w:pPr>
              <w:spacing w:after="20"/>
            </w:pPr>
            <w:r>
              <w:rPr>
                <w:sz w:val="17"/>
              </w:rPr>
              <w:t xml:space="preserve">Where have the defined technology and application diffused, what accelerates or inhibits spread, and what timing is justified without deciding adoption?</w:t>
            </w:r>
          </w:p>
        </w:tc>
      </w:tr>
      <w:tr>
        <w:trPr>
          <w:cantSplit/>
        </w:trPr>
        <w:tc>
          <w:tcPr>
            <w:tcW w:type="dxa" w:w="5227"/>
            <w:tcMar>
              <w:top w:w="70" w:type="dxa"/>
              <w:start w:w="90" w:type="dxa"/>
              <w:bottom w:w="70" w:type="dxa"/>
              <w:end w:w="90" w:type="dxa"/>
            </w:tcMar>
            <w:vAlign w:val="top"/>
          </w:tcPr>
          <w:p>
            <w:pPr>
              <w:spacing w:after="20"/>
            </w:pPr>
            <w:r>
              <w:rPr>
                <w:sz w:val="17"/>
              </w:rPr>
              <w:t xml:space="preserve">Emerging technology</w:t>
            </w:r>
          </w:p>
        </w:tc>
        <w:tc>
          <w:tcPr>
            <w:tcW w:type="dxa" w:w="5227"/>
            <w:tcMar>
              <w:top w:w="70" w:type="dxa"/>
              <w:start w:w="90" w:type="dxa"/>
              <w:bottom w:w="70" w:type="dxa"/>
              <w:end w:w="90" w:type="dxa"/>
            </w:tcMar>
            <w:vAlign w:val="top"/>
          </w:tcPr>
          <w:p>
            <w:pPr>
              <w:spacing w:after="20"/>
            </w:pPr>
            <w:r>
              <w:rPr>
                <w:sz w:val="17"/>
              </w:rPr>
              <w:t xml:space="preserve">Agentic AI as an integrated model-directed system with tools, observations, bounded permissions and human stopping authority; not all GenAI or fixed automation.</w:t>
            </w:r>
          </w:p>
        </w:tc>
      </w:tr>
      <w:tr>
        <w:trPr>
          <w:cantSplit/>
        </w:trPr>
        <w:tc>
          <w:tcPr>
            <w:tcW w:type="dxa" w:w="5227"/>
            <w:tcMar>
              <w:top w:w="70" w:type="dxa"/>
              <w:start w:w="90" w:type="dxa"/>
              <w:bottom w:w="70" w:type="dxa"/>
              <w:end w:w="90" w:type="dxa"/>
            </w:tcMar>
            <w:vAlign w:val="top"/>
          </w:tcPr>
          <w:p>
            <w:pPr>
              <w:spacing w:after="20"/>
            </w:pPr>
            <w:r>
              <w:rPr>
                <w:sz w:val="17"/>
              </w:rPr>
              <w:t xml:space="preserve">Intended application</w:t>
            </w:r>
          </w:p>
        </w:tc>
        <w:tc>
          <w:tcPr>
            <w:tcW w:type="dxa" w:w="5227"/>
            <w:tcMar>
              <w:top w:w="70" w:type="dxa"/>
              <w:start w:w="90" w:type="dxa"/>
              <w:bottom w:w="70" w:type="dxa"/>
              <w:end w:w="90" w:type="dxa"/>
            </w:tcMar>
            <w:vAlign w:val="top"/>
          </w:tcPr>
          <w:p>
            <w:pPr>
              <w:spacing w:after="20"/>
            </w:pPr>
            <w:r>
              <w:rPr>
                <w:sz w:val="17"/>
              </w:rPr>
              <w:t xml:space="preserve">Compare charts and claims with approved source tables using read-only tools, then draft corrections for a named human reviewer. No autonomous publication or financial decisions.</w:t>
            </w:r>
          </w:p>
        </w:tc>
      </w:tr>
      <w:tr>
        <w:trPr>
          <w:cantSplit/>
        </w:trPr>
        <w:tc>
          <w:tcPr>
            <w:tcW w:type="dxa" w:w="5227"/>
            <w:tcMar>
              <w:top w:w="70" w:type="dxa"/>
              <w:start w:w="90" w:type="dxa"/>
              <w:bottom w:w="70" w:type="dxa"/>
              <w:end w:w="90" w:type="dxa"/>
            </w:tcMar>
            <w:vAlign w:val="top"/>
          </w:tcPr>
          <w:p>
            <w:pPr>
              <w:spacing w:after="20"/>
            </w:pPr>
            <w:r>
              <w:rPr>
                <w:sz w:val="17"/>
              </w:rPr>
              <w:t xml:space="preserve">Organization and industry</w:t>
            </w:r>
          </w:p>
        </w:tc>
        <w:tc>
          <w:tcPr>
            <w:tcW w:type="dxa" w:w="5227"/>
            <w:tcMar>
              <w:top w:w="70" w:type="dxa"/>
              <w:start w:w="90" w:type="dxa"/>
              <w:bottom w:w="70" w:type="dxa"/>
              <w:end w:w="90" w:type="dxa"/>
            </w:tcMar>
            <w:vAlign w:val="top"/>
          </w:tcPr>
          <w:p>
            <w:pPr>
              <w:spacing w:after="20"/>
            </w:pPr>
            <w:r>
              <w:rPr>
                <w:sz w:val="17"/>
              </w:rPr>
              <w:t xml:space="preserve">Hypothetical mid-sized US financial-services firm. This teaching case has no supplied pilot results or measured chart-agent peer population.</w:t>
            </w:r>
          </w:p>
        </w:tc>
      </w:tr>
      <w:tr>
        <w:trPr>
          <w:cantSplit/>
        </w:trPr>
        <w:tc>
          <w:tcPr>
            <w:tcW w:type="dxa" w:w="5227"/>
            <w:tcMar>
              <w:top w:w="70" w:type="dxa"/>
              <w:start w:w="90" w:type="dxa"/>
              <w:bottom w:w="70" w:type="dxa"/>
              <w:end w:w="90" w:type="dxa"/>
            </w:tcMar>
            <w:vAlign w:val="top"/>
          </w:tcPr>
          <w:p>
            <w:pPr>
              <w:spacing w:after="20"/>
            </w:pPr>
            <w:r>
              <w:rPr>
                <w:sz w:val="17"/>
              </w:rPr>
              <w:t xml:space="preserve">Adoption posture</w:t>
            </w:r>
          </w:p>
        </w:tc>
        <w:tc>
          <w:tcPr>
            <w:tcW w:type="dxa" w:w="5227"/>
            <w:tcMar>
              <w:top w:w="70" w:type="dxa"/>
              <w:start w:w="90" w:type="dxa"/>
              <w:bottom w:w="70" w:type="dxa"/>
              <w:end w:w="90" w:type="dxa"/>
            </w:tcMar>
            <w:vAlign w:val="top"/>
          </w:tcPr>
          <w:p>
            <w:pPr>
              <w:spacing w:after="20"/>
            </w:pPr>
            <w:r>
              <w:rPr>
                <w:sz w:val="17"/>
              </w:rPr>
              <w:t xml:space="preserve">Conservative primary case. A posture-only aggressive contrast holds evidence, permissions and all other input fields fixed.</w:t>
            </w:r>
          </w:p>
        </w:tc>
      </w:tr>
      <w:tr>
        <w:trPr>
          <w:cantSplit/>
        </w:trPr>
        <w:tc>
          <w:tcPr>
            <w:tcW w:type="dxa" w:w="5227"/>
            <w:tcMar>
              <w:top w:w="70" w:type="dxa"/>
              <w:start w:w="90" w:type="dxa"/>
              <w:bottom w:w="70" w:type="dxa"/>
              <w:end w:w="90" w:type="dxa"/>
            </w:tcMar>
            <w:vAlign w:val="top"/>
          </w:tcPr>
          <w:p>
            <w:pPr>
              <w:spacing w:after="20"/>
            </w:pPr>
            <w:r>
              <w:rPr>
                <w:sz w:val="17"/>
              </w:rPr>
              <w:t xml:space="preserve">Risk and consequences</w:t>
            </w:r>
          </w:p>
        </w:tc>
        <w:tc>
          <w:tcPr>
            <w:tcW w:type="dxa" w:w="5227"/>
            <w:tcMar>
              <w:top w:w="70" w:type="dxa"/>
              <w:start w:w="90" w:type="dxa"/>
              <w:bottom w:w="70" w:type="dxa"/>
              <w:end w:w="90" w:type="dxa"/>
            </w:tcMar>
            <w:vAlign w:val="top"/>
          </w:tcPr>
          <w:p>
            <w:pPr>
              <w:spacing w:after="20"/>
            </w:pPr>
            <w:r>
              <w:rPr>
                <w:sz w:val="17"/>
              </w:rPr>
              <w:t xml:space="preserve">Sensitive data, misleading executive charts and material interpretation errors. No approved external model environment; only public/synthetic material before authorization.</w:t>
            </w:r>
          </w:p>
        </w:tc>
      </w:tr>
      <w:tr>
        <w:trPr>
          <w:cantSplit/>
        </w:trPr>
        <w:tc>
          <w:tcPr>
            <w:tcW w:type="dxa" w:w="5227"/>
            <w:tcMar>
              <w:top w:w="70" w:type="dxa"/>
              <w:start w:w="90" w:type="dxa"/>
              <w:bottom w:w="70" w:type="dxa"/>
              <w:end w:w="90" w:type="dxa"/>
            </w:tcMar>
            <w:vAlign w:val="top"/>
          </w:tcPr>
          <w:p>
            <w:pPr>
              <w:spacing w:after="20"/>
            </w:pPr>
            <w:r>
              <w:rPr>
                <w:sz w:val="17"/>
              </w:rPr>
              <w:t xml:space="preserve">Management horizon</w:t>
            </w:r>
          </w:p>
        </w:tc>
        <w:tc>
          <w:tcPr>
            <w:tcW w:type="dxa" w:w="5227"/>
            <w:tcMar>
              <w:top w:w="70" w:type="dxa"/>
              <w:start w:w="90" w:type="dxa"/>
              <w:bottom w:w="70" w:type="dxa"/>
              <w:end w:w="90" w:type="dxa"/>
            </w:tcMar>
            <w:vAlign w:val="top"/>
          </w:tcPr>
          <w:p>
            <w:pPr>
              <w:spacing w:after="20"/>
            </w:pPr>
            <w:r>
              <w:rPr>
                <w:sz w:val="17"/>
              </w:rPr>
              <w:t xml:space="preserve">Four weeks for proposed evidence gathering and review, with reassessment over twelve months. No promised deployment deadline or market takeoff date.</w:t>
            </w:r>
          </w:p>
        </w:tc>
      </w:tr>
    </w:tbl>
    <w:p>
      <w:pPr>
        <w:pStyle w:val="Heading1"/>
        <w:pageBreakBefore/>
      </w:pPr>
      <w:r>
        <w:t xml:space="preserve">C Three Level Finding</w:t>
      </w:r>
    </w:p>
    <w:tbl>
      <w:tblPr>
        <w:tblStyle w:val="TableGrid"/>
        <w:tblW w:type="auto" w:w="0"/>
        <w:jc w:val="center"/>
        <w:tblLayout w:type="autofit"/>
        <w:tblLook w:firstColumn="1" w:firstRow="1" w:lastColumn="0" w:lastRow="0" w:noHBand="0" w:noVBand="1" w:val="04A0"/>
      </w:tblPr>
      <w:tblGrid>
        <w:gridCol w:w="5227"/>
        <w:gridCol w:w="5227"/>
      </w:tblGrid>
      <w:tr>
        <w:trPr>
          <w:tblHeader/>
        </w:trPr>
        <w:tc>
          <w:tcPr>
            <w:tcW w:type="dxa" w:w="5227"/>
            <w:tcMar>
              <w:top w:w="70" w:type="dxa"/>
              <w:start w:w="90" w:type="dxa"/>
              <w:bottom w:w="70" w:type="dxa"/>
              <w:end w:w="90" w:type="dxa"/>
            </w:tcMar>
            <w:vAlign w:val="top"/>
            <w:shd w:fill="57068C"/>
          </w:tcPr>
          <w:p>
            <w:pPr>
              <w:spacing w:after="20"/>
            </w:pPr>
            <w:r>
              <w:rPr>
                <w:b/>
                <w:color w:val="FFFFFF"/>
                <w:sz w:val="17"/>
              </w:rPr>
              <w:t xml:space="preserve">Field</w:t>
            </w:r>
          </w:p>
        </w:tc>
        <w:tc>
          <w:tcPr>
            <w:tcW w:type="dxa" w:w="5227"/>
            <w:tcMar>
              <w:top w:w="70" w:type="dxa"/>
              <w:start w:w="90" w:type="dxa"/>
              <w:bottom w:w="70" w:type="dxa"/>
              <w:end w:w="90" w:type="dxa"/>
            </w:tcMar>
            <w:vAlign w:val="top"/>
            <w:shd w:fill="57068C"/>
          </w:tcPr>
          <w:p>
            <w:pPr>
              <w:spacing w:after="20"/>
            </w:pPr>
            <w:r>
              <w:rPr>
                <w:b/>
                <w:color w:val="FFFFFF"/>
                <w:sz w:val="17"/>
              </w:rPr>
              <w:t xml:space="preserve">Team record</w:t>
            </w:r>
          </w:p>
        </w:tc>
      </w:tr>
      <w:tr>
        <w:trPr>
          <w:cantSplit/>
        </w:trPr>
        <w:tc>
          <w:tcPr>
            <w:tcW w:type="dxa" w:w="5227"/>
            <w:tcMar>
              <w:top w:w="70" w:type="dxa"/>
              <w:start w:w="90" w:type="dxa"/>
              <w:bottom w:w="70" w:type="dxa"/>
              <w:end w:w="90" w:type="dxa"/>
            </w:tcMar>
            <w:vAlign w:val="top"/>
          </w:tcPr>
          <w:p>
            <w:pPr>
              <w:spacing w:after="20"/>
            </w:pPr>
            <w:r>
              <w:rPr>
                <w:sz w:val="17"/>
              </w:rPr>
              <w:t xml:space="preserve">Technology generally</w:t>
            </w:r>
          </w:p>
        </w:tc>
        <w:tc>
          <w:tcPr>
            <w:tcW w:type="dxa" w:w="5227"/>
            <w:tcMar>
              <w:top w:w="70" w:type="dxa"/>
              <w:start w:w="90" w:type="dxa"/>
              <w:bottom w:w="70" w:type="dxa"/>
              <w:end w:w="90" w:type="dxa"/>
            </w:tcMar>
            <w:vAlign w:val="top"/>
          </w:tcPr>
          <w:p>
            <w:pPr>
              <w:spacing w:after="20"/>
            </w:pPr>
            <w:r>
              <w:rPr>
                <w:sz w:val="17"/>
              </w:rPr>
              <w:t xml:space="preserve">S1 supports selective agent scaling beyond experimentation in surveyed organizations, uneven by revenue and function. Its 40% and 22% subgroups are not estimates for the exact chart task or all firms. S2 measures any AI; S4/S5 measure people using GenAI. S3 is an ecosystem signal. These populations cannot be merged into one adoption curve.</w:t>
            </w:r>
          </w:p>
        </w:tc>
      </w:tr>
      <w:tr>
        <w:trPr>
          <w:cantSplit/>
        </w:trPr>
        <w:tc>
          <w:tcPr>
            <w:tcW w:type="dxa" w:w="5227"/>
            <w:tcMar>
              <w:top w:w="70" w:type="dxa"/>
              <w:start w:w="90" w:type="dxa"/>
              <w:bottom w:w="70" w:type="dxa"/>
              <w:end w:w="90" w:type="dxa"/>
            </w:tcMar>
            <w:vAlign w:val="top"/>
          </w:tcPr>
          <w:p>
            <w:pPr>
              <w:spacing w:after="20"/>
            </w:pPr>
            <w:r>
              <w:rPr>
                <w:sz w:val="17"/>
              </w:rPr>
              <w:t xml:space="preserve">Rogers categories</w:t>
            </w:r>
          </w:p>
        </w:tc>
        <w:tc>
          <w:tcPr>
            <w:tcW w:type="dxa" w:w="5227"/>
            <w:tcMar>
              <w:top w:w="70" w:type="dxa"/>
              <w:start w:w="90" w:type="dxa"/>
              <w:bottom w:w="70" w:type="dxa"/>
              <w:end w:w="90" w:type="dxa"/>
            </w:tcMar>
            <w:vAlign w:val="top"/>
          </w:tcPr>
          <w:p>
            <w:pPr>
              <w:spacing w:after="20"/>
            </w:pPr>
            <w:r>
              <w:rPr>
                <w:sz w:val="17"/>
              </w:rPr>
              <w:t xml:space="preserve">Innovators, early adopters, early majority, late majority and laggards locate adoption relative to a defined social system. The packet cannot allocate a representative agentic market to these categories. Practical peer-proof demands may resemble early-majority behavior, but that analogy is not a measured category. A conservative firm is not automatically a laggard. The course 16% heuristic does not prove takeoff or irreversibility.</w:t>
            </w:r>
          </w:p>
        </w:tc>
      </w:tr>
      <w:tr>
        <w:trPr>
          <w:cantSplit/>
        </w:trPr>
        <w:tc>
          <w:tcPr>
            <w:tcW w:type="dxa" w:w="5227"/>
            <w:tcMar>
              <w:top w:w="70" w:type="dxa"/>
              <w:start w:w="90" w:type="dxa"/>
              <w:bottom w:w="70" w:type="dxa"/>
              <w:end w:w="90" w:type="dxa"/>
            </w:tcMar>
            <w:vAlign w:val="top"/>
          </w:tcPr>
          <w:p>
            <w:pPr>
              <w:spacing w:after="20"/>
            </w:pPr>
            <w:r>
              <w:rPr>
                <w:sz w:val="17"/>
              </w:rPr>
              <w:t xml:space="preserve">Application and peer group</w:t>
            </w:r>
          </w:p>
        </w:tc>
        <w:tc>
          <w:tcPr>
            <w:tcW w:type="dxa" w:w="5227"/>
            <w:tcMar>
              <w:top w:w="70" w:type="dxa"/>
              <w:start w:w="90" w:type="dxa"/>
              <w:bottom w:w="70" w:type="dxa"/>
              <w:end w:w="90" w:type="dxa"/>
            </w:tcMar>
            <w:vAlign w:val="top"/>
          </w:tcPr>
          <w:p>
            <w:pPr>
              <w:spacing w:after="20"/>
            </w:pPr>
            <w:r>
              <w:rPr>
                <w:sz w:val="17"/>
              </w:rPr>
              <w:t xml:space="preserve">Sustained use of agentic chart-to-table review among comparable US finance firms is UNKNOWN. No matching denominator or repeat-use series is supplied. Unknown does not mean zero, rare, pre-chasm or that no peer is ahead. The proposed local process is knowledge/persuasion; it does not establish the application market’s stage.</w:t>
            </w:r>
          </w:p>
        </w:tc>
      </w:tr>
      <w:tr>
        <w:trPr>
          <w:cantSplit/>
        </w:trPr>
        <w:tc>
          <w:tcPr>
            <w:tcW w:type="dxa" w:w="5227"/>
            <w:tcMar>
              <w:top w:w="70" w:type="dxa"/>
              <w:start w:w="90" w:type="dxa"/>
              <w:bottom w:w="70" w:type="dxa"/>
              <w:end w:w="90" w:type="dxa"/>
            </w:tcMar>
            <w:vAlign w:val="top"/>
          </w:tcPr>
          <w:p>
            <w:pPr>
              <w:spacing w:after="20"/>
            </w:pPr>
            <w:r>
              <w:rPr>
                <w:sz w:val="17"/>
              </w:rPr>
              <w:t xml:space="preserve">This organization</w:t>
            </w:r>
          </w:p>
        </w:tc>
        <w:tc>
          <w:tcPr>
            <w:tcW w:type="dxa" w:w="5227"/>
            <w:tcMar>
              <w:top w:w="70" w:type="dxa"/>
              <w:start w:w="90" w:type="dxa"/>
              <w:bottom w:w="70" w:type="dxa"/>
              <w:end w:w="90" w:type="dxa"/>
            </w:tcMar>
            <w:vAlign w:val="top"/>
          </w:tcPr>
          <w:p>
            <w:pPr>
              <w:spacing w:after="20"/>
            </w:pPr>
            <w:r>
              <w:rPr>
                <w:sz w:val="17"/>
              </w:rPr>
              <w:t xml:space="preserve">Without an approved data environment, compatibility is the immediate constraint. In the separately stipulated approved synthetic sandbox, credible observable relative advantage becomes the leading evidence gap. In a small studio with little support, complexity can instead dominate. These rankings are testable case interpretations, not observed causal effects.</w:t>
            </w:r>
          </w:p>
        </w:tc>
      </w:tr>
      <w:tr>
        <w:trPr>
          <w:cantSplit/>
        </w:trPr>
        <w:tc>
          <w:tcPr>
            <w:tcW w:type="dxa" w:w="5227"/>
            <w:tcMar>
              <w:top w:w="70" w:type="dxa"/>
              <w:start w:w="90" w:type="dxa"/>
              <w:bottom w:w="70" w:type="dxa"/>
              <w:end w:w="90" w:type="dxa"/>
            </w:tcMar>
            <w:vAlign w:val="top"/>
          </w:tcPr>
          <w:p>
            <w:pPr>
              <w:spacing w:after="20"/>
            </w:pPr>
            <w:r>
              <w:rPr>
                <w:sz w:val="17"/>
              </w:rPr>
              <w:t xml:space="preserve">Bounded timing implication</w:t>
            </w:r>
          </w:p>
        </w:tc>
        <w:tc>
          <w:tcPr>
            <w:tcW w:type="dxa" w:w="5227"/>
            <w:tcMar>
              <w:top w:w="70" w:type="dxa"/>
              <w:start w:w="90" w:type="dxa"/>
              <w:bottom w:w="70" w:type="dxa"/>
              <w:end w:w="90" w:type="dxa"/>
            </w:tcMar>
            <w:vAlign w:val="top"/>
          </w:tcPr>
          <w:p>
            <w:pPr>
              <w:spacing w:after="20"/>
            </w:pPr>
            <w:r>
              <w:rPr>
                <w:sz w:val="17"/>
              </w:rPr>
              <w:t xml:space="preserve">The conservative case prioritizes matched peer references and comparator design. The aggressive contrast prioritizes earlier authorized public/synthetic shadow learning, with peer work in parallel. General diffusion evidence and permission boundaries do not change. Approval of an experiment, live use, go/no-go and scale belong to Adoption and authorized humans.</w:t>
            </w:r>
          </w:p>
        </w:tc>
      </w:tr>
      <w:tr>
        <w:trPr>
          <w:cantSplit/>
        </w:trPr>
        <w:tc>
          <w:tcPr>
            <w:tcW w:type="dxa" w:w="5227"/>
            <w:tcMar>
              <w:top w:w="70" w:type="dxa"/>
              <w:start w:w="90" w:type="dxa"/>
              <w:bottom w:w="70" w:type="dxa"/>
              <w:end w:w="90" w:type="dxa"/>
            </w:tcMar>
            <w:vAlign w:val="top"/>
          </w:tcPr>
          <w:p>
            <w:pPr>
              <w:spacing w:after="20"/>
            </w:pPr>
            <w:r>
              <w:rPr>
                <w:sz w:val="17"/>
              </w:rPr>
              <w:t xml:space="preserve">Confidence and contrary evidence</w:t>
            </w:r>
          </w:p>
        </w:tc>
        <w:tc>
          <w:tcPr>
            <w:tcW w:type="dxa" w:w="5227"/>
            <w:tcMar>
              <w:top w:w="70" w:type="dxa"/>
              <w:start w:w="90" w:type="dxa"/>
              <w:bottom w:w="70" w:type="dxa"/>
              <w:end w:w="90" w:type="dxa"/>
            </w:tcMar>
            <w:vAlign w:val="top"/>
          </w:tcPr>
          <w:p>
            <w:pPr>
              <w:spacing w:after="20"/>
            </w:pPr>
            <w:r>
              <w:rPr>
                <w:sz w:val="17"/>
              </w:rPr>
              <w:t xml:space="preserve">Moderate confidence in the limited source observations; low confidence in local factor rankings; no measured application category. Some organizations already scale agents, so describing all agents as mere experiments would also overreach. Q3 RPS point estimates fall from Q2, showing that use prevalence need not rise monotonically; this does not prove significance, saturation or a causal reversal.</w:t>
            </w:r>
          </w:p>
        </w:tc>
      </w:tr>
      <w:tr>
        <w:trPr>
          <w:cantSplit/>
        </w:trPr>
        <w:tc>
          <w:tcPr>
            <w:tcW w:type="dxa" w:w="5227"/>
            <w:tcMar>
              <w:top w:w="70" w:type="dxa"/>
              <w:start w:w="90" w:type="dxa"/>
              <w:bottom w:w="70" w:type="dxa"/>
              <w:end w:w="90" w:type="dxa"/>
            </w:tcMar>
            <w:vAlign w:val="top"/>
          </w:tcPr>
          <w:p>
            <w:pPr>
              <w:spacing w:after="20"/>
            </w:pPr>
            <w:r>
              <w:rPr>
                <w:sz w:val="17"/>
              </w:rPr>
              <w:t xml:space="preserve">What would change the finding</w:t>
            </w:r>
          </w:p>
        </w:tc>
        <w:tc>
          <w:tcPr>
            <w:tcW w:type="dxa" w:w="5227"/>
            <w:tcMar>
              <w:top w:w="70" w:type="dxa"/>
              <w:start w:w="90" w:type="dxa"/>
              <w:bottom w:w="70" w:type="dxa"/>
              <w:end w:w="90" w:type="dxa"/>
            </w:tcMar>
            <w:vAlign w:val="top"/>
          </w:tcPr>
          <w:p>
            <w:pPr>
              <w:spacing w:after="20"/>
            </w:pPr>
            <w:r>
              <w:rPr>
                <w:sz w:val="17"/>
              </w:rPr>
              <w:t xml:space="preserve">A dated matched peer population, a defined sustained-use measure, discontinuance, independently reviewed quality/cost comparisons, or a changed permission/support condition. A fictional positive control in the tests demonstrates that matching evidence can change a cohort finding without justifying a sector-wide stage.</w:t>
            </w:r>
          </w:p>
        </w:tc>
      </w:tr>
    </w:tbl>
    <w:p>
      <w:pPr>
        <w:jc w:val="left"/>
      </w:pPr>
      <w:r>
        <w:t xml:space="preserve">Accepted team decision: retain the shared agentic chart-review scope, accept the bounded general scaling signal, withhold a measured application/peer stage, and use a conditional factor priority. The synthesis preserves the strongest design disagreement rather than resolving it by majority vote.</w:t>
      </w:r>
    </w:p>
    <w:p>
      <w:pPr>
        <w:pStyle w:val="Heading1"/>
        <w:pageBreakBefore/>
      </w:pPr>
      <w:r>
        <w:t xml:space="preserve">D Evidence and Testing</w:t>
      </w:r>
    </w:p>
    <w:tbl>
      <w:tblPr>
        <w:tblStyle w:val="TableGrid"/>
        <w:tblW w:type="auto" w:w="0"/>
        <w:jc w:val="center"/>
        <w:tblLayout w:type="autofit"/>
        <w:tblLook w:firstColumn="1" w:firstRow="1" w:lastColumn="0" w:lastRow="0" w:noHBand="0" w:noVBand="1" w:val="04A0"/>
      </w:tblPr>
      <w:tblGrid>
        <w:gridCol w:w="5227"/>
        <w:gridCol w:w="5227"/>
      </w:tblGrid>
      <w:tr>
        <w:trPr>
          <w:tblHeader/>
        </w:trPr>
        <w:tc>
          <w:tcPr>
            <w:tcW w:type="dxa" w:w="5227"/>
            <w:tcMar>
              <w:top w:w="70" w:type="dxa"/>
              <w:start w:w="90" w:type="dxa"/>
              <w:bottom w:w="70" w:type="dxa"/>
              <w:end w:w="90" w:type="dxa"/>
            </w:tcMar>
            <w:vAlign w:val="top"/>
            <w:shd w:fill="57068C"/>
          </w:tcPr>
          <w:p>
            <w:pPr>
              <w:spacing w:after="20"/>
            </w:pPr>
            <w:r>
              <w:rPr>
                <w:b/>
                <w:color w:val="FFFFFF"/>
                <w:sz w:val="17"/>
              </w:rPr>
              <w:t xml:space="preserve">Field</w:t>
            </w:r>
          </w:p>
        </w:tc>
        <w:tc>
          <w:tcPr>
            <w:tcW w:type="dxa" w:w="5227"/>
            <w:tcMar>
              <w:top w:w="70" w:type="dxa"/>
              <w:start w:w="90" w:type="dxa"/>
              <w:bottom w:w="70" w:type="dxa"/>
              <w:end w:w="90" w:type="dxa"/>
            </w:tcMar>
            <w:vAlign w:val="top"/>
            <w:shd w:fill="57068C"/>
          </w:tcPr>
          <w:p>
            <w:pPr>
              <w:spacing w:after="20"/>
            </w:pPr>
            <w:r>
              <w:rPr>
                <w:b/>
                <w:color w:val="FFFFFF"/>
                <w:sz w:val="17"/>
              </w:rPr>
              <w:t xml:space="preserve">Team record</w:t>
            </w:r>
          </w:p>
        </w:tc>
      </w:tr>
      <w:tr>
        <w:trPr>
          <w:cantSplit/>
        </w:trPr>
        <w:tc>
          <w:tcPr>
            <w:tcW w:type="dxa" w:w="5227"/>
            <w:tcMar>
              <w:top w:w="70" w:type="dxa"/>
              <w:start w:w="90" w:type="dxa"/>
              <w:bottom w:w="70" w:type="dxa"/>
              <w:end w:w="90" w:type="dxa"/>
            </w:tcMar>
            <w:vAlign w:val="top"/>
          </w:tcPr>
          <w:p>
            <w:pPr>
              <w:spacing w:after="20"/>
            </w:pPr>
            <w:r>
              <w:rPr>
                <w:sz w:val="17"/>
              </w:rPr>
              <w:t xml:space="preserve">Most important sources</w:t>
            </w:r>
          </w:p>
        </w:tc>
        <w:tc>
          <w:tcPr>
            <w:tcW w:type="dxa" w:w="5227"/>
            <w:tcMar>
              <w:top w:w="70" w:type="dxa"/>
              <w:start w:w="90" w:type="dxa"/>
              <w:bottom w:w="70" w:type="dxa"/>
              <w:end w:w="90" w:type="dxa"/>
            </w:tcMar>
            <w:vAlign w:val="top"/>
          </w:tcPr>
          <w:p>
            <w:pPr>
              <w:spacing w:after="20"/>
            </w:pPr>
            <w:r>
              <w:rPr>
                <w:sz w:val="17"/>
              </w:rPr>
              <w:t xml:space="preserve">C1 supplies the Rogers lens; S1 the bounded agent signal; S2 a scope check; S3 an ecosystem mechanism; S4/S5 individual-work use; S6 a dated complexity mechanism. Section H and the claim register document dates, definitions, populations and limits.</w:t>
            </w:r>
          </w:p>
        </w:tc>
      </w:tr>
      <w:tr>
        <w:trPr>
          <w:cantSplit/>
        </w:trPr>
        <w:tc>
          <w:tcPr>
            <w:tcW w:type="dxa" w:w="5227"/>
            <w:tcMar>
              <w:top w:w="70" w:type="dxa"/>
              <w:start w:w="90" w:type="dxa"/>
              <w:bottom w:w="70" w:type="dxa"/>
              <w:end w:w="90" w:type="dxa"/>
            </w:tcMar>
            <w:vAlign w:val="top"/>
          </w:tcPr>
          <w:p>
            <w:pPr>
              <w:spacing w:after="20"/>
            </w:pPr>
            <w:r>
              <w:rPr>
                <w:sz w:val="17"/>
              </w:rPr>
              <w:t xml:space="preserve">Primary and posture contrast</w:t>
            </w:r>
          </w:p>
        </w:tc>
        <w:tc>
          <w:tcPr>
            <w:tcW w:type="dxa" w:w="5227"/>
            <w:tcMar>
              <w:top w:w="70" w:type="dxa"/>
              <w:start w:w="90" w:type="dxa"/>
              <w:bottom w:w="70" w:type="dxa"/>
              <w:end w:w="90" w:type="dxa"/>
            </w:tcMar>
            <w:vAlign w:val="top"/>
          </w:tcPr>
          <w:p>
            <w:pPr>
              <w:spacing w:after="20"/>
            </w:pPr>
            <w:r>
              <w:rPr>
                <w:sz w:val="17"/>
              </w:rPr>
              <w:t xml:space="preserve">Seven team prompt/response examples are saved. Primary keeps exact-application stage unknown. In the posture contrast only adoption_posture changes; general finding and evidence remain identical while local learning priority changes. The shared wording is intentional design control, not independent robustness evidence.</w:t>
            </w:r>
          </w:p>
        </w:tc>
      </w:tr>
      <w:tr>
        <w:trPr>
          <w:cantSplit/>
        </w:trPr>
        <w:tc>
          <w:tcPr>
            <w:tcW w:type="dxa" w:w="5227"/>
            <w:tcMar>
              <w:top w:w="70" w:type="dxa"/>
              <w:start w:w="90" w:type="dxa"/>
              <w:bottom w:w="70" w:type="dxa"/>
              <w:end w:w="90" w:type="dxa"/>
            </w:tcMar>
            <w:vAlign w:val="top"/>
          </w:tcPr>
          <w:p>
            <w:pPr>
              <w:spacing w:after="20"/>
            </w:pPr>
            <w:r>
              <w:rPr>
                <w:sz w:val="17"/>
              </w:rPr>
              <w:t xml:space="preserve">Permission and context contrasts</w:t>
            </w:r>
          </w:p>
        </w:tc>
        <w:tc>
          <w:tcPr>
            <w:tcW w:type="dxa" w:w="5227"/>
            <w:tcMar>
              <w:top w:w="70" w:type="dxa"/>
              <w:start w:w="90" w:type="dxa"/>
              <w:bottom w:w="70" w:type="dxa"/>
              <w:end w:w="90" w:type="dxa"/>
            </w:tcMar>
            <w:vAlign w:val="top"/>
          </w:tcPr>
          <w:p>
            <w:pPr>
              <w:spacing w:after="20"/>
            </w:pPr>
            <w:r>
              <w:rPr>
                <w:sz w:val="17"/>
              </w:rPr>
              <w:t xml:space="preserve">Only capabilities_constraints changes in the permission contrast: an approved isolated synthetic learning sandbox shifts the immediate evidence gap without approving production. The studio contrast holds ET, application and evidence fixed but changes organization/support; complexity becomes more consequential.</w:t>
            </w:r>
          </w:p>
        </w:tc>
      </w:tr>
      <w:tr>
        <w:trPr>
          <w:cantSplit/>
        </w:trPr>
        <w:tc>
          <w:tcPr>
            <w:tcW w:type="dxa" w:w="5227"/>
            <w:tcMar>
              <w:top w:w="70" w:type="dxa"/>
              <w:start w:w="90" w:type="dxa"/>
              <w:bottom w:w="70" w:type="dxa"/>
              <w:end w:w="90" w:type="dxa"/>
            </w:tcMar>
            <w:vAlign w:val="top"/>
          </w:tcPr>
          <w:p>
            <w:pPr>
              <w:spacing w:after="20"/>
            </w:pPr>
            <w:r>
              <w:rPr>
                <w:sz w:val="17"/>
              </w:rPr>
              <w:t xml:space="preserve">Adversarial and positive checks</w:t>
            </w:r>
          </w:p>
        </w:tc>
        <w:tc>
          <w:tcPr>
            <w:tcW w:type="dxa" w:w="5227"/>
            <w:tcMar>
              <w:top w:w="70" w:type="dxa"/>
              <w:start w:w="90" w:type="dxa"/>
              <w:bottom w:w="70" w:type="dxa"/>
              <w:end w:w="90" w:type="dxa"/>
            </w:tcMar>
            <w:vAlign w:val="top"/>
          </w:tcPr>
          <w:p>
            <w:pPr>
              <w:spacing w:after="20"/>
            </w:pPr>
            <w:r>
              <w:rPr>
                <w:sz w:val="17"/>
              </w:rPr>
              <w:t xml:space="preserve">The hype probe rejects 16%, downloads and unsafe upload instructions. The closed packet permits only C1/S2 and withholds a general-agent stage. The positive control accepts 3/5 = 60% in an explicitly fictional closed five-firm cohort only; no sector or chasm conclusion follows.</w:t>
            </w:r>
          </w:p>
        </w:tc>
      </w:tr>
      <w:tr>
        <w:trPr>
          <w:cantSplit/>
        </w:trPr>
        <w:tc>
          <w:tcPr>
            <w:tcW w:type="dxa" w:w="5227"/>
            <w:tcMar>
              <w:top w:w="70" w:type="dxa"/>
              <w:start w:w="90" w:type="dxa"/>
              <w:bottom w:w="70" w:type="dxa"/>
              <w:end w:w="90" w:type="dxa"/>
            </w:tcMar>
            <w:vAlign w:val="top"/>
          </w:tcPr>
          <w:p>
            <w:pPr>
              <w:spacing w:after="20"/>
            </w:pPr>
            <w:r>
              <w:rPr>
                <w:sz w:val="17"/>
              </w:rPr>
              <w:t xml:space="preserve">Native weaknesses preserved</w:t>
            </w:r>
          </w:p>
        </w:tc>
        <w:tc>
          <w:tcPr>
            <w:tcW w:type="dxa" w:w="5227"/>
            <w:tcMar>
              <w:top w:w="70" w:type="dxa"/>
              <w:start w:w="90" w:type="dxa"/>
              <w:bottom w:w="70" w:type="dxa"/>
              <w:end w:w="90" w:type="dxa"/>
            </w:tcMar>
            <w:vAlign w:val="top"/>
          </w:tcPr>
          <w:p>
            <w:pPr>
              <w:spacing w:after="20"/>
            </w:pPr>
            <w:r>
              <w:rPr>
                <w:sz w:val="17"/>
              </w:rPr>
              <w:t xml:space="preserve">Chutong repairs a cycle-1 mix of local process and market stage. Minghan’s cycle-1 mixed-percentage/16% claim leads to a live-pilot recommendation; his improved v1.1 still retains stage shortcuts that the synthesis rejects. Jianbo replaces generic v0.1 factors with specific measurement and actor tests. Original bytes and the detailed diagnoses remain in evidence/candidates and records/test_and_failure_log.md.</w:t>
            </w:r>
          </w:p>
        </w:tc>
      </w:tr>
      <w:tr>
        <w:trPr>
          <w:cantSplit/>
        </w:trPr>
        <w:tc>
          <w:tcPr>
            <w:tcW w:type="dxa" w:w="5227"/>
            <w:tcMar>
              <w:top w:w="70" w:type="dxa"/>
              <w:start w:w="90" w:type="dxa"/>
              <w:bottom w:w="70" w:type="dxa"/>
              <w:end w:w="90" w:type="dxa"/>
            </w:tcMar>
            <w:vAlign w:val="top"/>
          </w:tcPr>
          <w:p>
            <w:pPr>
              <w:spacing w:after="20"/>
            </w:pPr>
            <w:r>
              <w:rPr>
                <w:sz w:val="17"/>
              </w:rPr>
              <w:t xml:space="preserve">Revision and verification</w:t>
            </w:r>
          </w:p>
        </w:tc>
        <w:tc>
          <w:tcPr>
            <w:tcW w:type="dxa" w:w="5227"/>
            <w:tcMar>
              <w:top w:w="70" w:type="dxa"/>
              <w:start w:w="90" w:type="dxa"/>
              <w:bottom w:w="70" w:type="dxa"/>
              <w:end w:w="90" w:type="dxa"/>
            </w:tcMar>
            <w:vAlign w:val="top"/>
          </w:tcPr>
          <w:p>
            <w:pPr>
              <w:spacing w:after="20"/>
            </w:pPr>
            <w:r>
              <w:rPr>
                <w:sz w:val="17"/>
              </w:rPr>
              <w:t xml:space="preserve">The synthesis adds claim-specific source rules, conditional factor priority, repeated use and full review cost. Four native packages, eight common-case design walkthroughs and 216/216 local checks support traceability, not an accuracy ranking.</w:t>
            </w:r>
          </w:p>
        </w:tc>
      </w:tr>
      <w:tr>
        <w:trPr>
          <w:cantSplit/>
        </w:trPr>
        <w:tc>
          <w:tcPr>
            <w:tcW w:type="dxa" w:w="5227"/>
            <w:tcMar>
              <w:top w:w="70" w:type="dxa"/>
              <w:start w:w="90" w:type="dxa"/>
              <w:bottom w:w="70" w:type="dxa"/>
              <w:end w:w="90" w:type="dxa"/>
            </w:tcMar>
            <w:vAlign w:val="top"/>
          </w:tcPr>
          <w:p>
            <w:pPr>
              <w:spacing w:after="20"/>
            </w:pPr>
            <w:r>
              <w:rPr>
                <w:sz w:val="17"/>
              </w:rPr>
              <w:t xml:space="preserve">Remaining limitation</w:t>
            </w:r>
          </w:p>
        </w:tc>
        <w:tc>
          <w:tcPr>
            <w:tcW w:type="dxa" w:w="5227"/>
            <w:tcMar>
              <w:top w:w="70" w:type="dxa"/>
              <w:start w:w="90" w:type="dxa"/>
              <w:bottom w:w="70" w:type="dxa"/>
              <w:end w:w="90" w:type="dxa"/>
            </w:tcMar>
            <w:vAlign w:val="top"/>
          </w:tcPr>
          <w:p>
            <w:pPr>
              <w:spacing w:after="20"/>
            </w:pPr>
            <w:r>
              <w:rPr>
                <w:sz w:val="17"/>
              </w:rPr>
              <w:t xml:space="preserve">Examples were authored and reviewed by the same current assistant. No isolated model API runs, independent evaluator, real chart tool or organizational pilot was used. Future stochastic model reliability and realized business value remain untested.</w:t>
            </w:r>
          </w:p>
        </w:tc>
      </w:tr>
    </w:tbl>
    <w:p>
      <w:pPr>
        <w:pStyle w:val="Heading1"/>
      </w:pPr>
      <w:r>
        <w:t xml:space="preserve">E Judgment and Handoff</w:t>
      </w:r>
    </w:p>
    <w:tbl>
      <w:tblPr>
        <w:tblStyle w:val="TableGrid"/>
        <w:tblW w:type="auto" w:w="0"/>
        <w:jc w:val="center"/>
        <w:tblLayout w:type="autofit"/>
        <w:tblLook w:firstColumn="1" w:firstRow="1" w:lastColumn="0" w:lastRow="0" w:noHBand="0" w:noVBand="1" w:val="04A0"/>
      </w:tblPr>
      <w:tblGrid>
        <w:gridCol w:w="5227"/>
        <w:gridCol w:w="5227"/>
      </w:tblGrid>
      <w:tr>
        <w:trPr>
          <w:tblHeader/>
        </w:trPr>
        <w:tc>
          <w:tcPr>
            <w:tcW w:type="dxa" w:w="5227"/>
            <w:tcMar>
              <w:top w:w="70" w:type="dxa"/>
              <w:start w:w="90" w:type="dxa"/>
              <w:bottom w:w="70" w:type="dxa"/>
              <w:end w:w="90" w:type="dxa"/>
            </w:tcMar>
            <w:vAlign w:val="top"/>
            <w:shd w:fill="57068C"/>
          </w:tcPr>
          <w:p>
            <w:pPr>
              <w:spacing w:after="20"/>
            </w:pPr>
            <w:r>
              <w:rPr>
                <w:b/>
                <w:color w:val="FFFFFF"/>
                <w:sz w:val="17"/>
              </w:rPr>
              <w:t xml:space="preserve">Field</w:t>
            </w:r>
          </w:p>
        </w:tc>
        <w:tc>
          <w:tcPr>
            <w:tcW w:type="dxa" w:w="5227"/>
            <w:tcMar>
              <w:top w:w="70" w:type="dxa"/>
              <w:start w:w="90" w:type="dxa"/>
              <w:bottom w:w="70" w:type="dxa"/>
              <w:end w:w="90" w:type="dxa"/>
            </w:tcMar>
            <w:vAlign w:val="top"/>
            <w:shd w:fill="57068C"/>
          </w:tcPr>
          <w:p>
            <w:pPr>
              <w:spacing w:after="20"/>
            </w:pPr>
            <w:r>
              <w:rPr>
                <w:b/>
                <w:color w:val="FFFFFF"/>
                <w:sz w:val="17"/>
              </w:rPr>
              <w:t xml:space="preserve">Team record</w:t>
            </w:r>
          </w:p>
        </w:tc>
      </w:tr>
      <w:tr>
        <w:trPr>
          <w:cantSplit/>
        </w:trPr>
        <w:tc>
          <w:tcPr>
            <w:tcW w:type="dxa" w:w="5227"/>
            <w:tcMar>
              <w:top w:w="70" w:type="dxa"/>
              <w:start w:w="90" w:type="dxa"/>
              <w:bottom w:w="70" w:type="dxa"/>
              <w:end w:w="90" w:type="dxa"/>
            </w:tcMar>
            <w:vAlign w:val="top"/>
          </w:tcPr>
          <w:p>
            <w:pPr>
              <w:spacing w:after="20"/>
            </w:pPr>
            <w:r>
              <w:rPr>
                <w:sz w:val="17"/>
              </w:rPr>
              <w:t xml:space="preserve">Credible for team consideration</w:t>
            </w:r>
          </w:p>
        </w:tc>
        <w:tc>
          <w:tcPr>
            <w:tcW w:type="dxa" w:w="5227"/>
            <w:tcMar>
              <w:top w:w="70" w:type="dxa"/>
              <w:start w:w="90" w:type="dxa"/>
              <w:bottom w:w="70" w:type="dxa"/>
              <w:end w:w="90" w:type="dxa"/>
            </w:tcMar>
            <w:vAlign w:val="top"/>
          </w:tcPr>
          <w:p>
            <w:pPr>
              <w:spacing w:after="20"/>
            </w:pPr>
            <w:r>
              <w:rPr>
                <w:sz w:val="17"/>
              </w:rPr>
              <w:t xml:space="preserve">The team has accepted version 1.0, as reported by Yufei Cai. Scope, dated evidence, all five factors, dissent, saved tests and permission constraints are explicit. This academic acceptance does not approve a real organizational trial.</w:t>
            </w:r>
          </w:p>
        </w:tc>
      </w:tr>
      <w:tr>
        <w:trPr>
          <w:cantSplit/>
        </w:trPr>
        <w:tc>
          <w:tcPr>
            <w:tcW w:type="dxa" w:w="5227"/>
            <w:tcMar>
              <w:top w:w="70" w:type="dxa"/>
              <w:start w:w="90" w:type="dxa"/>
              <w:bottom w:w="70" w:type="dxa"/>
              <w:end w:w="90" w:type="dxa"/>
            </w:tcMar>
            <w:vAlign w:val="top"/>
          </w:tcPr>
          <w:p>
            <w:pPr>
              <w:spacing w:after="20"/>
            </w:pPr>
            <w:r>
              <w:rPr>
                <w:sz w:val="17"/>
              </w:rPr>
              <w:t xml:space="preserve">Most important recommendation</w:t>
            </w:r>
          </w:p>
        </w:tc>
        <w:tc>
          <w:tcPr>
            <w:tcW w:type="dxa" w:w="5227"/>
            <w:tcMar>
              <w:top w:w="70" w:type="dxa"/>
              <w:start w:w="90" w:type="dxa"/>
              <w:bottom w:w="70" w:type="dxa"/>
              <w:end w:w="90" w:type="dxa"/>
            </w:tcMar>
            <w:vAlign w:val="top"/>
          </w:tcPr>
          <w:p>
            <w:pPr>
              <w:spacing w:after="20"/>
            </w:pPr>
            <w:r>
              <w:rPr>
                <w:sz w:val="17"/>
              </w:rPr>
              <w:t xml:space="preserve">Do not force a precise adopter stage from broad popularity. Resolve the permission condition first, then examine observable incremental value and sustainable review/support effort. A source-linked demo alone is insufficient.</w:t>
            </w:r>
          </w:p>
        </w:tc>
      </w:tr>
      <w:tr>
        <w:trPr>
          <w:cantSplit/>
        </w:trPr>
        <w:tc>
          <w:tcPr>
            <w:tcW w:type="dxa" w:w="5227"/>
            <w:tcMar>
              <w:top w:w="70" w:type="dxa"/>
              <w:start w:w="90" w:type="dxa"/>
              <w:bottom w:w="70" w:type="dxa"/>
              <w:end w:w="90" w:type="dxa"/>
            </w:tcMar>
            <w:vAlign w:val="top"/>
          </w:tcPr>
          <w:p>
            <w:pPr>
              <w:spacing w:after="20"/>
            </w:pPr>
            <w:r>
              <w:rPr>
                <w:sz w:val="17"/>
              </w:rPr>
              <w:t xml:space="preserve">AI and verification note</w:t>
            </w:r>
          </w:p>
        </w:tc>
        <w:tc>
          <w:tcPr>
            <w:tcW w:type="dxa" w:w="5227"/>
            <w:tcMar>
              <w:top w:w="70" w:type="dxa"/>
              <w:start w:w="90" w:type="dxa"/>
              <w:bottom w:w="70" w:type="dxa"/>
              <w:end w:w="90" w:type="dxa"/>
            </w:tcMar>
            <w:vAlign w:val="top"/>
          </w:tcPr>
          <w:p>
            <w:pPr>
              <w:spacing w:after="20"/>
            </w:pPr>
            <w:r>
              <w:rPr>
                <w:sz w:val="17"/>
              </w:rPr>
              <w:t xml:space="preserve">The assistant compared artifacts, checked primary sources, drafted examples and ran local checks. Native histories remain attributed: Chutong reports ChatGPT sessions, Minghan records Claude, and Yufei/Jianbo disclose same-assistant examples. These are not recast as independent team tests.</w:t>
            </w:r>
          </w:p>
        </w:tc>
      </w:tr>
    </w:tbl>
    <w:p>
      <w:pPr>
        <w:pStyle w:val="Heading1"/>
        <w:pageBreakBefore/>
      </w:pPr>
      <w:r>
        <w:t xml:space="preserve">F Four Member Synthesis</w:t>
      </w:r>
    </w:p>
    <w:p>
      <w:pPr>
        <w:jc w:val="left"/>
      </w:pPr>
      <w:r>
        <w:t xml:space="preserve">We retained the shared finance chart-review anchor for continuity with earlier team specialists. Other applications contribute transferable rules; their adoption statistics and local conditions are not imported. Paths below are relative to agent_package. Each selected original file is hashed in evidence/candidate_snapshot_manifest.json.</w:t>
      </w:r>
    </w:p>
    <w:tbl>
      <w:tblPr>
        <w:tblStyle w:val="TableGrid"/>
        <w:tblW w:type="auto" w:w="0"/>
        <w:jc w:val="center"/>
        <w:tblLayout w:type="autofit"/>
        <w:tblLook w:firstColumn="1" w:firstRow="1" w:lastColumn="0" w:lastRow="0" w:noHBand="0" w:noVBand="1" w:val="04A0"/>
      </w:tblPr>
      <w:tblGrid>
        <w:gridCol w:w="5227"/>
        <w:gridCol w:w="5227"/>
      </w:tblGrid>
      <w:tr>
        <w:trPr>
          <w:tblHeader/>
        </w:trPr>
        <w:tc>
          <w:tcPr>
            <w:tcW w:type="dxa" w:w="5227"/>
            <w:tcMar>
              <w:top w:w="70" w:type="dxa"/>
              <w:start w:w="90" w:type="dxa"/>
              <w:bottom w:w="70" w:type="dxa"/>
              <w:end w:w="90" w:type="dxa"/>
            </w:tcMar>
            <w:vAlign w:val="top"/>
            <w:shd w:fill="57068C"/>
          </w:tcPr>
          <w:p>
            <w:pPr>
              <w:spacing w:after="20"/>
            </w:pPr>
            <w:r>
              <w:rPr>
                <w:b/>
                <w:color w:val="FFFFFF"/>
                <w:sz w:val="17"/>
              </w:rPr>
              <w:t xml:space="preserve">Member artifact</w:t>
            </w:r>
          </w:p>
        </w:tc>
        <w:tc>
          <w:tcPr>
            <w:tcW w:type="dxa" w:w="5227"/>
            <w:tcMar>
              <w:top w:w="70" w:type="dxa"/>
              <w:start w:w="90" w:type="dxa"/>
              <w:bottom w:w="70" w:type="dxa"/>
              <w:end w:w="90" w:type="dxa"/>
            </w:tcMar>
            <w:vAlign w:val="top"/>
            <w:shd w:fill="57068C"/>
          </w:tcPr>
          <w:p>
            <w:pPr>
              <w:spacing w:after="20"/>
            </w:pPr>
            <w:r>
              <w:rPr>
                <w:b/>
                <w:color w:val="FFFFFF"/>
                <w:sz w:val="17"/>
              </w:rPr>
              <w:t xml:space="preserve">Retained contribution and change</w:t>
            </w:r>
          </w:p>
        </w:tc>
      </w:tr>
      <w:tr>
        <w:trPr>
          <w:cantSplit/>
        </w:trPr>
        <w:tc>
          <w:tcPr>
            <w:tcW w:type="dxa" w:w="5227"/>
            <w:tcMar>
              <w:top w:w="70" w:type="dxa"/>
              <w:start w:w="90" w:type="dxa"/>
              <w:bottom w:w="70" w:type="dxa"/>
              <w:end w:w="90" w:type="dxa"/>
            </w:tcMar>
            <w:vAlign w:val="top"/>
          </w:tcPr>
          <w:p>
            <w:pPr>
              <w:spacing w:after="20"/>
            </w:pPr>
            <w:r>
              <w:rPr>
                <w:sz w:val="17"/>
              </w:rPr>
              <w:t xml:space="preserve">Yufei Cai</w:t>
            </w:r>
          </w:p>
        </w:tc>
        <w:tc>
          <w:tcPr>
            <w:tcW w:type="dxa" w:w="5227"/>
            <w:tcMar>
              <w:top w:w="70" w:type="dxa"/>
              <w:start w:w="90" w:type="dxa"/>
              <w:bottom w:w="70" w:type="dxa"/>
              <w:end w:w="90" w:type="dxa"/>
            </w:tcMar>
            <w:vAlign w:val="top"/>
          </w:tcPr>
          <w:p>
            <w:pPr>
              <w:spacing w:after="20"/>
            </w:pPr>
            <w:r>
              <w:rPr>
                <w:sz w:val="17"/>
              </w:rPr>
              <w:t xml:space="preserve">Native Lab5 agent, six saved current cases and preserved controlled weakness. Retain integrated-agent scope, chart-review context, scoped source evidence and permission boundary. Revise the apparent universal priority of compatibility into a condition-dependent ranking. The common primary and posture walkthroughs retain unknown peer stage while changing only authorized learning priority. See evidence/candidates/yufei_cai and comparison/walkthroughs/yufei_cai_*.json.</w:t>
            </w:r>
          </w:p>
        </w:tc>
      </w:tr>
      <w:tr>
        <w:trPr>
          <w:cantSplit/>
        </w:trPr>
        <w:tc>
          <w:tcPr>
            <w:tcW w:type="dxa" w:w="5227"/>
            <w:tcMar>
              <w:top w:w="70" w:type="dxa"/>
              <w:start w:w="90" w:type="dxa"/>
              <w:bottom w:w="70" w:type="dxa"/>
              <w:end w:w="90" w:type="dxa"/>
            </w:tcMar>
            <w:vAlign w:val="top"/>
          </w:tcPr>
          <w:p>
            <w:pPr>
              <w:spacing w:after="20"/>
            </w:pPr>
            <w:r>
              <w:rPr>
                <w:sz w:val="17"/>
              </w:rPr>
              <w:t xml:space="preserve">Chutong Wang</w:t>
            </w:r>
          </w:p>
        </w:tc>
        <w:tc>
          <w:tcPr>
            <w:tcW w:type="dxa" w:w="5227"/>
            <w:tcMar>
              <w:top w:w="70" w:type="dxa"/>
              <w:start w:w="90" w:type="dxa"/>
              <w:bottom w:w="70" w:type="dxa"/>
              <w:end w:w="90" w:type="dxa"/>
            </w:tcMar>
            <w:vAlign w:val="top"/>
          </w:tcPr>
          <w:p>
            <w:pPr>
              <w:spacing w:after="20"/>
            </w:pPr>
            <w:r>
              <w:rPr>
                <w:sz w:val="17"/>
              </w:rPr>
              <w:t xml:space="preserve">Native v0.2 agent, four final cases and two cycle-1 outputs. Retain the five-factor mapping, missing-denominator restraint and separation of local decision process from market stage. Her approved synthetic sandbox is an explicit added premise; it must not silently become a baseline fact. Observable advantage can be the leading gap under that premise. See evidence/candidates/chutong_wang and comparison/walkthroughs/chutong_wang_*.json.</w:t>
            </w:r>
          </w:p>
        </w:tc>
      </w:tr>
      <w:tr>
        <w:trPr>
          <w:cantSplit/>
        </w:trPr>
        <w:tc>
          <w:tcPr>
            <w:tcW w:type="dxa" w:w="5227"/>
            <w:tcMar>
              <w:top w:w="70" w:type="dxa"/>
              <w:start w:w="90" w:type="dxa"/>
              <w:bottom w:w="70" w:type="dxa"/>
              <w:end w:w="90" w:type="dxa"/>
            </w:tcMar>
            <w:vAlign w:val="top"/>
          </w:tcPr>
          <w:p>
            <w:pPr>
              <w:spacing w:after="20"/>
            </w:pPr>
            <w:r>
              <w:rPr>
                <w:sz w:val="17"/>
              </w:rPr>
              <w:t xml:space="preserve">Minghan Liu</w:t>
            </w:r>
          </w:p>
        </w:tc>
        <w:tc>
          <w:tcPr>
            <w:tcW w:type="dxa" w:w="5227"/>
            <w:tcMar>
              <w:top w:w="70" w:type="dxa"/>
              <w:start w:w="90" w:type="dxa"/>
              <w:bottom w:w="70" w:type="dxa"/>
              <w:end w:w="90" w:type="dxa"/>
            </w:tcMar>
            <w:vAlign w:val="top"/>
          </w:tcPr>
          <w:p>
            <w:pPr>
              <w:spacing w:after="20"/>
            </w:pPr>
            <w:r>
              <w:rPr>
                <w:sz w:val="17"/>
              </w:rPr>
              <w:t xml:space="preserve">Native v1.1 applicant-support agent and both saved cycles. Retain the population ladder, attention/use distinction and comparison against an existing or simpler baseline. Reject mechanical 16% takeoff labels, unsupported pre-chasm/no-peer-ahead claims and observed trialability inferred from vendor availability. Education/chatbot figures do not measure finance chart agents. See evidence/candidates/minghan_liu and comparison/walkthroughs/minghan_liu_*.json.</w:t>
            </w:r>
          </w:p>
        </w:tc>
      </w:tr>
      <w:tr>
        <w:trPr>
          <w:cantSplit/>
        </w:trPr>
        <w:tc>
          <w:tcPr>
            <w:tcW w:type="dxa" w:w="5227"/>
            <w:tcMar>
              <w:top w:w="70" w:type="dxa"/>
              <w:start w:w="90" w:type="dxa"/>
              <w:bottom w:w="70" w:type="dxa"/>
              <w:end w:w="90" w:type="dxa"/>
            </w:tcMar>
            <w:vAlign w:val="top"/>
          </w:tcPr>
          <w:p>
            <w:pPr>
              <w:spacing w:after="20"/>
            </w:pPr>
            <w:r>
              <w:rPr>
                <w:sz w:val="17"/>
              </w:rPr>
              <w:t xml:space="preserve">Jianbo Sun</w:t>
            </w:r>
          </w:p>
        </w:tc>
        <w:tc>
          <w:tcPr>
            <w:tcW w:type="dxa" w:w="5227"/>
            <w:tcMar>
              <w:top w:w="70" w:type="dxa"/>
              <w:start w:w="90" w:type="dxa"/>
              <w:bottom w:w="70" w:type="dxa"/>
              <w:end w:w="90" w:type="dxa"/>
            </w:tcMar>
            <w:vAlign w:val="top"/>
          </w:tcPr>
          <w:p>
            <w:pPr>
              <w:spacing w:after="20"/>
            </w:pPr>
            <w:r>
              <w:rPr>
                <w:sz w:val="17"/>
              </w:rPr>
              <w:t xml:space="preserve">Updated complete native v0.2 package, five saved outputs and evidence arithmetic. Retain recent-use versus job-use definitions, repeated participation, abandonment, full review cost and verification of actor roles. Transfer these methods from GenAI retail narratives to agentic charts, not the retail diffusion judgment. His complexity priority remains a useful alternative conditional on context. See evidence/candidates/jianbo_sun and comparison/walkthroughs/jianbo_sun_*.json.</w:t>
            </w:r>
          </w:p>
        </w:tc>
      </w:tr>
    </w:tbl>
    <w:p>
      <w:pPr>
        <w:jc w:val="left"/>
      </w:pPr>
      <w:r>
        <w:t xml:space="preserve">The eight shared-case walkthroughs apply each inspected candidate design to the same primary and posture-only contexts. They are qualitative interpretations by the current assistant, not independent native agent executions, league-table scores or additional claims about what members personally tested. Original member responses remain separate and unchanged.</w:t>
      </w:r>
    </w:p>
    <w:p>
      <w:pPr>
        <w:jc w:val="left"/>
      </w:pPr>
      <w:r>
        <w:t xml:space="preserve">Meaningful design dissent remains: the Yufei baseline makes permission compatibility immediate; Chutong’s approved learning premise shifts attention to observable value; Jianbo’s retail case highlights ongoing verification complexity. A single universal factor would erase the conditions that explain the difference. Minghan’s stronger stage labels are retained as evidence of a rejected analytical shortcut, not adopted as team conclusions.</w:t>
      </w:r>
    </w:p>
    <w:p>
      <w:pPr>
        <w:jc w:val="left"/>
      </w:pPr>
      <w:r>
        <w:t xml:space="preserve">These contributions are grounded in the supplied Lab5 artifacts. Consolidation compared the designs, preserved weaknesses, checked selected current sources and prepared shared records and the Adoption handoff. Yufei Cai subsequently reported team acceptance and authorized public upload and a review PR. No classroom completion percentage is asserted.</w:t>
      </w:r>
    </w:p>
    <w:p>
      <w:pPr>
        <w:pStyle w:val="Heading1"/>
        <w:pageBreakBefore/>
      </w:pPr>
      <w:r>
        <w:t xml:space="preserve">G Rogers Five Factor Assessment</w:t>
      </w:r>
    </w:p>
    <w:tbl>
      <w:tblPr>
        <w:tblStyle w:val="TableGrid"/>
        <w:tblW w:type="auto" w:w="0"/>
        <w:jc w:val="center"/>
        <w:tblLayout w:type="autofit"/>
        <w:tblLook w:firstColumn="1" w:firstRow="1" w:lastColumn="0" w:lastRow="0" w:noHBand="0" w:noVBand="1" w:val="04A0"/>
      </w:tblPr>
      <w:tblGrid>
        <w:gridCol w:w="5227"/>
        <w:gridCol w:w="5227"/>
      </w:tblGrid>
      <w:tr>
        <w:trPr>
          <w:tblHeader/>
        </w:trPr>
        <w:tc>
          <w:tcPr>
            <w:tcW w:type="dxa" w:w="5227"/>
            <w:tcMar>
              <w:top w:w="70" w:type="dxa"/>
              <w:start w:w="90" w:type="dxa"/>
              <w:bottom w:w="70" w:type="dxa"/>
              <w:end w:w="90" w:type="dxa"/>
            </w:tcMar>
            <w:vAlign w:val="top"/>
            <w:shd w:fill="57068C"/>
          </w:tcPr>
          <w:p>
            <w:pPr>
              <w:spacing w:after="20"/>
            </w:pPr>
            <w:r>
              <w:rPr>
                <w:b/>
                <w:color w:val="FFFFFF"/>
                <w:sz w:val="17"/>
              </w:rPr>
              <w:t xml:space="preserve">Perceived attribute</w:t>
            </w:r>
          </w:p>
        </w:tc>
        <w:tc>
          <w:tcPr>
            <w:tcW w:type="dxa" w:w="5227"/>
            <w:tcMar>
              <w:top w:w="70" w:type="dxa"/>
              <w:start w:w="90" w:type="dxa"/>
              <w:bottom w:w="70" w:type="dxa"/>
              <w:end w:w="90" w:type="dxa"/>
            </w:tcMar>
            <w:vAlign w:val="top"/>
            <w:shd w:fill="57068C"/>
          </w:tcPr>
          <w:p>
            <w:pPr>
              <w:spacing w:after="20"/>
            </w:pPr>
            <w:r>
              <w:rPr>
                <w:b/>
                <w:color w:val="FFFFFF"/>
                <w:sz w:val="17"/>
              </w:rPr>
              <w:t xml:space="preserve">Application judgment and test</w:t>
            </w:r>
          </w:p>
        </w:tc>
      </w:tr>
      <w:tr>
        <w:trPr>
          <w:cantSplit/>
        </w:trPr>
        <w:tc>
          <w:tcPr>
            <w:tcW w:type="dxa" w:w="5227"/>
            <w:tcMar>
              <w:top w:w="70" w:type="dxa"/>
              <w:start w:w="90" w:type="dxa"/>
              <w:bottom w:w="70" w:type="dxa"/>
              <w:end w:w="90" w:type="dxa"/>
            </w:tcMar>
            <w:vAlign w:val="top"/>
          </w:tcPr>
          <w:p>
            <w:pPr>
              <w:spacing w:after="20"/>
            </w:pPr>
            <w:r>
              <w:rPr>
                <w:sz w:val="17"/>
              </w:rPr>
              <w:t xml:space="preserve">Relative advantage</w:t>
            </w:r>
          </w:p>
        </w:tc>
        <w:tc>
          <w:tcPr>
            <w:tcW w:type="dxa" w:w="5227"/>
            <w:tcMar>
              <w:top w:w="70" w:type="dxa"/>
              <w:start w:w="90" w:type="dxa"/>
              <w:bottom w:w="70" w:type="dxa"/>
              <w:end w:w="90" w:type="dxa"/>
            </w:tcMar>
            <w:vAlign w:val="top"/>
          </w:tcPr>
          <w:p>
            <w:pPr>
              <w:spacing w:after="20"/>
            </w:pPr>
            <w:r>
              <w:rPr>
                <w:sz w:val="17"/>
              </w:rPr>
              <w:t xml:space="preserve">Potentially fewer reconciliation steps; full quality-adjusted benefit over manual and deterministic checks is unmeasured. Evidence status: Case mechanism inference, C1 and S6; no local outcomes. Check: Log correct findings, missed material errors, false corrections and total minutes for all three baselines.</w:t>
            </w:r>
          </w:p>
        </w:tc>
      </w:tr>
      <w:tr>
        <w:trPr>
          <w:cantSplit/>
        </w:trPr>
        <w:tc>
          <w:tcPr>
            <w:tcW w:type="dxa" w:w="5227"/>
            <w:tcMar>
              <w:top w:w="70" w:type="dxa"/>
              <w:start w:w="90" w:type="dxa"/>
              <w:bottom w:w="70" w:type="dxa"/>
              <w:end w:w="90" w:type="dxa"/>
            </w:tcMar>
            <w:vAlign w:val="top"/>
          </w:tcPr>
          <w:p>
            <w:pPr>
              <w:spacing w:after="20"/>
            </w:pPr>
            <w:r>
              <w:rPr>
                <w:sz w:val="17"/>
              </w:rPr>
              <w:t xml:space="preserve">Compatibility</w:t>
            </w:r>
          </w:p>
        </w:tc>
        <w:tc>
          <w:tcPr>
            <w:tcW w:type="dxa" w:w="5227"/>
            <w:tcMar>
              <w:top w:w="70" w:type="dxa"/>
              <w:start w:w="90" w:type="dxa"/>
              <w:bottom w:w="70" w:type="dxa"/>
              <w:end w:w="90" w:type="dxa"/>
            </w:tcMar>
            <w:vAlign w:val="top"/>
          </w:tcPr>
          <w:p>
            <w:pPr>
              <w:spacing w:after="20"/>
            </w:pPr>
            <w:r>
              <w:rPr>
                <w:sz w:val="17"/>
              </w:rPr>
              <w:t xml:space="preserve">Permission and accountable report ownership are the baseline finance constraint; MCP is a potential integration complement, not approval. Evidence status: Stipulated case permissions; S3 ecosystem observation; mechanism inference. Check: Check allowed data, read-only access, owner and publication boundary before any scoped study.</w:t>
            </w:r>
          </w:p>
        </w:tc>
      </w:tr>
      <w:tr>
        <w:trPr>
          <w:cantSplit/>
        </w:trPr>
        <w:tc>
          <w:tcPr>
            <w:tcW w:type="dxa" w:w="5227"/>
            <w:tcMar>
              <w:top w:w="70" w:type="dxa"/>
              <w:start w:w="90" w:type="dxa"/>
              <w:bottom w:w="70" w:type="dxa"/>
              <w:end w:w="90" w:type="dxa"/>
            </w:tcMar>
            <w:vAlign w:val="top"/>
          </w:tcPr>
          <w:p>
            <w:pPr>
              <w:spacing w:after="20"/>
            </w:pPr>
            <w:r>
              <w:rPr>
                <w:sz w:val="17"/>
              </w:rPr>
              <w:t xml:space="preserve">Complexity</w:t>
            </w:r>
          </w:p>
        </w:tc>
        <w:tc>
          <w:tcPr>
            <w:tcW w:type="dxa" w:w="5227"/>
            <w:tcMar>
              <w:top w:w="70" w:type="dxa"/>
              <w:start w:w="90" w:type="dxa"/>
              <w:bottom w:w="70" w:type="dxa"/>
              <w:end w:w="90" w:type="dxa"/>
            </w:tcMar>
            <w:vAlign w:val="top"/>
          </w:tcPr>
          <w:p>
            <w:pPr>
              <w:spacing w:after="20"/>
            </w:pPr>
            <w:r>
              <w:rPr>
                <w:sz w:val="17"/>
              </w:rPr>
              <w:t xml:space="preserve">Connectors, evaluations and exception review can dominate, especially for a small studio with limited support. Evidence status: Case-based inference; dated S6 engineering mechanism. Check: Include setup, correction and support time; compare with a simpler deterministic workflow.</w:t>
            </w:r>
          </w:p>
        </w:tc>
      </w:tr>
      <w:tr>
        <w:trPr>
          <w:cantSplit/>
        </w:trPr>
        <w:tc>
          <w:tcPr>
            <w:tcW w:type="dxa" w:w="5227"/>
            <w:tcMar>
              <w:top w:w="70" w:type="dxa"/>
              <w:start w:w="90" w:type="dxa"/>
              <w:bottom w:w="70" w:type="dxa"/>
              <w:end w:w="90" w:type="dxa"/>
            </w:tcMar>
            <w:vAlign w:val="top"/>
          </w:tcPr>
          <w:p>
            <w:pPr>
              <w:spacing w:after="20"/>
            </w:pPr>
            <w:r>
              <w:rPr>
                <w:sz w:val="17"/>
              </w:rPr>
              <w:t xml:space="preserve">Trialability</w:t>
            </w:r>
          </w:p>
        </w:tc>
        <w:tc>
          <w:tcPr>
            <w:tcW w:type="dxa" w:w="5227"/>
            <w:tcMar>
              <w:top w:w="70" w:type="dxa"/>
              <w:start w:w="90" w:type="dxa"/>
              <w:bottom w:w="70" w:type="dxa"/>
              <w:end w:w="90" w:type="dxa"/>
            </w:tcMar>
            <w:vAlign w:val="top"/>
          </w:tcPr>
          <w:p>
            <w:pPr>
              <w:spacing w:after="20"/>
            </w:pPr>
            <w:r>
              <w:rPr>
                <w:sz w:val="17"/>
              </w:rPr>
              <w:t xml:space="preserve">Public/synthetic material supports reversible study design; the permission and studio contrasts explicitly stipulate an approved isolated learning sandbox. Evidence status: Case premise, not measured trial outcome. Check: Keep live records and autonomous publication out; stop on a permission mismatch.</w:t>
            </w:r>
          </w:p>
        </w:tc>
      </w:tr>
      <w:tr>
        <w:trPr>
          <w:cantSplit/>
        </w:trPr>
        <w:tc>
          <w:tcPr>
            <w:tcW w:type="dxa" w:w="5227"/>
            <w:tcMar>
              <w:top w:w="70" w:type="dxa"/>
              <w:start w:w="90" w:type="dxa"/>
              <w:bottom w:w="70" w:type="dxa"/>
              <w:end w:w="90" w:type="dxa"/>
            </w:tcMar>
            <w:vAlign w:val="top"/>
          </w:tcPr>
          <w:p>
            <w:pPr>
              <w:spacing w:after="20"/>
            </w:pPr>
            <w:r>
              <w:rPr>
                <w:sz w:val="17"/>
              </w:rPr>
              <w:t xml:space="preserve">Observability</w:t>
            </w:r>
          </w:p>
        </w:tc>
        <w:tc>
          <w:tcPr>
            <w:tcW w:type="dxa" w:w="5227"/>
            <w:tcMar>
              <w:top w:w="70" w:type="dxa"/>
              <w:start w:w="90" w:type="dxa"/>
              <w:bottom w:w="70" w:type="dxa"/>
              <w:end w:w="90" w:type="dxa"/>
            </w:tcMar>
            <w:vAlign w:val="top"/>
          </w:tcPr>
          <w:p>
            <w:pPr>
              <w:spacing w:after="20"/>
            </w:pPr>
            <w:r>
              <w:rPr>
                <w:sz w:val="17"/>
              </w:rPr>
              <w:t xml:space="preserve">Source-linked discrepancy logs could show effects; no actual repeated chart-review results or matched peer cohort is supplied in the baseline. Evidence status: Missing local/peer outcome evidence; inference about future measurement. Check: Record four proposed review cycles, discontinuance and peer definition; four is a study choice, not a takeoff rule.</w:t>
            </w:r>
          </w:p>
        </w:tc>
      </w:tr>
    </w:tbl>
    <w:p>
      <w:pPr>
        <w:jc w:val="left"/>
      </w:pPr>
      <w:r>
        <w:t xml:space="preserve">In the baseline finance case, compatibility is the immediate permission constraint. If an isolated learning sandbox is explicitly approved, observable incremental advantage becomes the leading evidence gap for deciding learning priority. If support is scarce, complexity may dominate. The five factors interact, and the ranking can change without any change in general diffusion facts.</w:t>
      </w:r>
    </w:p>
    <w:p>
      <w:pPr>
        <w:pStyle w:val="Heading1"/>
      </w:pPr>
      <w:r>
        <w:t xml:space="preserve">Actors and Complementary Assets</w:t>
      </w:r>
    </w:p>
    <w:p>
      <w:pPr>
        <w:jc w:val="left"/>
      </w:pPr>
      <w:r>
        <w:t xml:space="preserve">A reporting owner could be a trusted opinion leader if colleagues actually seek that person’s advice. A BI/security liaison could act as a change agent by assisting evaluation, while analyst trainers could act as change aides. These are proposed roles, not observed causal influence. Interviews, advice networks and observed peer behavior would help check them. Vendors and standards bodies create external awareness; comparable colleagues can provide more relevant practical evidence.</w:t>
      </w:r>
    </w:p>
    <w:p>
      <w:pPr>
        <w:jc w:val="left"/>
      </w:pPr>
      <w:r>
        <w:t xml:space="preserve">Reliable tables, source lineage, permissioned tools, evaluation capacity, training and review ownership are complementary assets. S3’s protocol-governance event is an ecosystem observation; reduced integration friction is an inference. Neither standards availability nor SDK downloads establishes safe local interoperability or exact-application adoption.</w:t>
      </w:r>
    </w:p>
    <w:p>
      <w:pPr>
        <w:pStyle w:val="Heading1"/>
      </w:pPr>
      <w:r>
        <w:t xml:space="preserve">Proposed Repeated Use Measurement</w:t>
      </w:r>
    </w:p>
    <w:p>
      <w:pPr>
        <w:jc w:val="left"/>
      </w:pPr>
      <w:r>
        <w:t xml:space="preserve">If an evaluation is authorized, compare manual review, simpler deterministic checks and the proposed agent on public/synthetic chart tasks. Across four proposed review cycles, record eligible and participating analysts, attempted and completed tasks, repeat participation, abandonment, material misses, false corrections, and drafting/review/correction/support time. Include unsuccessful attempts and less experienced users. Four cycles is a practical diagnostic design, not a course-mandated threshold, observed experiment or proof of long-run retention.</w:t>
      </w:r>
    </w:p>
    <w:p>
      <w:pPr>
        <w:pStyle w:val="Heading1"/>
        <w:pageBreakBefore/>
      </w:pPr>
      <w:r>
        <w:t xml:space="preserve">H Dated Sources and Shared Handoff</w:t>
      </w:r>
    </w:p>
    <w:tbl>
      <w:tblPr>
        <w:tblStyle w:val="TableGrid"/>
        <w:tblW w:type="auto" w:w="0"/>
        <w:jc w:val="center"/>
        <w:tblLayout w:type="autofit"/>
        <w:tblLook w:firstColumn="1" w:firstRow="1" w:lastColumn="0" w:lastRow="0" w:noHBand="0" w:noVBand="1" w:val="04A0"/>
      </w:tblPr>
      <w:tblGrid>
        <w:gridCol w:w="5227"/>
        <w:gridCol w:w="5227"/>
      </w:tblGrid>
      <w:tr>
        <w:trPr>
          <w:tblHeader/>
        </w:trPr>
        <w:tc>
          <w:tcPr>
            <w:tcW w:type="dxa" w:w="5227"/>
            <w:tcMar>
              <w:top w:w="70" w:type="dxa"/>
              <w:start w:w="90" w:type="dxa"/>
              <w:bottom w:w="70" w:type="dxa"/>
              <w:end w:w="90" w:type="dxa"/>
            </w:tcMar>
            <w:vAlign w:val="top"/>
            <w:shd w:fill="57068C"/>
          </w:tcPr>
          <w:p>
            <w:pPr>
              <w:spacing w:after="20"/>
            </w:pPr>
            <w:r>
              <w:rPr>
                <w:b/>
                <w:color w:val="FFFFFF"/>
                <w:sz w:val="17"/>
              </w:rPr>
              <w:t xml:space="preserve">Source and scope</w:t>
            </w:r>
          </w:p>
        </w:tc>
        <w:tc>
          <w:tcPr>
            <w:tcW w:type="dxa" w:w="5227"/>
            <w:tcMar>
              <w:top w:w="70" w:type="dxa"/>
              <w:start w:w="90" w:type="dxa"/>
              <w:bottom w:w="70" w:type="dxa"/>
              <w:end w:w="90" w:type="dxa"/>
            </w:tcMar>
            <w:vAlign w:val="top"/>
            <w:shd w:fill="57068C"/>
          </w:tcPr>
          <w:p>
            <w:pPr>
              <w:spacing w:after="20"/>
            </w:pPr>
            <w:r>
              <w:rPr>
                <w:b/>
                <w:color w:val="FFFFFF"/>
                <w:sz w:val="17"/>
              </w:rPr>
              <w:t xml:space="preserve">Date definition and limit</w:t>
            </w:r>
          </w:p>
        </w:tc>
      </w:tr>
      <w:tr>
        <w:trPr>
          <w:cantSplit/>
        </w:trPr>
        <w:tc>
          <w:tcPr>
            <w:tcW w:type="dxa" w:w="5227"/>
            <w:tcMar>
              <w:top w:w="70" w:type="dxa"/>
              <w:start w:w="90" w:type="dxa"/>
              <w:bottom w:w="70" w:type="dxa"/>
              <w:end w:w="90" w:type="dxa"/>
            </w:tcMar>
            <w:vAlign w:val="top"/>
          </w:tcPr>
          <w:p>
            <w:pPr>
              <w:spacing w:after="20"/>
            </w:pPr>
            <w:r>
              <w:rPr>
                <w:sz w:val="17"/>
              </w:rPr>
              <w:t xml:space="preserve">C1 Course framework</w:t>
            </w:r>
          </w:p>
        </w:tc>
        <w:tc>
          <w:tcPr>
            <w:tcW w:type="dxa" w:w="5227"/>
            <w:tcMar>
              <w:top w:w="70" w:type="dxa"/>
              <w:start w:w="90" w:type="dxa"/>
              <w:bottom w:w="70" w:type="dxa"/>
              <w:end w:w="90" w:type="dxa"/>
            </w:tcMar>
            <w:vAlign w:val="top"/>
          </w:tcPr>
          <w:p>
            <w:pPr>
              <w:spacing w:after="20"/>
            </w:pPr>
            <w:r>
              <w:rPr>
                <w:sz w:val="17"/>
              </w:rPr>
              <w:t xml:space="preserve">Module 6 The Diffusion of Emerging Technologies, supplied FA25 slides. Inspected for Lab5 on October 26. Rogers factors, categories, channels and process are a conceptual lens, not measured diffusion. Local slide filename is recorded in evidence/source_register.json.</w:t>
            </w:r>
          </w:p>
        </w:tc>
      </w:tr>
      <w:tr>
        <w:trPr>
          <w:cantSplit/>
        </w:trPr>
        <w:tc>
          <w:tcPr>
            <w:tcW w:type="dxa" w:w="5227"/>
            <w:tcMar>
              <w:top w:w="70" w:type="dxa"/>
              <w:start w:w="90" w:type="dxa"/>
              <w:bottom w:w="70" w:type="dxa"/>
              <w:end w:w="90" w:type="dxa"/>
            </w:tcMar>
            <w:vAlign w:val="top"/>
          </w:tcPr>
          <w:p>
            <w:pPr>
              <w:spacing w:after="20"/>
            </w:pPr>
            <w:r>
              <w:rPr>
                <w:sz w:val="17"/>
              </w:rPr>
              <w:t xml:space="preserve">S1 Agent scaling survey</w:t>
            </w:r>
          </w:p>
        </w:tc>
        <w:tc>
          <w:tcPr>
            <w:tcW w:type="dxa" w:w="5227"/>
            <w:tcMar>
              <w:top w:w="70" w:type="dxa"/>
              <w:start w:w="90" w:type="dxa"/>
              <w:bottom w:w="70" w:type="dxa"/>
              <w:end w:w="90" w:type="dxa"/>
            </w:tcMar>
            <w:vAlign w:val="top"/>
          </w:tcPr>
          <w:p>
            <w:pPr>
              <w:spacing w:after="20"/>
            </w:pPr>
            <w:r>
              <w:rPr>
                <w:sz w:val="17"/>
              </w:rPr>
              <w:t xml:space="preserve">McKinsey, The state of AI in 2026, published August 25; fieldwork May 4–June 8, 2026. 1,719 participants, 97 nations, country GDP weighting. Agent scaling in one or more functions: 40% above USD1bn revenue, 22% smaller. Self-report subgroups, not chart-review peers; case revenue unknown.</w:t>
            </w:r>
          </w:p>
        </w:tc>
      </w:tr>
      <w:tr>
        <w:trPr>
          <w:cantSplit/>
        </w:trPr>
        <w:tc>
          <w:tcPr>
            <w:tcW w:type="dxa" w:w="5227"/>
            <w:tcMar>
              <w:top w:w="70" w:type="dxa"/>
              <w:start w:w="90" w:type="dxa"/>
              <w:bottom w:w="70" w:type="dxa"/>
              <w:end w:w="90" w:type="dxa"/>
            </w:tcMar>
            <w:vAlign w:val="top"/>
          </w:tcPr>
          <w:p>
            <w:pPr>
              <w:spacing w:after="20"/>
            </w:pPr>
            <w:r>
              <w:rPr>
                <w:sz w:val="17"/>
              </w:rPr>
              <w:t xml:space="preserve">S2 Broad business AI</w:t>
            </w:r>
          </w:p>
        </w:tc>
        <w:tc>
          <w:tcPr>
            <w:tcW w:type="dxa" w:w="5227"/>
            <w:tcMar>
              <w:top w:w="70" w:type="dxa"/>
              <w:start w:w="90" w:type="dxa"/>
              <w:bottom w:w="70" w:type="dxa"/>
              <w:end w:w="90" w:type="dxa"/>
            </w:tcMar>
            <w:vAlign w:val="top"/>
          </w:tcPr>
          <w:p>
            <w:pPr>
              <w:spacing w:after="20"/>
            </w:pPr>
            <w:r>
              <w:rPr>
                <w:sz w:val="17"/>
              </w:rPr>
              <w:t xml:space="preserve">US Census Bureau, May 26, 2026; period ending May 3. Any AI in any business function during prior two weeks: 33.9% Finance and Insurance, 19.8% nationally. Wording broadened November 17, 2025. Dated broader scope, not agent prevalence or the latest October estimate.</w:t>
            </w:r>
          </w:p>
        </w:tc>
      </w:tr>
      <w:tr>
        <w:trPr>
          <w:cantSplit/>
        </w:trPr>
        <w:tc>
          <w:tcPr>
            <w:tcW w:type="dxa" w:w="5227"/>
            <w:tcMar>
              <w:top w:w="70" w:type="dxa"/>
              <w:start w:w="90" w:type="dxa"/>
              <w:bottom w:w="70" w:type="dxa"/>
              <w:end w:w="90" w:type="dxa"/>
            </w:tcMar>
            <w:vAlign w:val="top"/>
          </w:tcPr>
          <w:p>
            <w:pPr>
              <w:spacing w:after="20"/>
            </w:pPr>
            <w:r>
              <w:rPr>
                <w:sz w:val="17"/>
              </w:rPr>
              <w:t xml:space="preserve">S3 Standards complement</w:t>
            </w:r>
          </w:p>
        </w:tc>
        <w:tc>
          <w:tcPr>
            <w:tcW w:type="dxa" w:w="5227"/>
            <w:tcMar>
              <w:top w:w="70" w:type="dxa"/>
              <w:start w:w="90" w:type="dxa"/>
              <w:bottom w:w="70" w:type="dxa"/>
              <w:end w:w="90" w:type="dxa"/>
            </w:tcMar>
            <w:vAlign w:val="top"/>
          </w:tcPr>
          <w:p>
            <w:pPr>
              <w:spacing w:after="20"/>
            </w:pPr>
            <w:r>
              <w:rPr>
                <w:sz w:val="17"/>
              </w:rPr>
              <w:t xml:space="preserve">MCP lead maintainer announcement, December 9, 2025: MCP joined AAIF under Linux Foundation. Supports a governance/interoperability context only, not a counted adoption population or certified connector.</w:t>
            </w:r>
          </w:p>
        </w:tc>
      </w:tr>
      <w:tr>
        <w:trPr>
          <w:cantSplit/>
        </w:trPr>
        <w:tc>
          <w:tcPr>
            <w:tcW w:type="dxa" w:w="5227"/>
            <w:tcMar>
              <w:top w:w="70" w:type="dxa"/>
              <w:start w:w="90" w:type="dxa"/>
              <w:bottom w:w="70" w:type="dxa"/>
              <w:end w:w="90" w:type="dxa"/>
            </w:tcMar>
            <w:vAlign w:val="top"/>
          </w:tcPr>
          <w:p>
            <w:pPr>
              <w:spacing w:after="20"/>
            </w:pPr>
            <w:r>
              <w:rPr>
                <w:sz w:val="17"/>
              </w:rPr>
              <w:t xml:space="preserve">S4 and S5 Recent work use</w:t>
            </w:r>
          </w:p>
        </w:tc>
        <w:tc>
          <w:tcPr>
            <w:tcW w:type="dxa" w:w="5227"/>
            <w:tcMar>
              <w:top w:w="70" w:type="dxa"/>
              <w:start w:w="90" w:type="dxa"/>
              <w:bottom w:w="70" w:type="dxa"/>
              <w:end w:w="90" w:type="dxa"/>
            </w:tcMar>
            <w:vAlign w:val="top"/>
          </w:tcPr>
          <w:p>
            <w:pPr>
              <w:spacing w:after="20"/>
            </w:pPr>
            <w:r>
              <w:rPr>
                <w:sz w:val="17"/>
              </w:rPr>
              <w:t xml:space="preserve">Bick, Blandin and Deming RPS via FRED, updated October 20, 2026. Employed US adults 18–64, Q3 2026, NSA: 40.54550% job use and 34.84421% use on at least one workday last week. Q2 values 45.19932% and 39.23370%. Same survey, not independent corroboration, cumulative adoption or cohort retention.</w:t>
            </w:r>
          </w:p>
        </w:tc>
      </w:tr>
      <w:tr>
        <w:trPr>
          <w:cantSplit/>
        </w:trPr>
        <w:tc>
          <w:tcPr>
            <w:tcW w:type="dxa" w:w="5227"/>
            <w:tcMar>
              <w:top w:w="70" w:type="dxa"/>
              <w:start w:w="90" w:type="dxa"/>
              <w:bottom w:w="70" w:type="dxa"/>
              <w:end w:w="90" w:type="dxa"/>
            </w:tcMar>
            <w:vAlign w:val="top"/>
          </w:tcPr>
          <w:p>
            <w:pPr>
              <w:spacing w:after="20"/>
            </w:pPr>
            <w:r>
              <w:rPr>
                <w:sz w:val="17"/>
              </w:rPr>
              <w:t xml:space="preserve">S6 Engineering mechanism</w:t>
            </w:r>
          </w:p>
        </w:tc>
        <w:tc>
          <w:tcPr>
            <w:tcW w:type="dxa" w:w="5227"/>
            <w:tcMar>
              <w:top w:w="70" w:type="dxa"/>
              <w:start w:w="90" w:type="dxa"/>
              <w:bottom w:w="70" w:type="dxa"/>
              <w:end w:w="90" w:type="dxa"/>
            </w:tcMar>
            <w:vAlign w:val="top"/>
          </w:tcPr>
          <w:p>
            <w:pPr>
              <w:spacing w:after="20"/>
            </w:pPr>
            <w:r>
              <w:rPr>
                <w:sz w:val="17"/>
              </w:rPr>
              <w:t xml:space="preserve">Anthropic, Building effective agents, December 19, 2024. Supports a dated complexity/cost mechanism and simpler baseline, not market penetration. The publisher warns much tooling has changed. All external sources were checked October 27, 2026.</w:t>
            </w:r>
          </w:p>
        </w:tc>
      </w:tr>
    </w:tbl>
    <w:p>
      <w:pPr>
        <w:jc w:val="left"/>
      </w:pPr>
      <w:hyperlink r:id="rIdTW62">
        <w:r>
          <w:rPr>
            <w:color w:val="0563C1"/>
          </w:rPr>
          <w:t>S1 McKinsey state of AI</w:t>
        </w:r>
      </w:hyperlink>
    </w:p>
    <w:p>
      <w:pPr>
        <w:jc w:val="left"/>
      </w:pPr>
      <w:hyperlink r:id="rIdTW63">
        <w:r>
          <w:rPr>
            <w:color w:val="0563C1"/>
          </w:rPr>
          <w:t>S2 Census business AI</w:t>
        </w:r>
      </w:hyperlink>
    </w:p>
    <w:p>
      <w:pPr>
        <w:jc w:val="left"/>
      </w:pPr>
      <w:hyperlink r:id="rIdTW64">
        <w:r>
          <w:rPr>
            <w:color w:val="0563C1"/>
          </w:rPr>
          <w:t>S3 MCP foundation announcement</w:t>
        </w:r>
      </w:hyperlink>
    </w:p>
    <w:p>
      <w:pPr>
        <w:jc w:val="left"/>
      </w:pPr>
      <w:hyperlink r:id="rIdTW65">
        <w:r>
          <w:rPr>
            <w:color w:val="0563C1"/>
          </w:rPr>
          <w:t>S4 RPS job use series</w:t>
        </w:r>
      </w:hyperlink>
    </w:p>
    <w:p>
      <w:pPr>
        <w:jc w:val="left"/>
      </w:pPr>
      <w:hyperlink r:id="rIdTW66">
        <w:r>
          <w:rPr>
            <w:color w:val="0563C1"/>
          </w:rPr>
          <w:t>S5 RPS recent work use series</w:t>
        </w:r>
      </w:hyperlink>
    </w:p>
    <w:p>
      <w:pPr>
        <w:jc w:val="left"/>
      </w:pPr>
      <w:hyperlink r:id="rIdTW67">
        <w:r>
          <w:rPr>
            <w:color w:val="0563C1"/>
          </w:rPr>
          <w:t>S6 Anthropic engineering account</w:t>
        </w:r>
      </w:hyperlink>
    </w:p>
    <w:p>
      <w:pPr>
        <w:pStyle w:val="Heading1"/>
      </w:pPr>
      <w:r>
        <w:t xml:space="preserve">Integration and Release</w:t>
      </w:r>
    </w:p>
    <w:p>
      <w:pPr>
        <w:jc w:val="left"/>
      </w:pPr>
      <w:r>
        <w:t xml:space="preserve">Shared records identify the team-accepted Diffusion Agent 1.0 in slot 4 and append the accepted judgment and dissent. Public upload and a review PR were authorized by Yufei Cai. Current main contains TW3; TW4 PR4 and TW5 PR5 remain separate open reviews. This release does not merge main, merge those reviews or edit members’ individual branches.</w:t>
      </w:r>
    </w:p>
    <w:p>
      <w:pPr>
        <w:jc w:val="left"/>
      </w:pPr>
      <w:r>
        <w:t xml:space="preserve">Adoption handoff: the exact chart-review peer position and net value are unknown. Permissions constrain possible learning, and sustained comparator results could alter timing. The Adoption expert must decide whether an experiment or deployment is justified and authorized. No live data access, Brightspace submission or main-branch merge is implied.</w:t>
      </w:r>
    </w:p>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 xml:space="preserve">Special Dark   TW6 Diffusion Agent   Team accepted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000000"/>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TW61" Type="http://schemas.openxmlformats.org/officeDocument/2006/relationships/hyperlink" Target="https://github.com/Sun417-jianbo/special-dark" TargetMode="External"/><Relationship Id="rIdTW62" Type="http://schemas.openxmlformats.org/officeDocument/2006/relationships/hyperlink" Target="https://www.mckinsey.com/capabilities/quantumblack/our-insights/the-state-of-ai" TargetMode="External"/><Relationship Id="rIdTW63" Type="http://schemas.openxmlformats.org/officeDocument/2006/relationships/hyperlink" Target="https://www.census.gov/library/stories/2026/05/ai-use-businesses.html" TargetMode="External"/><Relationship Id="rIdTW64" Type="http://schemas.openxmlformats.org/officeDocument/2006/relationships/hyperlink" Target="https://blog.modelcontextprotocol.io/posts/2025-12-09-mcp-joins-agentic-ai-foundation/" TargetMode="External"/><Relationship Id="rIdTW65" Type="http://schemas.openxmlformats.org/officeDocument/2006/relationships/hyperlink" Target="https://fred.stlouisfed.org/series/RPSGENAIUSAGESHAREWORK" TargetMode="External"/><Relationship Id="rIdTW66" Type="http://schemas.openxmlformats.org/officeDocument/2006/relationships/hyperlink" Target="https://fred.stlouisfed.org/series/RPSGENAIUSAGESHARELWWORK" TargetMode="External"/><Relationship Id="rIdTW67" Type="http://schemas.openxmlformats.org/officeDocument/2006/relationships/hyperlink" Target="https://www.anthropic.com/research/building-effective-agents" TargetMode="External"/><Relationship Id="rIdTW6ReleaseBranch" Type="http://schemas.openxmlformats.org/officeDocument/2006/relationships/hyperlink" Target="https://github.com/Sun417-jianbo/special-dark/tree/tw6-diffusion-20261027" TargetMode="External"/><Relationship Id="rIdTW6ReleaseCommit" Type="http://schemas.openxmlformats.org/officeDocument/2006/relationships/hyperlink" Target="https://github.com/Sun417-jianbo/special-dark/commit/8e33e86307d8280383d1cfebfd43041a87577b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TW6 Diffusion Agent Record</dc:title>
  <dc:subject>Student instructions for weekly individual assignments</dc:subject>
  <dc:creator>Special Dark</dc:creator>
  <cp:keywords>Advanced Business Informatics, weekly assignments, professional practice, AI, judgment, proof of concept</cp:keywords>
  <dc:description>generated by python-docx</dc:description>
  <cp:lastModifiedBy>Yufei Cai</cp:lastModifiedBy>
  <cp:revision>2</cp:revision>
  <dcterms:created xsi:type="dcterms:W3CDTF">2026-08-13T19:48:00Z</dcterms:created>
  <dcterms:modified xsi:type="dcterms:W3CDTF">2026-08-13T19:48:00Z</dcterms:modified>
  <cp:category/>
  <cp:version>1.0</cp:version>
</cp:coreProperties>
</file>