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40"/>
        <w:jc w:val="left"/>
        <w:pBdr>
          <w:top w:val="nil"/>
          <w:left w:val="nil"/>
          <w:bottom w:val="nil"/>
          <w:right w:val="nil"/>
          <w:between w:val="nil"/>
          <w:bar w:val="nil"/>
        </w:pBdr>
      </w:pPr>
      <w:r>
        <w:rPr>
          <w:rFonts w:ascii="Aptos Display" w:hAnsi="Aptos Display"/>
          <w:b/>
          <w:color w:val="000000"/>
          <w:sz w:val="37"/>
        </w:rPr>
        <w:t>Team Agent Design and Integration Standard</w:t>
      </w:r>
    </w:p>
    <w:p>
      <w:pPr>
        <w:spacing w:after="140"/>
      </w:pPr>
      <w:r>
        <w:rPr>
          <w:rFonts w:ascii="Aptos" w:hAnsi="Aptos"/>
          <w:b/>
          <w:color w:val="595959"/>
          <w:sz w:val="19"/>
        </w:rPr>
        <w:t>Team Workshop 2  Emerging Technologies  Agentic AI</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3960"/>
        <w:gridCol w:w="1036"/>
        <w:gridCol w:w="3960"/>
      </w:tblGrid>
      <w:tr>
        <w:tc>
          <w:tcPr>
            <w:tcW w:type="dxa" w:w="1036"/>
            <w:shd w:fill="EAF1F8"/>
            <w:vAlign w:val="center"/>
            <w:tcMar>
              <w:top w:w="85" w:type="dxa"/>
              <w:start w:w="100" w:type="dxa"/>
              <w:bottom w:w="85" w:type="dxa"/>
              <w:end w:w="100" w:type="dxa"/>
            </w:tcMar>
          </w:tcPr>
          <w:p>
            <w:pPr>
              <w:spacing w:before="0" w:after="0" w:line="240" w:lineRule="auto"/>
            </w:pPr>
            <w:r>
              <w:rPr>
                <w:rFonts w:ascii="Aptos" w:hAnsi="Aptos"/>
                <w:b/>
                <w:color w:val="000000"/>
                <w:sz w:val="17"/>
              </w:rPr>
              <w:t>TEAM</w:t>
            </w:r>
          </w:p>
        </w:tc>
        <w:tc>
          <w:tcPr>
            <w:tcW w:type="dxa" w:w="3960"/>
            <w:vAlign w:val="center"/>
            <w:tcMar>
              <w:top w:w="85" w:type="dxa"/>
              <w:start w:w="100" w:type="dxa"/>
              <w:bottom w:w="85" w:type="dxa"/>
              <w:end w:w="100" w:type="dxa"/>
            </w:tcMar>
          </w:tcPr>
          <w:p>
            <w:pPr>
              <w:spacing w:before="0" w:after="0" w:line="240" w:lineRule="auto"/>
            </w:pPr>
            <w:r>
              <w:rPr>
                <w:rFonts w:ascii="Aptos" w:hAnsi="Aptos"/>
                <w:b w:val="0"/>
                <w:color w:val="000000"/>
                <w:sz w:val="17"/>
              </w:rPr>
              <w:t>____________________________</w:t>
            </w:r>
          </w:p>
        </w:tc>
        <w:tc>
          <w:tcPr>
            <w:tcW w:type="dxa" w:w="1036"/>
            <w:shd w:fill="EAF1F8"/>
            <w:vAlign w:val="center"/>
            <w:tcMar>
              <w:top w:w="85" w:type="dxa"/>
              <w:start w:w="100" w:type="dxa"/>
              <w:bottom w:w="85" w:type="dxa"/>
              <w:end w:w="100" w:type="dxa"/>
            </w:tcMar>
          </w:tcPr>
          <w:p>
            <w:pPr>
              <w:spacing w:before="0" w:after="0" w:line="240" w:lineRule="auto"/>
            </w:pPr>
            <w:r>
              <w:rPr>
                <w:rFonts w:ascii="Aptos" w:hAnsi="Aptos"/>
                <w:b/>
                <w:color w:val="000000"/>
                <w:sz w:val="17"/>
              </w:rPr>
              <w:t>DATE</w:t>
            </w:r>
          </w:p>
        </w:tc>
        <w:tc>
          <w:tcPr>
            <w:tcW w:type="dxa" w:w="3960"/>
            <w:vAlign w:val="center"/>
            <w:tcMar>
              <w:top w:w="85" w:type="dxa"/>
              <w:start w:w="100" w:type="dxa"/>
              <w:bottom w:w="85" w:type="dxa"/>
              <w:end w:w="100" w:type="dxa"/>
            </w:tcMar>
          </w:tcPr>
          <w:p>
            <w:pPr>
              <w:spacing w:before="0" w:after="0" w:line="240" w:lineRule="auto"/>
            </w:pPr>
            <w:r>
              <w:rPr>
                <w:rFonts w:ascii="Aptos" w:hAnsi="Aptos"/>
                <w:b w:val="0"/>
                <w:color w:val="000000"/>
                <w:sz w:val="17"/>
              </w:rPr>
              <w:t>____________________________</w:t>
            </w:r>
          </w:p>
        </w:tc>
      </w:tr>
      <w:tr>
        <w:tc>
          <w:tcPr>
            <w:tcW w:type="dxa" w:w="1036"/>
            <w:shd w:fill="EAF1F8"/>
            <w:vAlign w:val="center"/>
            <w:tcMar>
              <w:top w:w="85" w:type="dxa"/>
              <w:start w:w="100" w:type="dxa"/>
              <w:bottom w:w="85" w:type="dxa"/>
              <w:end w:w="100" w:type="dxa"/>
            </w:tcMar>
          </w:tcPr>
          <w:p>
            <w:pPr>
              <w:spacing w:before="0" w:after="0" w:line="240" w:lineRule="auto"/>
            </w:pPr>
            <w:r>
              <w:rPr>
                <w:rFonts w:ascii="Aptos" w:hAnsi="Aptos"/>
                <w:b/>
                <w:color w:val="000000"/>
                <w:sz w:val="17"/>
              </w:rPr>
              <w:t>MEMBERS</w:t>
            </w:r>
          </w:p>
        </w:tc>
        <w:tc>
          <w:tcPr>
            <w:tcW w:type="dxa" w:w="8956"/>
            <w:gridSpan w:val="3"/>
            <w:shd w:fill="EAF1F8"/>
            <w:vAlign w:val="center"/>
            <w:tcMar>
              <w:top w:w="85" w:type="dxa"/>
              <w:start w:w="100" w:type="dxa"/>
              <w:bottom w:w="85" w:type="dxa"/>
              <w:end w:w="100" w:type="dxa"/>
            </w:tcMar>
          </w:tcPr>
          <w:p>
            <w:pPr>
              <w:spacing w:before="0" w:after="0" w:line="240" w:lineRule="auto"/>
            </w:pPr>
            <w:r>
              <w:rPr>
                <w:rFonts w:ascii="Aptos" w:hAnsi="Aptos"/>
                <w:b w:val="0"/>
                <w:color w:val="000000"/>
                <w:sz w:val="17"/>
              </w:rPr>
              <w:t>____________________________________________________________________________</w:t>
            </w:r>
          </w:p>
        </w:tc>
      </w:tr>
    </w:tbl>
    <w:p>
      <w:pPr>
        <w:pStyle w:val="Heading1"/>
        <w:keepNext/>
        <w:spacing w:before="140" w:after="60"/>
      </w:pPr>
      <w:r>
        <w:rPr>
          <w:rFonts w:ascii="Aptos" w:hAnsi="Aptos"/>
          <w:b/>
          <w:color w:val="000000"/>
          <w:sz w:val="24"/>
        </w:rPr>
        <w:t>Purpose and Team Decision</w:t>
      </w:r>
    </w:p>
    <w:p>
      <w:pPr>
        <w:keepLines w:val="0"/>
        <w:spacing w:before="0" w:after="90" w:line="254" w:lineRule="auto"/>
      </w:pPr>
      <w:r>
        <w:rPr>
          <w:rFonts w:ascii="Aptos" w:hAnsi="Aptos"/>
          <w:color w:val="000000"/>
          <w:sz w:val="20"/>
        </w:rPr>
        <w:t>This standard governs how our team evaluates independently developed specialist agents, selects agents for a shared system, and preserves evidence for the final project. We will accept an agent only when its behavior is traceable, comparable with other candidates, and compatible with the shared architecture. Passing a file-format check alone is not sufficient.</w:t>
      </w:r>
    </w:p>
    <w:p>
      <w:pPr>
        <w:pStyle w:val="Heading1"/>
        <w:keepNext/>
        <w:spacing w:before="140" w:after="60"/>
      </w:pPr>
      <w:r>
        <w:rPr>
          <w:rFonts w:ascii="Aptos" w:hAnsi="Aptos"/>
          <w:b/>
          <w:color w:val="000000"/>
          <w:sz w:val="24"/>
        </w:rPr>
        <w:t>Shared Architecture and Editable Scope</w:t>
      </w:r>
    </w:p>
    <w:p>
      <w:pPr>
        <w:pStyle w:val="ListBullet"/>
        <w:spacing w:after="50" w:line="245" w:lineRule="auto"/>
        <w:ind w:left="288" w:hanging="173"/>
      </w:pPr>
      <w:r>
        <w:rPr>
          <w:rFonts w:ascii="Aptos" w:hAnsi="Aptos"/>
          <w:b/>
          <w:color w:val="000000"/>
          <w:sz w:val="20"/>
        </w:rPr>
        <w:t xml:space="preserve">Frozen core  </w:t>
      </w:r>
      <w:r>
        <w:rPr>
          <w:rFonts w:ascii="Aptos" w:hAnsi="Aptos"/>
          <w:color w:val="000000"/>
          <w:sz w:val="20"/>
        </w:rPr>
        <w:t>The shared common instructions, input schema, and output schema are fixed comparison controls. A core change requires an explicit team decision, a new version, and retesting of every accepted agent.</w:t>
      </w:r>
    </w:p>
    <w:p>
      <w:pPr>
        <w:pStyle w:val="ListBullet"/>
        <w:spacing w:after="50" w:line="245" w:lineRule="auto"/>
        <w:ind w:left="288" w:hanging="173"/>
      </w:pPr>
      <w:r>
        <w:rPr>
          <w:rFonts w:ascii="Aptos" w:hAnsi="Aptos"/>
          <w:b/>
          <w:color w:val="000000"/>
          <w:sz w:val="20"/>
        </w:rPr>
        <w:t xml:space="preserve">Specialist layer  </w:t>
      </w:r>
      <w:r>
        <w:rPr>
          <w:rFonts w:ascii="Aptos" w:hAnsi="Aptos"/>
          <w:color w:val="000000"/>
          <w:sz w:val="20"/>
        </w:rPr>
        <w:t>Each owner may revise specialist instructions, cases, assets, responses, and records within the agent folder. Changes must not bypass the shared contract.</w:t>
      </w:r>
    </w:p>
    <w:p>
      <w:pPr>
        <w:pStyle w:val="ListBullet"/>
        <w:spacing w:after="50" w:line="245" w:lineRule="auto"/>
        <w:ind w:left="288" w:hanging="173"/>
      </w:pPr>
      <w:r>
        <w:rPr>
          <w:rFonts w:ascii="Aptos" w:hAnsi="Aptos"/>
          <w:b/>
          <w:color w:val="000000"/>
          <w:sz w:val="20"/>
        </w:rPr>
        <w:t xml:space="preserve">Evidence layer  </w:t>
      </w:r>
      <w:r>
        <w:rPr>
          <w:rFonts w:ascii="Aptos" w:hAnsi="Aptos"/>
          <w:color w:val="000000"/>
          <w:sz w:val="20"/>
        </w:rPr>
        <w:t>Every candidate must preserve its baseline, first run, weakness or failure, revision, retest, validation result, limitation, owner, and version.</w:t>
      </w:r>
    </w:p>
    <w:p>
      <w:pPr>
        <w:pStyle w:val="Heading1"/>
        <w:keepNext/>
        <w:spacing w:before="140" w:after="60"/>
      </w:pPr>
      <w:r>
        <w:rPr>
          <w:rFonts w:ascii="Aptos" w:hAnsi="Aptos"/>
          <w:b/>
          <w:color w:val="000000"/>
          <w:sz w:val="24"/>
        </w:rPr>
        <w:t>Agent Acceptance Standard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5112"/>
        <w:gridCol w:w="2880"/>
      </w:tblGrid>
      <w:tr>
        <w:trPr>
          <w:tblHeader w:val="true"/>
        </w:trPr>
        <w:tc>
          <w:tcPr>
            <w:tcW w:type="dxa" w:w="1800"/>
            <w:shd w:fill="17365D"/>
            <w:vAlign w:val="center"/>
            <w:tcMar>
              <w:top w:w="85" w:type="dxa"/>
              <w:start w:w="100" w:type="dxa"/>
              <w:bottom w:w="85" w:type="dxa"/>
              <w:end w:w="100" w:type="dxa"/>
            </w:tcMar>
          </w:tcPr>
          <w:p>
            <w:pPr>
              <w:spacing w:before="0" w:after="0" w:line="240" w:lineRule="auto"/>
            </w:pPr>
            <w:r>
              <w:rPr>
                <w:rFonts w:ascii="Aptos" w:hAnsi="Aptos"/>
                <w:b/>
                <w:color w:val="FFFFFF"/>
                <w:sz w:val="17"/>
              </w:rPr>
              <w:t>Criterion</w:t>
            </w:r>
          </w:p>
        </w:tc>
        <w:tc>
          <w:tcPr>
            <w:tcW w:type="dxa" w:w="5112"/>
            <w:shd w:fill="17365D"/>
            <w:vAlign w:val="center"/>
            <w:tcMar>
              <w:top w:w="85" w:type="dxa"/>
              <w:start w:w="100" w:type="dxa"/>
              <w:bottom w:w="85" w:type="dxa"/>
              <w:end w:w="100" w:type="dxa"/>
            </w:tcMar>
          </w:tcPr>
          <w:p>
            <w:pPr>
              <w:spacing w:before="0" w:after="0" w:line="240" w:lineRule="auto"/>
            </w:pPr>
            <w:r>
              <w:rPr>
                <w:rFonts w:ascii="Aptos" w:hAnsi="Aptos"/>
                <w:b/>
                <w:color w:val="FFFFFF"/>
                <w:sz w:val="17"/>
              </w:rPr>
              <w:t>Required evidence</w:t>
            </w:r>
          </w:p>
        </w:tc>
        <w:tc>
          <w:tcPr>
            <w:tcW w:type="dxa" w:w="2880"/>
            <w:shd w:fill="17365D"/>
            <w:vAlign w:val="center"/>
            <w:tcMar>
              <w:top w:w="85" w:type="dxa"/>
              <w:start w:w="100" w:type="dxa"/>
              <w:bottom w:w="85" w:type="dxa"/>
              <w:end w:w="100" w:type="dxa"/>
            </w:tcMar>
          </w:tcPr>
          <w:p>
            <w:pPr>
              <w:spacing w:before="0" w:after="0" w:line="240" w:lineRule="auto"/>
            </w:pPr>
            <w:r>
              <w:rPr>
                <w:rFonts w:ascii="Aptos" w:hAnsi="Aptos"/>
                <w:b/>
                <w:color w:val="FFFFFF"/>
                <w:sz w:val="17"/>
              </w:rPr>
              <w:t>Acceptance test</w:t>
            </w:r>
          </w:p>
        </w:tc>
      </w:tr>
      <w:tr>
        <w:tc>
          <w:tcPr>
            <w:tcW w:type="dxa" w:w="1800"/>
            <w:vAlign w:val="center"/>
            <w:tcMar>
              <w:top w:w="85" w:type="dxa"/>
              <w:start w:w="100" w:type="dxa"/>
              <w:bottom w:w="85" w:type="dxa"/>
              <w:end w:w="100" w:type="dxa"/>
            </w:tcMar>
          </w:tcPr>
          <w:p>
            <w:pPr>
              <w:spacing w:before="0" w:after="0" w:line="240" w:lineRule="auto"/>
            </w:pPr>
            <w:r>
              <w:rPr>
                <w:rFonts w:ascii="Aptos" w:hAnsi="Aptos"/>
                <w:b w:val="0"/>
                <w:color w:val="000000"/>
                <w:sz w:val="17"/>
              </w:rPr>
              <w:t>Contract</w:t>
            </w:r>
          </w:p>
        </w:tc>
        <w:tc>
          <w:tcPr>
            <w:tcW w:type="dxa" w:w="5112"/>
            <w:vAlign w:val="center"/>
            <w:tcMar>
              <w:top w:w="85" w:type="dxa"/>
              <w:start w:w="100" w:type="dxa"/>
              <w:bottom w:w="85" w:type="dxa"/>
              <w:end w:w="100" w:type="dxa"/>
            </w:tcMar>
          </w:tcPr>
          <w:p>
            <w:pPr>
              <w:spacing w:before="0" w:after="0" w:line="240" w:lineRule="auto"/>
            </w:pPr>
            <w:r>
              <w:rPr>
                <w:rFonts w:ascii="Aptos" w:hAnsi="Aptos"/>
                <w:b w:val="0"/>
                <w:color w:val="000000"/>
                <w:sz w:val="17"/>
              </w:rPr>
              <w:t>Valid input and output under the frozen shared schema</w:t>
            </w:r>
          </w:p>
        </w:tc>
        <w:tc>
          <w:tcPr>
            <w:tcW w:type="dxa" w:w="2880"/>
            <w:vAlign w:val="center"/>
            <w:tcMar>
              <w:top w:w="85" w:type="dxa"/>
              <w:start w:w="100" w:type="dxa"/>
              <w:bottom w:w="85" w:type="dxa"/>
              <w:end w:w="100" w:type="dxa"/>
            </w:tcMar>
          </w:tcPr>
          <w:p>
            <w:pPr>
              <w:spacing w:before="0" w:after="0" w:line="240" w:lineRule="auto"/>
            </w:pPr>
            <w:r>
              <w:rPr>
                <w:rFonts w:ascii="Aptos" w:hAnsi="Aptos"/>
                <w:b w:val="0"/>
                <w:color w:val="000000"/>
                <w:sz w:val="17"/>
              </w:rPr>
              <w:t>Validator passes and required fields are meaningful</w:t>
            </w:r>
          </w:p>
        </w:tc>
      </w:tr>
      <w:tr>
        <w:tc>
          <w:tcPr>
            <w:tcW w:type="dxa" w:w="1800"/>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Accuracy</w:t>
            </w:r>
          </w:p>
        </w:tc>
        <w:tc>
          <w:tcPr>
            <w:tcW w:type="dxa" w:w="5112"/>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Claims traced to source data or supplied course evidence</w:t>
            </w:r>
          </w:p>
        </w:tc>
        <w:tc>
          <w:tcPr>
            <w:tcW w:type="dxa" w:w="2880"/>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Independent recomputation or source check agrees</w:t>
            </w:r>
          </w:p>
        </w:tc>
      </w:tr>
      <w:tr>
        <w:tc>
          <w:tcPr>
            <w:tcW w:type="dxa" w:w="1800"/>
            <w:vAlign w:val="center"/>
            <w:tcMar>
              <w:top w:w="85" w:type="dxa"/>
              <w:start w:w="100" w:type="dxa"/>
              <w:bottom w:w="85" w:type="dxa"/>
              <w:end w:w="100" w:type="dxa"/>
            </w:tcMar>
          </w:tcPr>
          <w:p>
            <w:pPr>
              <w:spacing w:before="0" w:after="0" w:line="240" w:lineRule="auto"/>
            </w:pPr>
            <w:r>
              <w:rPr>
                <w:rFonts w:ascii="Aptos" w:hAnsi="Aptos"/>
                <w:b w:val="0"/>
                <w:color w:val="000000"/>
                <w:sz w:val="17"/>
              </w:rPr>
              <w:t>Behavior</w:t>
            </w:r>
          </w:p>
        </w:tc>
        <w:tc>
          <w:tcPr>
            <w:tcW w:type="dxa" w:w="5112"/>
            <w:vAlign w:val="center"/>
            <w:tcMar>
              <w:top w:w="85" w:type="dxa"/>
              <w:start w:w="100" w:type="dxa"/>
              <w:bottom w:w="85" w:type="dxa"/>
              <w:end w:w="100" w:type="dxa"/>
            </w:tcMar>
          </w:tcPr>
          <w:p>
            <w:pPr>
              <w:spacing w:before="0" w:after="0" w:line="240" w:lineRule="auto"/>
            </w:pPr>
            <w:r>
              <w:rPr>
                <w:rFonts w:ascii="Aptos" w:hAnsi="Aptos"/>
                <w:b w:val="0"/>
                <w:color w:val="000000"/>
                <w:sz w:val="17"/>
              </w:rPr>
              <w:t>Primary case plus a contrast or transfer case when available</w:t>
            </w:r>
          </w:p>
        </w:tc>
        <w:tc>
          <w:tcPr>
            <w:tcW w:type="dxa" w:w="2880"/>
            <w:vAlign w:val="center"/>
            <w:tcMar>
              <w:top w:w="85" w:type="dxa"/>
              <w:start w:w="100" w:type="dxa"/>
              <w:bottom w:w="85" w:type="dxa"/>
              <w:end w:w="100" w:type="dxa"/>
            </w:tcMar>
          </w:tcPr>
          <w:p>
            <w:pPr>
              <w:spacing w:before="0" w:after="0" w:line="240" w:lineRule="auto"/>
            </w:pPr>
            <w:r>
              <w:rPr>
                <w:rFonts w:ascii="Aptos" w:hAnsi="Aptos"/>
                <w:b w:val="0"/>
                <w:color w:val="000000"/>
                <w:sz w:val="17"/>
              </w:rPr>
              <w:t>Output remains useful without hiding a material limitation</w:t>
            </w:r>
          </w:p>
        </w:tc>
      </w:tr>
      <w:tr>
        <w:tc>
          <w:tcPr>
            <w:tcW w:type="dxa" w:w="1800"/>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Learning</w:t>
            </w:r>
          </w:p>
        </w:tc>
        <w:tc>
          <w:tcPr>
            <w:tcW w:type="dxa" w:w="5112"/>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A retained failure or weakness, targeted revision, and retest</w:t>
            </w:r>
          </w:p>
        </w:tc>
        <w:tc>
          <w:tcPr>
            <w:tcW w:type="dxa" w:w="2880"/>
            <w:shd w:fill="F4F4F4"/>
            <w:vAlign w:val="center"/>
            <w:tcMar>
              <w:top w:w="85" w:type="dxa"/>
              <w:start w:w="100" w:type="dxa"/>
              <w:bottom w:w="85" w:type="dxa"/>
              <w:end w:w="100" w:type="dxa"/>
            </w:tcMar>
          </w:tcPr>
          <w:p>
            <w:pPr>
              <w:spacing w:before="0" w:after="0" w:line="240" w:lineRule="auto"/>
            </w:pPr>
            <w:r>
              <w:rPr>
                <w:rFonts w:ascii="Aptos" w:hAnsi="Aptos"/>
                <w:b w:val="0"/>
                <w:color w:val="000000"/>
                <w:sz w:val="17"/>
              </w:rPr>
              <w:t>Revision addresses the diagnosed problem without breaking the core</w:t>
            </w:r>
          </w:p>
        </w:tc>
      </w:tr>
      <w:tr>
        <w:tc>
          <w:tcPr>
            <w:tcW w:type="dxa" w:w="1800"/>
            <w:vAlign w:val="center"/>
            <w:tcMar>
              <w:top w:w="85" w:type="dxa"/>
              <w:start w:w="100" w:type="dxa"/>
              <w:bottom w:w="85" w:type="dxa"/>
              <w:end w:w="100" w:type="dxa"/>
            </w:tcMar>
          </w:tcPr>
          <w:p>
            <w:pPr>
              <w:spacing w:before="0" w:after="0" w:line="240" w:lineRule="auto"/>
            </w:pPr>
            <w:r>
              <w:rPr>
                <w:rFonts w:ascii="Aptos" w:hAnsi="Aptos"/>
                <w:b w:val="0"/>
                <w:color w:val="000000"/>
                <w:sz w:val="17"/>
              </w:rPr>
              <w:t>Ownership</w:t>
            </w:r>
          </w:p>
        </w:tc>
        <w:tc>
          <w:tcPr>
            <w:tcW w:type="dxa" w:w="5112"/>
            <w:vAlign w:val="center"/>
            <w:tcMar>
              <w:top w:w="85" w:type="dxa"/>
              <w:start w:w="100" w:type="dxa"/>
              <w:bottom w:w="85" w:type="dxa"/>
              <w:end w:w="100" w:type="dxa"/>
            </w:tcMar>
          </w:tcPr>
          <w:p>
            <w:pPr>
              <w:spacing w:before="0" w:after="0" w:line="240" w:lineRule="auto"/>
            </w:pPr>
            <w:r>
              <w:rPr>
                <w:rFonts w:ascii="Aptos" w:hAnsi="Aptos"/>
                <w:b w:val="0"/>
                <w:color w:val="000000"/>
                <w:sz w:val="17"/>
              </w:rPr>
              <w:t>Named owner, current version, contribution record, and evidence path</w:t>
            </w:r>
          </w:p>
        </w:tc>
        <w:tc>
          <w:tcPr>
            <w:tcW w:type="dxa" w:w="2880"/>
            <w:vAlign w:val="center"/>
            <w:tcMar>
              <w:top w:w="85" w:type="dxa"/>
              <w:start w:w="100" w:type="dxa"/>
              <w:bottom w:w="85" w:type="dxa"/>
              <w:end w:w="100" w:type="dxa"/>
            </w:tcMar>
          </w:tcPr>
          <w:p>
            <w:pPr>
              <w:spacing w:before="0" w:after="0" w:line="240" w:lineRule="auto"/>
            </w:pPr>
            <w:r>
              <w:rPr>
                <w:rFonts w:ascii="Aptos" w:hAnsi="Aptos"/>
                <w:b w:val="0"/>
                <w:color w:val="000000"/>
                <w:sz w:val="17"/>
              </w:rPr>
              <w:t>Another member can locate and reproduce the review</w:t>
            </w:r>
          </w:p>
        </w:tc>
      </w:tr>
    </w:tbl>
    <w:p>
      <w:pPr>
        <w:pStyle w:val="Heading1"/>
        <w:keepNext/>
        <w:spacing w:before="120" w:after="60"/>
      </w:pPr>
      <w:r>
        <w:rPr>
          <w:rFonts w:ascii="Aptos" w:hAnsi="Aptos"/>
          <w:b/>
          <w:color w:val="000000"/>
          <w:sz w:val="24"/>
        </w:rPr>
        <w:t>Records and Verification</w:t>
      </w:r>
    </w:p>
    <w:p>
      <w:pPr>
        <w:spacing w:before="0" w:after="60" w:line="250" w:lineRule="auto"/>
      </w:pPr>
      <w:r>
        <w:rPr>
          <w:rFonts w:ascii="Aptos" w:hAnsi="Aptos"/>
          <w:b/>
          <w:color w:val="000000"/>
          <w:sz w:val="20"/>
        </w:rPr>
        <w:t xml:space="preserve">Required records  </w:t>
      </w:r>
      <w:r>
        <w:rPr>
          <w:rFonts w:ascii="Aptos" w:hAnsi="Aptos"/>
          <w:color w:val="000000"/>
          <w:sz w:val="20"/>
        </w:rPr>
        <w:t>Maintain the inventory, decision log, version and contribution record, evidence register, test and failure log, integration issue log, workflow evidence, and final-project handoff. Preserve earlier versions after material changes.</w:t>
      </w:r>
    </w:p>
    <w:p>
      <w:pPr>
        <w:spacing w:before="0" w:after="40" w:line="250" w:lineRule="auto"/>
      </w:pPr>
      <w:r>
        <w:rPr>
          <w:rFonts w:ascii="Aptos" w:hAnsi="Aptos"/>
          <w:b/>
          <w:color w:val="000000"/>
          <w:sz w:val="20"/>
        </w:rPr>
        <w:t xml:space="preserve">AI and contribution rule  </w:t>
      </w:r>
      <w:r>
        <w:rPr>
          <w:rFonts w:ascii="Aptos" w:hAnsi="Aptos"/>
          <w:color w:val="000000"/>
          <w:sz w:val="20"/>
        </w:rPr>
        <w:t>AI may assist with instructions, code, charts, explanations, and records, but an owner must verify claims against source data or authoritative course materials. Credit is attached to observable design, testing, verification, diagnosis, revision, integration, or review work.</w:t>
      </w:r>
    </w:p>
    <w:p>
      <w:r>
        <w:br w:type="page"/>
      </w:r>
    </w:p>
    <w:p>
      <w:pPr>
        <w:pStyle w:val="Heading1"/>
        <w:keepNext/>
        <w:spacing w:before="0" w:after="60"/>
      </w:pPr>
      <w:r>
        <w:rPr>
          <w:rFonts w:ascii="Aptos" w:hAnsi="Aptos"/>
          <w:b/>
          <w:color w:val="000000"/>
          <w:sz w:val="24"/>
        </w:rPr>
        <w:t>Common Comparison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8136"/>
      </w:tblGrid>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1  Register</w:t>
            </w:r>
          </w:p>
        </w:tc>
        <w:tc>
          <w:tcPr>
            <w:tcW w:type="dxa" w:w="8136"/>
            <w:vAlign w:val="center"/>
            <w:tcMar>
              <w:top w:w="80" w:type="dxa"/>
              <w:start w:w="100" w:type="dxa"/>
              <w:bottom w:w="80" w:type="dxa"/>
              <w:end w:w="100" w:type="dxa"/>
            </w:tcMar>
          </w:tcPr>
          <w:p>
            <w:pPr>
              <w:spacing w:after="0" w:line="240" w:lineRule="auto"/>
            </w:pPr>
            <w:r>
              <w:rPr>
                <w:rFonts w:ascii="Aptos" w:hAnsi="Aptos"/>
                <w:b w:val="0"/>
                <w:color w:val="000000"/>
                <w:sz w:val="17"/>
              </w:rPr>
              <w:t>Add the candidate to the team inventory with owner, purpose, version, tests, and evidence path.</w:t>
            </w:r>
          </w:p>
        </w:tc>
      </w:tr>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2  Freeze</w:t>
            </w:r>
          </w:p>
        </w:tc>
        <w:tc>
          <w:tcPr>
            <w:tcW w:type="dxa" w:w="8136"/>
            <w:shd w:fill="F4F4F4"/>
            <w:vAlign w:val="center"/>
            <w:tcMar>
              <w:top w:w="80" w:type="dxa"/>
              <w:start w:w="100" w:type="dxa"/>
              <w:bottom w:w="80" w:type="dxa"/>
              <w:end w:w="100" w:type="dxa"/>
            </w:tcMar>
          </w:tcPr>
          <w:p>
            <w:pPr>
              <w:spacing w:after="0" w:line="240" w:lineRule="auto"/>
            </w:pPr>
            <w:r>
              <w:rPr>
                <w:rFonts w:ascii="Aptos" w:hAnsi="Aptos"/>
                <w:b w:val="0"/>
                <w:color w:val="000000"/>
                <w:sz w:val="17"/>
              </w:rPr>
              <w:t>Run the frozen-core check and record any mismatch before evaluating the output.</w:t>
            </w:r>
          </w:p>
        </w:tc>
      </w:tr>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3  Test</w:t>
            </w:r>
          </w:p>
        </w:tc>
        <w:tc>
          <w:tcPr>
            <w:tcW w:type="dxa" w:w="8136"/>
            <w:vAlign w:val="center"/>
            <w:tcMar>
              <w:top w:w="80" w:type="dxa"/>
              <w:start w:w="100" w:type="dxa"/>
              <w:bottom w:w="80" w:type="dxa"/>
              <w:end w:w="100" w:type="dxa"/>
            </w:tcMar>
          </w:tcPr>
          <w:p>
            <w:pPr>
              <w:spacing w:after="0" w:line="240" w:lineRule="auto"/>
            </w:pPr>
            <w:r>
              <w:rPr>
                <w:rFonts w:ascii="Aptos" w:hAnsi="Aptos"/>
                <w:b w:val="0"/>
                <w:color w:val="000000"/>
                <w:sz w:val="17"/>
              </w:rPr>
              <w:t>Run the same primary question and agreed contrast or transfer test. Preserve inputs and raw outputs.</w:t>
            </w:r>
          </w:p>
        </w:tc>
      </w:tr>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4  Review</w:t>
            </w:r>
          </w:p>
        </w:tc>
        <w:tc>
          <w:tcPr>
            <w:tcW w:type="dxa" w:w="8136"/>
            <w:shd w:fill="F4F4F4"/>
            <w:vAlign w:val="center"/>
            <w:tcMar>
              <w:top w:w="80" w:type="dxa"/>
              <w:start w:w="100" w:type="dxa"/>
              <w:bottom w:w="80" w:type="dxa"/>
              <w:end w:w="100" w:type="dxa"/>
            </w:tcMar>
          </w:tcPr>
          <w:p>
            <w:pPr>
              <w:spacing w:after="0" w:line="240" w:lineRule="auto"/>
            </w:pPr>
            <w:r>
              <w:rPr>
                <w:rFonts w:ascii="Aptos" w:hAnsi="Aptos"/>
                <w:b w:val="0"/>
                <w:color w:val="000000"/>
                <w:sz w:val="17"/>
              </w:rPr>
              <w:t>Check schema compliance, factual accuracy, decision usefulness, limitations, and consistency with course principles.</w:t>
            </w:r>
          </w:p>
        </w:tc>
      </w:tr>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5  Revise</w:t>
            </w:r>
          </w:p>
        </w:tc>
        <w:tc>
          <w:tcPr>
            <w:tcW w:type="dxa" w:w="8136"/>
            <w:vAlign w:val="center"/>
            <w:tcMar>
              <w:top w:w="80" w:type="dxa"/>
              <w:start w:w="100" w:type="dxa"/>
              <w:bottom w:w="80" w:type="dxa"/>
              <w:end w:w="100" w:type="dxa"/>
            </w:tcMar>
          </w:tcPr>
          <w:p>
            <w:pPr>
              <w:spacing w:after="0" w:line="240" w:lineRule="auto"/>
            </w:pPr>
            <w:r>
              <w:rPr>
                <w:rFonts w:ascii="Aptos" w:hAnsi="Aptos"/>
                <w:b w:val="0"/>
                <w:color w:val="000000"/>
                <w:sz w:val="17"/>
              </w:rPr>
              <w:t>Log the most consequential failure or weakness, change the specialist layer, and repeat the affected tests.</w:t>
            </w:r>
          </w:p>
        </w:tc>
      </w:tr>
      <w:tr>
        <w:tc>
          <w:tcPr>
            <w:tcW w:type="dxa" w:w="1655"/>
            <w:shd w:fill="17365D"/>
            <w:vAlign w:val="center"/>
            <w:tcMar>
              <w:top w:w="80" w:type="dxa"/>
              <w:start w:w="100" w:type="dxa"/>
              <w:bottom w:w="80" w:type="dxa"/>
              <w:end w:w="100" w:type="dxa"/>
            </w:tcMar>
          </w:tcPr>
          <w:p>
            <w:pPr>
              <w:spacing w:after="0" w:line="240" w:lineRule="auto"/>
            </w:pPr>
            <w:r>
              <w:rPr>
                <w:rFonts w:ascii="Aptos" w:hAnsi="Aptos"/>
                <w:b/>
                <w:color w:val="FFFFFF"/>
                <w:sz w:val="17"/>
              </w:rPr>
              <w:t>6  Decide</w:t>
            </w:r>
          </w:p>
        </w:tc>
        <w:tc>
          <w:tcPr>
            <w:tcW w:type="dxa" w:w="8136"/>
            <w:shd w:fill="F4F4F4"/>
            <w:vAlign w:val="center"/>
            <w:tcMar>
              <w:top w:w="80" w:type="dxa"/>
              <w:start w:w="100" w:type="dxa"/>
              <w:bottom w:w="80" w:type="dxa"/>
              <w:end w:w="100" w:type="dxa"/>
            </w:tcMar>
          </w:tcPr>
          <w:p>
            <w:pPr>
              <w:spacing w:after="0" w:line="240" w:lineRule="auto"/>
            </w:pPr>
            <w:r>
              <w:rPr>
                <w:rFonts w:ascii="Aptos" w:hAnsi="Aptos"/>
                <w:b w:val="0"/>
                <w:color w:val="000000"/>
                <w:sz w:val="17"/>
              </w:rPr>
              <w:t>Mark the agent Accepted, Revise, or Retired. Record the basis, dissent, unresolved risk, owner, and next action.</w:t>
            </w:r>
          </w:p>
        </w:tc>
      </w:tr>
    </w:tbl>
    <w:p>
      <w:pPr>
        <w:pStyle w:val="Heading1"/>
        <w:keepNext/>
        <w:spacing w:before="140" w:after="60"/>
      </w:pPr>
      <w:r>
        <w:rPr>
          <w:rFonts w:ascii="Aptos" w:hAnsi="Aptos"/>
          <w:b/>
          <w:color w:val="000000"/>
          <w:sz w:val="24"/>
        </w:rPr>
        <w:t>Integration Decision and Preserved Dissent</w:t>
      </w:r>
    </w:p>
    <w:p>
      <w:pPr>
        <w:keepLines w:val="0"/>
        <w:spacing w:before="0" w:after="90" w:line="254" w:lineRule="auto"/>
      </w:pPr>
      <w:r>
        <w:rPr>
          <w:rFonts w:ascii="Aptos" w:hAnsi="Aptos"/>
          <w:color w:val="000000"/>
          <w:sz w:val="20"/>
        </w:rPr>
        <w:t>Our initial system will use the frozen core as the interface between specialist agents. An accepted specialist enters the shared inventory only after the comparison workflow is complete. If an agent cannot be exercised during the workshop, we will document the blocker, owner, and next test date rather than treating it as accepted.</w:t>
      </w:r>
    </w:p>
    <w:p>
      <w:pPr>
        <w:spacing w:before="0" w:after="80" w:line="250" w:lineRule="auto"/>
      </w:pPr>
      <w:r>
        <w:rPr>
          <w:rFonts w:ascii="Aptos" w:hAnsi="Aptos"/>
          <w:b/>
          <w:color w:val="000000"/>
          <w:sz w:val="20"/>
        </w:rPr>
        <w:t xml:space="preserve">Team decision  </w:t>
      </w:r>
      <w:r>
        <w:rPr>
          <w:rFonts w:ascii="Aptos" w:hAnsi="Aptos"/>
          <w:color w:val="000000"/>
          <w:sz w:val="20"/>
        </w:rPr>
        <w:t>[Confirm in workshop] Adopt the acceptance standard and workflow above, with any agreed edits recorded in the decision log.</w:t>
      </w:r>
    </w:p>
    <w:p>
      <w:pPr>
        <w:spacing w:before="0" w:after="80" w:line="250" w:lineRule="auto"/>
      </w:pPr>
      <w:r>
        <w:rPr>
          <w:rFonts w:ascii="Aptos" w:hAnsi="Aptos"/>
          <w:b/>
          <w:color w:val="000000"/>
          <w:sz w:val="20"/>
        </w:rPr>
        <w:t xml:space="preserve">Dissent or alternative  </w:t>
      </w:r>
      <w:r>
        <w:rPr>
          <w:rFonts w:ascii="Aptos" w:hAnsi="Aptos"/>
          <w:color w:val="000000"/>
          <w:sz w:val="20"/>
        </w:rPr>
        <w:t>________________________________________________________________________________</w:t>
      </w:r>
    </w:p>
    <w:p>
      <w:pPr>
        <w:spacing w:before="0" w:after="80" w:line="250" w:lineRule="auto"/>
      </w:pPr>
      <w:r>
        <w:rPr>
          <w:rFonts w:ascii="Aptos" w:hAnsi="Aptos"/>
          <w:b/>
          <w:color w:val="000000"/>
          <w:sz w:val="20"/>
        </w:rPr>
        <w:t xml:space="preserve">Unresolved issue  </w:t>
      </w:r>
      <w:r>
        <w:rPr>
          <w:rFonts w:ascii="Aptos" w:hAnsi="Aptos"/>
          <w:color w:val="000000"/>
          <w:sz w:val="20"/>
        </w:rPr>
        <w:t>Confirm the shared platform, repository location, transfer-test convention, and exact submission method with the instructor.</w:t>
      </w:r>
    </w:p>
    <w:p>
      <w:pPr>
        <w:pStyle w:val="Heading1"/>
        <w:keepNext/>
        <w:spacing w:before="140" w:after="60"/>
      </w:pPr>
      <w:r>
        <w:rPr>
          <w:rFonts w:ascii="Aptos" w:hAnsi="Aptos"/>
          <w:b/>
          <w:color w:val="000000"/>
          <w:sz w:val="24"/>
        </w:rPr>
        <w:t>Final Project Handoff</w:t>
      </w:r>
    </w:p>
    <w:p>
      <w:pPr>
        <w:keepLines w:val="0"/>
        <w:spacing w:before="0" w:after="90" w:line="254" w:lineRule="auto"/>
      </w:pPr>
      <w:r>
        <w:rPr>
          <w:rFonts w:ascii="Aptos" w:hAnsi="Aptos"/>
          <w:color w:val="000000"/>
          <w:sz w:val="20"/>
        </w:rPr>
        <w:t>The final-project package will carry forward accepted agents, the frozen contract, test cases, source register, decision history, and unresolved risks. Any later core change triggers a new shared version and regression test of all accepted agents. Retired candidates remain in the decision history so the team can explain why they were excluded.</w:t>
      </w:r>
    </w:p>
    <w:p>
      <w:pPr>
        <w:pStyle w:val="Heading1"/>
        <w:keepNext/>
        <w:spacing w:before="140" w:after="60"/>
      </w:pPr>
      <w:r>
        <w:rPr>
          <w:rFonts w:ascii="Aptos" w:hAnsi="Aptos"/>
          <w:b/>
          <w:color w:val="000000"/>
          <w:sz w:val="24"/>
        </w:rPr>
        <w:t>Initialized Workspace Status</w:t>
      </w:r>
    </w:p>
    <w:p>
      <w:pPr>
        <w:pStyle w:val="ListBullet"/>
        <w:spacing w:after="50" w:line="245" w:lineRule="auto"/>
        <w:ind w:left="288" w:hanging="173"/>
      </w:pPr>
      <w:r>
        <w:rPr>
          <w:rFonts w:ascii="Aptos" w:hAnsi="Aptos"/>
          <w:b/>
          <w:color w:val="000000"/>
          <w:sz w:val="20"/>
        </w:rPr>
        <w:t xml:space="preserve">Inventory  </w:t>
      </w:r>
      <w:r>
        <w:rPr>
          <w:rFonts w:ascii="Aptos" w:hAnsi="Aptos"/>
          <w:color w:val="000000"/>
          <w:sz w:val="20"/>
        </w:rPr>
        <w:t>The shared inventory is initialized with the CYF Chart Improvement Agent as a candidate; remaining member agents must be added and compared.</w:t>
      </w:r>
    </w:p>
    <w:p>
      <w:pPr>
        <w:pStyle w:val="ListBullet"/>
        <w:spacing w:after="50" w:line="245" w:lineRule="auto"/>
        <w:ind w:left="288" w:hanging="173"/>
      </w:pPr>
      <w:r>
        <w:rPr>
          <w:rFonts w:ascii="Aptos" w:hAnsi="Aptos"/>
          <w:b/>
          <w:color w:val="000000"/>
          <w:sz w:val="20"/>
        </w:rPr>
        <w:t xml:space="preserve">Exercised evidence  </w:t>
      </w:r>
      <w:r>
        <w:rPr>
          <w:rFonts w:ascii="Aptos" w:hAnsi="Aptos"/>
          <w:color w:val="000000"/>
          <w:sz w:val="20"/>
        </w:rPr>
        <w:t>One complete baseline, first-run, revision, retest, validation, and frozen-core evidence trail is preserved in the supporting-evidence folder.</w:t>
      </w:r>
    </w:p>
    <w:p>
      <w:pPr>
        <w:pStyle w:val="ListBullet"/>
        <w:spacing w:after="50" w:line="245" w:lineRule="auto"/>
        <w:ind w:left="288" w:hanging="173"/>
      </w:pPr>
      <w:r>
        <w:rPr>
          <w:rFonts w:ascii="Aptos" w:hAnsi="Aptos"/>
          <w:b/>
          <w:color w:val="000000"/>
          <w:sz w:val="20"/>
        </w:rPr>
        <w:t xml:space="preserve">Open handoff  </w:t>
      </w:r>
      <w:r>
        <w:rPr>
          <w:rFonts w:ascii="Aptos" w:hAnsi="Aptos"/>
          <w:color w:val="000000"/>
          <w:sz w:val="20"/>
        </w:rPr>
        <w:t>The decision log, integration issue log, contribution record, evidence register, and final-project handoff are initialized for completion during the workshop.</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112"/>
        <w:gridCol w:w="2448"/>
      </w:tblGrid>
      <w:tr>
        <w:tc>
          <w:tcPr>
            <w:tcW w:type="dxa" w:w="2232"/>
            <w:shd w:fill="EAF1F8"/>
            <w:vAlign w:val="center"/>
            <w:tcMar>
              <w:top w:w="85" w:type="dxa"/>
              <w:start w:w="100" w:type="dxa"/>
              <w:bottom w:w="85" w:type="dxa"/>
              <w:end w:w="100" w:type="dxa"/>
            </w:tcMar>
          </w:tcPr>
          <w:p>
            <w:pPr>
              <w:spacing w:before="0" w:after="0" w:line="240" w:lineRule="auto"/>
            </w:pPr>
            <w:r>
              <w:rPr>
                <w:rFonts w:ascii="Aptos" w:hAnsi="Aptos"/>
                <w:b/>
                <w:color w:val="000000"/>
                <w:sz w:val="17"/>
              </w:rPr>
              <w:t>TEAM CONFIRMATION</w:t>
            </w:r>
          </w:p>
        </w:tc>
        <w:tc>
          <w:tcPr>
            <w:tcW w:type="dxa" w:w="5112"/>
            <w:vAlign w:val="center"/>
            <w:tcMar>
              <w:top w:w="85" w:type="dxa"/>
              <w:start w:w="100" w:type="dxa"/>
              <w:bottom w:w="85" w:type="dxa"/>
              <w:end w:w="100" w:type="dxa"/>
            </w:tcMar>
          </w:tcPr>
          <w:p>
            <w:pPr>
              <w:spacing w:before="0" w:after="0" w:line="240" w:lineRule="auto"/>
            </w:pPr>
            <w:r>
              <w:rPr>
                <w:rFonts w:ascii="Aptos" w:hAnsi="Aptos"/>
                <w:b w:val="0"/>
                <w:color w:val="000000"/>
                <w:sz w:val="17"/>
              </w:rPr>
              <w:t>□ Adopted   □ Revised</w:t>
            </w:r>
          </w:p>
        </w:tc>
        <w:tc>
          <w:tcPr>
            <w:tcW w:type="dxa" w:w="2448"/>
            <w:vAlign w:val="center"/>
            <w:tcMar>
              <w:top w:w="85" w:type="dxa"/>
              <w:start w:w="100" w:type="dxa"/>
              <w:bottom w:w="85" w:type="dxa"/>
              <w:end w:w="100" w:type="dxa"/>
            </w:tcMar>
          </w:tcPr>
          <w:p>
            <w:pPr>
              <w:spacing w:before="0" w:after="0" w:line="240" w:lineRule="auto"/>
            </w:pPr>
            <w:r>
              <w:rPr>
                <w:rFonts w:ascii="Aptos" w:hAnsi="Aptos"/>
                <w:b w:val="0"/>
                <w:color w:val="000000"/>
                <w:sz w:val="17"/>
              </w:rPr>
              <w:t>Date  __________________</w:t>
            </w:r>
          </w:p>
        </w:tc>
      </w:tr>
    </w:tbl>
    <w:sectPr w:rsidR="00FC693F" w:rsidRPr="0006063C" w:rsidSect="00034616">
      <w:footerReference w:type="default" r:id="rId9"/>
      <w:footerReference w:type="even" r:id="rId10"/>
      <w:pgSz w:w="12240" w:h="15840"/>
      <w:pgMar w:top="763" w:right="965" w:bottom="749"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595959"/>
        <w:sz w:val="16"/>
      </w:rPr>
      <w:t>Team Workshop 2  |  Team Agent Design and Integration Standard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595959"/>
        <w:sz w:val="16"/>
      </w:rPr>
      <w:t>Team Workshop 2  |  Team Agent Design and Integration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Agent Design and Integration Standard</dc:title>
  <dc:subject>Team Workshop 2</dc:subject>
  <dc:creator>python-docx</dc:creator>
  <cp:keywords>agentic AI, agent design, integration, workflow evidence</cp:keywords>
  <dc:description>generated by python-docx</dc:description>
  <cp:lastModifiedBy/>
  <cp:revision>1</cp:revision>
  <dcterms:created xsi:type="dcterms:W3CDTF">2013-12-23T23:15:00Z</dcterms:created>
  <dcterms:modified xsi:type="dcterms:W3CDTF">2013-12-23T23:15:00Z</dcterms:modified>
  <cp:category/>
</cp:coreProperties>
</file>