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000000"/>
          <w:sz w:val="28"/>
        </w:rPr>
        <w:t>EMERGING TECHNOLOGIES</w:t>
      </w:r>
    </w:p>
    <w:p>
      <w:pPr>
        <w:pStyle w:val="Title"/>
        <w:jc w:val="center"/>
      </w:pPr>
      <w:r>
        <w:rPr>
          <w:sz w:val="40"/>
        </w:rPr>
        <w:t>Emerging Technology Creation Agent Record</w:t>
      </w:r>
    </w:p>
    <w:p>
      <w:pPr>
        <w:jc w:val="center"/>
      </w:pPr>
      <w:r>
        <w:rPr>
          <w:color w:val="000000"/>
        </w:rPr>
        <w:t>MASY1-GC 1800 | Assignments 2-8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454"/>
      </w:tblGrid>
      <w:tr>
        <w:trPr>
          <w:cantSplit/>
        </w:trPr>
        <w:tc>
          <w:tcPr>
            <w:tcW w:type="dxa" w:w="10454"/>
            <w:tcMar>
              <w:top w:w="90" w:type="dxa"/>
              <w:start w:w="120" w:type="dxa"/>
              <w:bottom w:w="90" w:type="dxa"/>
              <w:end w:w="120" w:type="dxa"/>
            </w:tcMar>
            <w:vAlign w:val="center"/>
            <w:tcMar>
              <w:top w:w="70" w:type="dxa"/>
              <w:left w:w="70" w:type="dxa"/>
              <w:bottom w:w="70" w:type="dxa"/>
              <w:right w:w="70" w:type="dxa"/>
            </w:tcMar>
            <w:shd w:fill="E7E6E6"/>
          </w:tcPr>
          <w:p>
            <w:pPr>
              <w:pStyle w:val="Callout"/>
              <w:spacing w:after="40" w:before="0" w:line="240" w:lineRule="auto"/>
            </w:pPr>
            <w:r>
              <w:rPr>
                <w:rFonts w:ascii="Calibri" w:hAnsi="Calibri"/>
                <w:color w:val="000000"/>
                <w:sz w:val="20"/>
              </w:rPr>
              <w:t>Complete this record from the evidence in your working scaffold. Keep it concise. The record documents what you specialized, how you tested it, what failed or changed, and what professional judgment you reached.</w:t>
            </w:r>
          </w:p>
        </w:tc>
      </w:tr>
    </w:tbl>
    <w:p>
      <w:pPr>
        <w:pStyle w:val="Heading1"/>
        <w:keepNext/>
        <w:spacing w:before="180" w:after="100"/>
      </w:pPr>
      <w:r>
        <w:rPr>
          <w:b/>
          <w:color w:val="000000"/>
          <w:sz w:val="24"/>
        </w:rPr>
        <w:t>A. Agent and Version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Field</w:t>
            </w:r>
          </w:p>
        </w:tc>
        <w:tc>
          <w:tcPr>
            <w:tcW w:type="dxa" w:w="7416"/>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Student record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Student / team</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Jianbo Sun | Individual candidate for team review</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Assignment / specialist agent</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Assignment 2 / SubAgent 1 Creative Force</w:t>
              <w:br/>
              <w:t>Emerging Technology Creation Agent v0.2-student</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Date</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October 4, 2026</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GitHub repository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https://github.com/Sun417-jianbo/special-dark</w:t>
              <w:br/>
              <w:t>Folder: individual_assignments/jianbo/assignment_2_creation/</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Branch</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assignment-2-creation-jianbo-20261004</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Commit</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56c08e63d7525fcf0b26862a01d0f8dedf66f7db</w:t>
              <w:br/>
              <w:t>Verified source commit; the final document is added in a subsequent commit.</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Frozen scaffold version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MASY1800_ET_Agent_Scaffold_v1_0</w:t>
            </w:r>
          </w:p>
        </w:tc>
      </w:tr>
    </w:tbl>
    <w:p>
      <w:pPr>
        <w:pStyle w:val="Heading1"/>
        <w:keepNext/>
        <w:spacing w:before="180" w:after="100"/>
      </w:pPr>
      <w:r>
        <w:rPr>
          <w:b/>
          <w:color w:val="000000"/>
          <w:sz w:val="24"/>
        </w:rPr>
        <w:t>B. Specialist Purpose and Context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Field</w:t>
            </w:r>
          </w:p>
        </w:tc>
        <w:tc>
          <w:tcPr>
            <w:tcW w:type="dxa" w:w="7416"/>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Student record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Governing analytical question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How did this technology arise, which prior capabilities made it possible, and what does that history imply for this application and organization?</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Emerging technology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Transformer-based generative AI language models</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Intended application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Draft weekly internal sales narratives from verified tables; retain calculations in SQL or spreadsheets.</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Organization / industry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Hypothetical midsize online clothing retailer with a small analytics team; retail and e-commerce.</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Adoption posture</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Moderate / fast follower, with analyst review and no model-training infrastructure.</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Risk / consequence context</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Incorrect narratives could mislead inventory planning. Internal drafts can be corrected before circulation; humans retain decisions.</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Management question / time horizon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What does creation history justify investigating in a proposed four-week evaluation? No business pilot has been run.</w:t>
            </w:r>
          </w:p>
        </w:tc>
      </w:tr>
    </w:tbl>
    <w:p>
      <w:pPr>
        <w:pStyle w:val="Heading1"/>
        <w:keepNext/>
        <w:pageBreakBefore/>
        <w:spacing w:before="180" w:after="100"/>
      </w:pPr>
      <w:r>
        <w:rPr>
          <w:b/>
          <w:color w:val="000000"/>
          <w:sz w:val="24"/>
        </w:rPr>
        <w:t>C. Three-Level Finding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Field</w:t>
            </w:r>
          </w:p>
        </w:tc>
        <w:tc>
          <w:tcPr>
            <w:tcW w:type="dxa" w:w="7416"/>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Student record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ET generally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The selected lineage combines neural word representations, Transformer attention, scaled text pretraining and instruction refinement using human feedback [S1–S4]. Research addressed generalization, efficient sequence processing, flexible task learning and user intent. Digital text and compute enabled development. Labor-saving incentives are an inference, not a proven historical cause. The evidence traces research through application-oriented refinement; it does not establish current diffusion.</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ET for this application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Language generation supports investigating narrative drafting, but technical success does not establish report accuracy or business value. Figures and explanations still require verification.</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ET for this application in this organization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Existing SQL skills and verified tables let the retailer test narrative assistance without replacing calculations. Available review and reversible internal use support a bounded investigation using an approved model environment.</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Bounded management implication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Evaluate drafting assistance on approved historical reports; compare total drafting and review effort with the manual baseline. Pass production readiness and measured value to other specialists.</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Confidence / uncertainty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High for the cited milestones; moderate for contextual transfer; low for benefits without a pilot. The genealogy is selective and current vendor performance is untested.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What evidence or condition would change the conclusion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Observed factual errors, review effort, approved data access or changes in model, audience and reviewer capacity. New original evidence could also revise the historical account.</w:t>
            </w:r>
          </w:p>
        </w:tc>
      </w:tr>
    </w:tbl>
    <w:p>
      <w:pPr>
        <w:pStyle w:val="Heading1"/>
        <w:keepNext/>
        <w:spacing w:before="180" w:after="100"/>
      </w:pPr>
      <w:r>
        <w:rPr>
          <w:b/>
          <w:color w:val="000000"/>
          <w:sz w:val="24"/>
        </w:rPr>
        <w:t>D. Evidence and Testing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Field</w:t>
            </w:r>
          </w:p>
        </w:tc>
        <w:tc>
          <w:tcPr>
            <w:tcW w:type="dxa" w:w="7416"/>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Student record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Most important evidence/source(s)</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Original sources checked October 4, 2026:</w:t>
              <w:br/>
              <w:t>[S1] Bengio et al. (2003), A Neural Probabilistic Language Model. jmlr.org/papers/v3/bengio03a.html</w:t>
              <w:br/>
              <w:t>[S2] Vaswani et al. (2017), Attention Is All You Need. arxiv.org/abs/1706.03762</w:t>
              <w:br/>
              <w:t>[S3] Brown et al. (2020), Language Models are Few-Shot Learners. arxiv.org/abs/2005.14165</w:t>
              <w:br/>
              <w:t>[S4] Ouyang et al. (2022), Training language models to follow instructions with human feedback. arxiv.org/abs/2203.02155</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Primary test - result</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The revised retail response explains creation mechanisms and recommends investigating reviewed internal drafting. The course validator passed. This tests agent reasoning, not retail-model performance.</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Contrast test - what appropriately stayed stable</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For a hypothetical bank using the same technology, the lineage and inherited reliability limitation stay fixed. Shared history was retained deliberately; this is not an independent repeatability result.</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Contrast test - what appropriately changed</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External reporting, confidentiality and an unapproved workflow narrow the bank recommendation to internal feasibility work using public/synthetic material, with traceability and reporting-owner review.</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Weakness/failure found</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Version 0.1 passed JSON validation but listed milestones without adequately explaining original needs or enabling conditions. The initial response is preserved.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Revision made and why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Version 0.2 requires needs, predecessor contributions, enabling conditions and an evolutionary arc, with explicit evidence/inference labels. The same primary case was evaluated again.</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Remaining limitation / abstention condition</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One same-session response per final case; no independent evaluator or real business pilot. A third test correctly withheld organizational judgment when context was missing. Current diffusion and deployment readiness remain outside scope.</w:t>
            </w:r>
          </w:p>
        </w:tc>
      </w:tr>
    </w:tbl>
    <w:p>
      <w:pPr>
        <w:pStyle w:val="Heading1"/>
        <w:keepNext/>
        <w:spacing w:before="180" w:after="100"/>
      </w:pPr>
      <w:r>
        <w:rPr>
          <w:b/>
          <w:color w:val="000000"/>
          <w:sz w:val="24"/>
        </w:rPr>
        <w:t>E. Independent Judgment and Handoff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Field</w:t>
            </w:r>
          </w:p>
        </w:tc>
        <w:tc>
          <w:tcPr>
            <w:tcW w:type="dxa" w:w="7416"/>
            <w:tcMar>
              <w:top w:w="70" w:type="dxa"/>
              <w:start w:w="90" w:type="dxa"/>
              <w:bottom w:w="70" w:type="dxa"/>
              <w:end w:w="90" w:type="dxa"/>
            </w:tcMar>
            <w:vAlign w:val="center"/>
            <w:tcMar>
              <w:top w:w="70" w:type="dxa"/>
              <w:left w:w="70" w:type="dxa"/>
              <w:bottom w:w="70" w:type="dxa"/>
              <w:right w:w="70" w:type="dxa"/>
            </w:tcMar>
            <w:shd w:fill="E7E6E6"/>
          </w:tcPr>
          <w:p>
            <w:pPr>
              <w:spacing w:after="40" w:before="0" w:line="240" w:lineRule="auto"/>
            </w:pPr>
            <w:r>
              <w:rPr>
                <w:rFonts w:ascii="Calibri" w:hAnsi="Calibri"/>
                <w:b/>
                <w:color w:val="000000"/>
                <w:sz w:val="20"/>
              </w:rPr>
              <w:t>Student record</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Is the agent credible enough for team consideration? Why?</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I consider it credible for bounded team review because its history is traceable and its three-level findings respond to context. All four saved responses pass the course validator; all 32 original scaffold files are unchanged. These checks do not prove general reliability.</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Most important recommendation to the team</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Preserve the 11 required input fields and 13 output fields, especially separate general/application/organization findings, dated evidence and abstentions. Route diffusion, readiness and value questions to the appropriate experts. Treat this as an individual candidate.</w:t>
            </w:r>
          </w:p>
        </w:tc>
      </w:tr>
      <w:tr>
        <w:trPr>
          <w:cantSplit/>
        </w:trPr>
        <w:tc>
          <w:tcPr>
            <w:tcW w:type="dxa" w:w="2952"/>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AI / verification note</w:t>
            </w:r>
          </w:p>
        </w:tc>
        <w:tc>
          <w:tcPr>
            <w:tcW w:type="dxa" w:w="7416"/>
            <w:tcMar>
              <w:top w:w="70" w:type="dxa"/>
              <w:start w:w="90" w:type="dxa"/>
              <w:bottom w:w="70" w:type="dxa"/>
              <w:end w:w="90" w:type="dxa"/>
            </w:tcMar>
            <w:vAlign w:val="center"/>
            <w:tcMar>
              <w:top w:w="70" w:type="dxa"/>
              <w:left w:w="70" w:type="dxa"/>
              <w:bottom w:w="70" w:type="dxa"/>
              <w:right w:w="70" w:type="dxa"/>
            </w:tcMar>
            <w:shd w:fill="FFFFFF"/>
          </w:tcPr>
          <w:p>
            <w:pPr>
              <w:spacing w:after="40" w:before="0" w:line="240" w:lineRule="auto"/>
            </w:pPr>
            <w:r>
              <w:rPr>
                <w:rFonts w:ascii="Calibri" w:hAnsi="Calibri"/>
                <w:color w:val="000000"/>
                <w:sz w:val="20"/>
              </w:rPr>
              <w:t>ChatGPT/Codex helped build and revise instructions, construct scenarios, generate responses, run checks and prepare this record. Historical claims were checked against original-source abstracts and Brown et al.’s data/training sections. The same assistant generated and reviewed the examples; student review and defense of the judgment remain necessary.</w:t>
            </w:r>
          </w:p>
        </w:tc>
      </w:tr>
    </w:tbl>
    <w:sectPr w:rsidR="00630F3A" w:rsidSect="00034616">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spacing w:before="0"/>
      <w:jc w:val="center"/>
      <w:rPr>
        <w:rFonts w:hint="eastAsia"/>
      </w:rPr>
    </w:pPr>
    <w:r>
      <w:rPr>
        <w:sz w:val="18"/>
      </w:rPr>
      <w:t>Jianbo Sun | Assignment 2</w:t>
    </w:r>
    <w:r>
      <w:rPr>
        <w:sz w:val="18"/>
      </w:rPr>
      <w:t xml:space="preserve">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000000"/>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spacing w:after="40"/>
      <w:contextualSpacing/>
    </w:pPr>
    <w:rPr>
      <w:rFonts w:ascii="Calibri" w:hAnsi="Calibri"/>
      <w:color w:val="000000"/>
      <w:sz w:val="19"/>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000000"/>
      <w:sz w:val="18"/>
    </w:rPr>
  </w:style>
  <w:style w:type="paragraph" w:customStyle="1" w:styleId="Callout">
    <w:name w:val="Callout"/>
    <w:pPr>
      <w:spacing w:after="80"/>
    </w:pPr>
    <w:rPr>
      <w:rFonts w:ascii="Calibri" w:hAnsi="Calibri"/>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