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 xml:space="preserve">EMERGING TECHNOLOGIES</w:t>
      </w:r>
    </w:p>
    <w:p>
      <w:pPr>
        <w:pStyle w:val="Title"/>
        <w:jc w:val="center"/>
      </w:pPr>
      <w:r>
        <w:t xml:space="preserve">TW5 Team Agent Record</w:t>
      </w:r>
    </w:p>
    <w:p>
      <w:pPr>
        <w:jc w:val="center"/>
      </w:pPr>
      <w:r>
        <w:t xml:space="preserve">Special Dark  |  SubAgent 3 Promethean Classification  |  October 20 2026</w:t>
      </w:r>
    </w:p>
    <w:p>
      <w:pPr>
        <w:pStyle w:val="Normal"/>
      </w:pPr>
      <w:r>
        <w:t xml:space="preserve">Team decision: retain a qualified breakthrough interpretation for bounded agentic systems, with no endorsed Promethean label. Preserve the alternative of withholding the lower classification. Long-term significance can justify attention, not automatic adoption. Team acceptance was explicitly reported by Yufei Cai.</w:t>
      </w:r>
    </w:p>
    <w:p>
      <w:pPr>
        <w:pStyle w:val="Heading1"/>
      </w:pPr>
      <w:r>
        <w:t xml:space="preserve">A Agent and Version</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Pr>
          <w:cantSplit/>
          <w:tblHeader/>
        </w:trPr>
      </w:tr>
      <w:t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20"/>
            </w:pPr>
            <w:r>
              <w:rPr>
                <w:sz w:val="17"/>
              </w:rPr>
              <w:t xml:space="preserve">Special Dark | Yufei Cai, Chutong Wang, Jianbo Sun, Minghan Liu</w:t>
            </w:r>
          </w:p>
        </w:tc>
        <w:trPr>
          <w:cantSplit/>
        </w:trPr>
      </w:tr>
      <w:t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20"/>
            </w:pPr>
            <w:r>
              <w:rPr>
                <w:sz w:val="17"/>
              </w:rPr>
              <w:t xml:space="preserve">Team Workshop 5 | Promethean Classification Agent 1.0</w:t>
            </w:r>
          </w:p>
        </w:tc>
        <w:trPr>
          <w:cantSplit/>
        </w:trPr>
      </w:tr>
      <w:t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20"/>
            </w:pPr>
            <w:r>
              <w:rPr>
                <w:sz w:val="17"/>
              </w:rPr>
              <w:t xml:space="preserve">October 20, 2026 | Team acceptance reported by user</w:t>
            </w:r>
          </w:p>
        </w:tc>
        <w:trPr>
          <w:cantSplit/>
        </w:trPr>
      </w:tr>
      <w:t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20"/>
            </w:pPr>
            <w:hyperlink r:id="rIdTW5Link1">
              <w:r>
                <w:rPr>
                  <w:sz w:val="17"/>
                  <w:color w:val="0563C1"/>
                  <w:u w:val="single"/>
                </w:rPr>
                <w:t xml:space="preserve">https://github.com/Sun417-jianbo/special-dark</w:t>
              </w:r>
            </w:hyperlink>
            <w:r>
              <w:br/>
            </w:r>
            <w:r>
              <w:rPr>
                <w:sz w:val="17"/>
              </w:rPr>
              <w:t xml:space="preserve">Path: team_integration_workspace/review/promethean_classification</w:t>
            </w:r>
          </w:p>
        </w:tc>
        <w:trPr>
          <w:cantSplit/>
        </w:trPr>
      </w:tr>
      <w:t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20"/>
            </w:pPr>
            <w:r>
              <w:rPr>
                <w:sz w:val="17"/>
              </w:rPr>
              <w:t xml:space="preserve">tw5-promethean-classification-20261020</w:t>
            </w:r>
          </w:p>
        </w:tc>
        <w:trPr>
          <w:cantSplit/>
        </w:trPr>
      </w:tr>
      <w:t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20"/>
            </w:pPr>
            <w:r>
              <w:rPr>
                <w:sz w:val="17"/>
              </w:rPr>
              <w:t xml:space="preserve">b80e6f864f22 | Implementation and tests; final report follows on this branch.</w:t>
            </w:r>
          </w:p>
        </w:tc>
        <w:trPr>
          <w:cantSplit/>
        </w:trPr>
      </w:tr>
      <w:t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sz w:val="17"/>
              </w:rPr>
              <w:t xml:space="preserve">MASY1800_ET_Agent_Scaffold_v1_0 | Seven frozen files unchanged; all 32 original files retained.</w:t>
            </w:r>
          </w:p>
        </w:tc>
        <w:trPr>
          <w:cantSplit/>
        </w:trPr>
      </w:tr>
    </w:tbl>
    <w:p>
      <w:pPr>
        <w:pStyle w:val="Heading1"/>
      </w:pPr>
      <w:r>
        <w:t xml:space="preserve">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Pr>
          <w:cantSplit/>
          <w:tblHeader/>
        </w:trPr>
      </w:tr>
      <w:t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20"/>
            </w:pPr>
            <w:r>
              <w:rPr>
                <w:sz w:val="17"/>
              </w:rPr>
              <w:t xml:space="preserve">What classification is defensible, how confident should management be, and how much should broad significance affect the present application decision?</w:t>
            </w:r>
          </w:p>
        </w:tc>
        <w:trPr>
          <w:cantSplit/>
        </w:trPr>
      </w:tr>
      <w:t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20"/>
            </w:pPr>
            <w:r>
              <w:rPr>
                <w:sz w:val="17"/>
              </w:rPr>
              <w:t xml:space="preserve">Integrated model-selected tools, observations and human stopping authority for bounded digital work. Not all generative AI, a model component or a promised future system.</w:t>
            </w:r>
          </w:p>
        </w:tc>
        <w:trPr>
          <w:cantSplit/>
        </w:trPr>
      </w:tr>
      <w:t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20"/>
            </w:pPr>
            <w:r>
              <w:rPr>
                <w:sz w:val="17"/>
              </w:rPr>
              <w:t xml:space="preserve">Proposed read-only chart-to-source-table checks and correction drafts. Human report ownership and approval remain. No live chart tool or business pilot was built.</w:t>
            </w:r>
          </w:p>
        </w:tc>
        <w:trPr>
          <w:cantSplit/>
        </w:trPr>
      </w:tr>
      <w:t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20"/>
            </w:pPr>
            <w:r>
              <w:rPr>
                <w:sz w:val="17"/>
              </w:rPr>
              <w:t xml:space="preserve">TW4 common anchor: hypothetical US financial-services firm. Contrast: hypothetical public-data analytics studio. Members’ retail and admissions cases inform design, not identical-trial comparisons.</w:t>
            </w:r>
          </w:p>
        </w:tc>
        <w:trPr>
          <w:cantSplit/>
        </w:trPr>
      </w:tr>
      <w:t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20"/>
            </w:pPr>
            <w:r>
              <w:rPr>
                <w:sz w:val="17"/>
              </w:rPr>
              <w:t xml:space="preserve">Conservative finance versus experimental studio; a separate probe changes only finance posture.</w:t>
            </w:r>
          </w:p>
        </w:tc>
        <w:trPr>
          <w:cantSplit/>
        </w:trPr>
      </w:tr>
      <w:t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20"/>
            </w:pPr>
            <w:r>
              <w:rPr>
                <w:sz w:val="17"/>
              </w:rPr>
              <w:t xml:space="preserve">Finance has sensitive reporting and no approved external-model environment. Studio has an approved public-data sandbox but limited engineering capacity. These are case premises, not verified company facts.</w:t>
            </w:r>
          </w:p>
        </w:tc>
        <w:trPr>
          <w:cantSplit/>
        </w:trPr>
      </w:tr>
      <w:t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20"/>
            </w:pPr>
            <w:r>
              <w:rPr>
                <w:sz w:val="17"/>
              </w:rPr>
              <w:t xml:space="preserve">Four-week feasibility investigation; twelve-month organizational review; separate long-range societal question with no realization forecast.</w:t>
            </w:r>
          </w:p>
        </w:tc>
        <w:trPr>
          <w:cantSplit/>
        </w:trPr>
      </w:tr>
    </w:tbl>
    <w:p>
      <w:pPr>
        <w:pStyle w:val="Heading1"/>
        <w:pageBreakBefore/>
      </w:pPr>
      <w:r>
        <w:t xml:space="preserve">C Three Level Finding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Pr>
          <w:cantSplit/>
          <w:tblHeader/>
        </w:trPr>
      </w:tr>
      <w:t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20"/>
            </w:pPr>
            <w:r>
              <w:rPr>
                <w:sz w:val="17"/>
              </w:rPr>
              <w:t xml:space="preserve">Qualified breakthrough capability for demonstrated bounded agentic systems; moderate confidence, not a measured field-wide discontinuity. Potential-Promethean candidacy remains unestablished. Earlier automation and missing matched comparisons support the retained withholding alternative.</w:t>
            </w:r>
          </w:p>
        </w:tc>
        <w:trPr>
          <w:cantSplit/>
        </w:trPr>
      </w:tr>
      <w:t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20"/>
            </w:pPr>
            <w:r>
              <w:rPr>
                <w:sz w:val="17"/>
              </w:rPr>
              <w:t xml:space="preserve">Prospective incremental workflow assistance against manual reconciliation and deterministic checks. No local advantage, savings or staffing displacement is demonstrated. A broadly important technology can have an ordinary local use.</w:t>
            </w:r>
          </w:p>
        </w:tc>
        <w:trPr>
          <w:cantSplit/>
        </w:trPr>
      </w:tr>
      <w:t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20"/>
            </w:pPr>
            <w:r>
              <w:rPr>
                <w:sz w:val="17"/>
              </w:rPr>
              <w:t xml:space="preserve">Finance: only authorized public/synthetic evidence work pending environment approval. Studio: a reversible public-data comparison is more feasible, with editorial sign-off. Different permissions and consequences change implications, not the shared general evidence.</w:t>
            </w:r>
          </w:p>
        </w:tc>
        <w:trPr>
          <w:cantSplit/>
        </w:trPr>
      </w:tr>
      <w:t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20"/>
            </w:pPr>
            <w:r>
              <w:rPr>
                <w:sz w:val="17"/>
              </w:rPr>
              <w:t xml:space="preserve">Broad significance may affect attention, learning and monitoring. It cannot approve adoption, waive source-grounded quality/cost evidence or remove accountable review. Adoption and Organizational Readiness retain their decisions.</w:t>
            </w:r>
          </w:p>
        </w:tc>
        <w:trPr>
          <w:cantSplit/>
        </w:trPr>
      </w:tr>
      <w:t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20"/>
            </w:pPr>
            <w:r>
              <w:rPr>
                <w:sz w:val="17"/>
              </w:rPr>
              <w:t xml:space="preserve">Moderate for a bounded capability interpretation; low for long-range transformation; unknown local net value. Strongest higher case: scalable delegation could create dependent applications. Strongest lower case: supervised complements and earlier automation may warrant withholding.</w:t>
            </w:r>
          </w:p>
        </w:tc>
        <w:trPr>
          <w:cantSplit/>
        </w:trPr>
      </w:tr>
      <w:t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20"/>
            </w:pPr>
            <w:r>
              <w:rPr>
                <w:sz w:val="17"/>
              </w:rPr>
              <w:t xml:space="preserve">Matched quality-adjusted comparisons can strengthen or weaken breakthrough. Attributable dependence and credible dissolution across distinct tiers can strengthen the higher pathway. No advantage over simpler checks weakens local value without rewriting general evidence.</w:t>
            </w:r>
          </w:p>
        </w:tc>
        <w:trPr>
          <w:cantSplit/>
        </w:trPr>
      </w:tr>
    </w:tbl>
    <w:p>
      <w:pPr>
        <w:pStyle w:val="Heading2"/>
        <w:keepNext/>
      </w:pPr>
      <w:r>
        <w:t xml:space="preserve">Course criteria and gating</w:t>
      </w:r>
    </w:p>
    <w:p>
      <w:pPr>
        <w:pStyle w:val="Normal"/>
      </w:pPr>
      <w:r>
        <w:t xml:space="preserve">Chapter 11 requires a usable system, an honest categorical-barrier statement and a suppression test before formal scoring. The packet supports possible constraint reduction, not established dissolution. All six criteria therefore remain NOT SCORED. Two distinct human-life tiers are required for the higher candidate path, not merely two industries. The older three-tier formulation is not imported.</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 xml:space="preserve">Criterion</w:t>
            </w:r>
          </w:p>
        </w:tc>
        <w:tc>
          <w:tcPr>
            <w:tcW w:type="dxa" w:w="5227"/>
            <w:tcMar>
              <w:top w:w="70" w:type="dxa"/>
              <w:start w:w="90" w:type="dxa"/>
              <w:bottom w:w="70" w:type="dxa"/>
              <w:end w:w="90" w:type="dxa"/>
            </w:tcMar>
            <w:vAlign w:val="top"/>
            <w:shd w:fill="57068C"/>
          </w:tcPr>
          <w:p>
            <w:pPr>
              <w:spacing w:after="20"/>
            </w:pPr>
            <w:r>
              <w:rPr>
                <w:b/>
                <w:color w:val="FFFFFF"/>
                <w:sz w:val="17"/>
              </w:rPr>
              <w:t xml:space="preserve">Formal status and missing evidence</w:t>
            </w:r>
          </w:p>
        </w:tc>
        <w:trPr>
          <w:cantSplit/>
          <w:tblHeader/>
        </w:trPr>
      </w:tr>
      <w:tr>
        <w:tc>
          <w:tcPr>
            <w:tcW w:type="dxa" w:w="5227"/>
            <w:tcMar>
              <w:top w:w="70" w:type="dxa"/>
              <w:start w:w="90" w:type="dxa"/>
              <w:bottom w:w="70" w:type="dxa"/>
              <w:end w:w="90" w:type="dxa"/>
            </w:tcMar>
            <w:vAlign w:val="top"/>
          </w:tcPr>
          <w:p>
            <w:pPr>
              <w:spacing w:after="20"/>
            </w:pPr>
            <w:r>
              <w:rPr>
                <w:sz w:val="17"/>
              </w:rPr>
              <w:t xml:space="preserve">Order of magnitude</w:t>
            </w:r>
          </w:p>
        </w:tc>
        <w:tc>
          <w:tcPr>
            <w:tcW w:type="dxa" w:w="5227"/>
            <w:tcMar>
              <w:top w:w="70" w:type="dxa"/>
              <w:start w:w="90" w:type="dxa"/>
              <w:bottom w:w="70" w:type="dxa"/>
              <w:end w:w="90" w:type="dxa"/>
            </w:tcMar>
            <w:vAlign w:val="top"/>
          </w:tcPr>
          <w:p>
            <w:pPr>
              <w:spacing w:after="20"/>
            </w:pPr>
            <w:r>
              <w:rPr>
                <w:sz w:val="17"/>
              </w:rPr>
              <w:t xml:space="preserve">NOT SCORED | Need a meaningful matched denominator and quality floor.</w:t>
            </w:r>
          </w:p>
        </w:tc>
        <w:trPr>
          <w:cantSplit/>
        </w:trPr>
      </w:tr>
      <w:tr>
        <w:tc>
          <w:tcPr>
            <w:tcW w:type="dxa" w:w="5227"/>
            <w:tcMar>
              <w:top w:w="70" w:type="dxa"/>
              <w:start w:w="90" w:type="dxa"/>
              <w:bottom w:w="70" w:type="dxa"/>
              <w:end w:w="90" w:type="dxa"/>
            </w:tcMar>
            <w:vAlign w:val="top"/>
          </w:tcPr>
          <w:p>
            <w:pPr>
              <w:spacing w:after="20"/>
            </w:pPr>
            <w:r>
              <w:rPr>
                <w:sz w:val="17"/>
              </w:rPr>
              <w:t xml:space="preserve">Widespread impact</w:t>
            </w:r>
          </w:p>
        </w:tc>
        <w:tc>
          <w:tcPr>
            <w:tcW w:type="dxa" w:w="5227"/>
            <w:tcMar>
              <w:top w:w="70" w:type="dxa"/>
              <w:start w:w="90" w:type="dxa"/>
              <w:bottom w:w="70" w:type="dxa"/>
              <w:end w:w="90" w:type="dxa"/>
            </w:tcMar>
            <w:vAlign w:val="top"/>
          </w:tcPr>
          <w:p>
            <w:pPr>
              <w:spacing w:after="20"/>
            </w:pPr>
            <w:r>
              <w:rPr>
                <w:sz w:val="17"/>
              </w:rPr>
              <w:t xml:space="preserve">NOT SCORED | Uptake or exposure is not multi-tier dissolution.</w:t>
            </w:r>
          </w:p>
        </w:tc>
        <w:trPr>
          <w:cantSplit/>
        </w:trPr>
      </w:tr>
      <w:tr>
        <w:tc>
          <w:tcPr>
            <w:tcW w:type="dxa" w:w="5227"/>
            <w:tcMar>
              <w:top w:w="70" w:type="dxa"/>
              <w:start w:w="90" w:type="dxa"/>
              <w:bottom w:w="70" w:type="dxa"/>
              <w:end w:w="90" w:type="dxa"/>
            </w:tcMar>
            <w:vAlign w:val="top"/>
          </w:tcPr>
          <w:p>
            <w:pPr>
              <w:spacing w:after="20"/>
            </w:pPr>
            <w:r>
              <w:rPr>
                <w:sz w:val="17"/>
              </w:rPr>
              <w:t xml:space="preserve">Paradigm shift</w:t>
            </w:r>
          </w:p>
        </w:tc>
        <w:tc>
          <w:tcPr>
            <w:tcW w:type="dxa" w:w="5227"/>
            <w:tcMar>
              <w:top w:w="70" w:type="dxa"/>
              <w:start w:w="90" w:type="dxa"/>
              <w:bottom w:w="70" w:type="dxa"/>
              <w:end w:w="90" w:type="dxa"/>
            </w:tcMar>
            <w:vAlign w:val="top"/>
          </w:tcPr>
          <w:p>
            <w:pPr>
              <w:spacing w:after="20"/>
            </w:pPr>
            <w:r>
              <w:rPr>
                <w:sz w:val="17"/>
              </w:rPr>
              <w:t xml:space="preserve">NOT SCORED | New tool coordination does not prove a constitutive change.</w:t>
            </w:r>
          </w:p>
        </w:tc>
        <w:trPr>
          <w:cantSplit/>
        </w:trPr>
      </w:tr>
      <w:tr>
        <w:tc>
          <w:tcPr>
            <w:tcW w:type="dxa" w:w="5227"/>
            <w:tcMar>
              <w:top w:w="70" w:type="dxa"/>
              <w:start w:w="90" w:type="dxa"/>
              <w:bottom w:w="70" w:type="dxa"/>
              <w:end w:w="90" w:type="dxa"/>
            </w:tcMar>
            <w:vAlign w:val="top"/>
          </w:tcPr>
          <w:p>
            <w:pPr>
              <w:spacing w:after="20"/>
            </w:pPr>
            <w:r>
              <w:rPr>
                <w:sz w:val="17"/>
              </w:rPr>
              <w:t xml:space="preserve">Catalytic effect</w:t>
            </w:r>
          </w:p>
        </w:tc>
        <w:tc>
          <w:tcPr>
            <w:tcW w:type="dxa" w:w="5227"/>
            <w:tcMar>
              <w:top w:w="70" w:type="dxa"/>
              <w:start w:w="90" w:type="dxa"/>
              <w:bottom w:w="70" w:type="dxa"/>
              <w:end w:w="90" w:type="dxa"/>
            </w:tcMar>
            <w:vAlign w:val="top"/>
          </w:tcPr>
          <w:p>
            <w:pPr>
              <w:spacing w:after="20"/>
            </w:pPr>
            <w:r>
              <w:rPr>
                <w:sz w:val="17"/>
              </w:rPr>
              <w:t xml:space="preserve">NOT SCORED | Need attributable dependent secondary innovation.</w:t>
            </w:r>
          </w:p>
        </w:tc>
        <w:trPr>
          <w:cantSplit/>
        </w:trPr>
      </w:tr>
      <w:tr>
        <w:tc>
          <w:tcPr>
            <w:tcW w:type="dxa" w:w="5227"/>
            <w:tcMar>
              <w:top w:w="70" w:type="dxa"/>
              <w:start w:w="90" w:type="dxa"/>
              <w:bottom w:w="70" w:type="dxa"/>
              <w:end w:w="90" w:type="dxa"/>
            </w:tcMar>
            <w:vAlign w:val="top"/>
          </w:tcPr>
          <w:p>
            <w:pPr>
              <w:spacing w:after="20"/>
            </w:pPr>
            <w:r>
              <w:rPr>
                <w:sz w:val="17"/>
              </w:rPr>
              <w:t xml:space="preserve">Democratization</w:t>
            </w:r>
          </w:p>
        </w:tc>
        <w:tc>
          <w:tcPr>
            <w:tcW w:type="dxa" w:w="5227"/>
            <w:tcMar>
              <w:top w:w="70" w:type="dxa"/>
              <w:start w:w="90" w:type="dxa"/>
              <w:bottom w:w="70" w:type="dxa"/>
              <w:end w:w="90" w:type="dxa"/>
            </w:tcMar>
            <w:vAlign w:val="top"/>
          </w:tcPr>
          <w:p>
            <w:pPr>
              <w:spacing w:after="20"/>
            </w:pPr>
            <w:r>
              <w:rPr>
                <w:sz w:val="17"/>
              </w:rPr>
              <w:t xml:space="preserve">NOT SCORED | Need evidence of usable access, not an interface alone.</w:t>
            </w:r>
          </w:p>
        </w:tc>
        <w:trPr>
          <w:cantSplit/>
        </w:trPr>
      </w:tr>
      <w:tr>
        <w:tc>
          <w:tcPr>
            <w:tcW w:type="dxa" w:w="5227"/>
            <w:tcMar>
              <w:top w:w="70" w:type="dxa"/>
              <w:start w:w="90" w:type="dxa"/>
              <w:bottom w:w="70" w:type="dxa"/>
              <w:end w:w="90" w:type="dxa"/>
            </w:tcMar>
            <w:vAlign w:val="top"/>
          </w:tcPr>
          <w:p>
            <w:pPr>
              <w:spacing w:after="20"/>
            </w:pPr>
            <w:r>
              <w:rPr>
                <w:sz w:val="17"/>
              </w:rPr>
              <w:t xml:space="preserve">Irreversibility</w:t>
            </w:r>
          </w:p>
        </w:tc>
        <w:tc>
          <w:tcPr>
            <w:tcW w:type="dxa" w:w="5227"/>
            <w:tcMar>
              <w:top w:w="70" w:type="dxa"/>
              <w:start w:w="90" w:type="dxa"/>
              <w:bottom w:w="70" w:type="dxa"/>
              <w:end w:w="90" w:type="dxa"/>
            </w:tcMar>
            <w:vAlign w:val="top"/>
          </w:tcPr>
          <w:p>
            <w:pPr>
              <w:spacing w:after="20"/>
            </w:pPr>
            <w:r>
              <w:rPr>
                <w:sz w:val="17"/>
              </w:rPr>
              <w:t xml:space="preserve">NOT SCORED | Mature dependence is unestablished; future potential is not disproved.</w:t>
            </w:r>
          </w:p>
        </w:tc>
        <w:trPr>
          <w:cantSplit/>
        </w:trPr>
      </w:tr>
    </w:tbl>
    <w:p>
      <w:pPr>
        <w:pStyle w:val="Heading1"/>
        <w:pageBreakBefore/>
      </w:pPr>
      <w:r>
        <w:t xml:space="preserve">D Evidence and Testing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Pr>
          <w:cantSplit/>
          <w:tblHeader/>
        </w:trPr>
      </w:tr>
      <w:t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20"/>
            </w:pPr>
            <w:r>
              <w:rPr>
                <w:sz w:val="17"/>
              </w:rPr>
              <w:t xml:space="preserve">S0 Chapter 11 supplies the instrument. S1-S2 bound mechanism claims; S3 is historical reliability counterevidence; S4 prevents horizon/speed confusion; S5 qualifies extrapolation from historical productivity findings; S6 is human-worker assistance. Source reconciliation separates these units and versions.</w:t>
            </w:r>
          </w:p>
        </w:tc>
        <w:trPr>
          <w:cantSplit/>
        </w:trPr>
      </w:tr>
      <w:t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20"/>
            </w:pPr>
            <w:r>
              <w:rPr>
                <w:sz w:val="17"/>
              </w:rPr>
              <w:t xml:space="preserve">The team primary example retains qualified breakthrough, no endorsed Promethean label and unverified local incremental value. Four candidate designs also receive the identical primary/hype cases. These eight new design applications are same-assistant interpretations, not independent performance trials.</w:t>
            </w:r>
          </w:p>
        </w:tc>
        <w:trPr>
          <w:cantSplit/>
        </w:trPr>
      </w:tr>
      <w:t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20"/>
            </w:pPr>
            <w:r>
              <w:rPr>
                <w:sz w:val="17"/>
              </w:rPr>
              <w:t xml:space="preserve">Shared unit, application, evidence, question and horizon stay fixed. General finding remains identical across finance, studio, posture-only and hype cases. Reused invariant prose is intentional fixture control, not statistical robustness.</w:t>
            </w:r>
          </w:p>
        </w:tc>
        <w:trPr>
          <w:cantSplit/>
        </w:trPr>
      </w:tr>
      <w:t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20"/>
            </w:pPr>
            <w:r>
              <w:rPr>
                <w:sz w:val="17"/>
              </w:rPr>
              <w:t xml:space="preserve">Approved public-data sandbox and reversible draft work permit different bounded learning in the studio. Finance restrictions remain even under aggressive posture. The main context contrast changes several fields; posture-only changes exactly one.</w:t>
            </w:r>
          </w:p>
        </w:tc>
        <w:trPr>
          <w:cantSplit/>
        </w:trPr>
      </w:tr>
      <w:t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20"/>
            </w:pPr>
            <w:r>
              <w:rPr>
                <w:sz w:val="17"/>
              </w:rPr>
              <w:t xml:space="preserve">A supplied Chutong cycle-1 output mentions potential Promethean significance despite unresolved dissolution. The initial team draft also retained a generic breakthrough recommendation in component/incremental/calibration controls despite different general findings. Both histories are preserved.</w:t>
            </w:r>
          </w:p>
        </w:tc>
        <w:trPr>
          <w:cantSplit/>
        </w:trPr>
      </w:tr>
      <w:t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20"/>
            </w:pPr>
            <w:r>
              <w:rPr>
                <w:sz w:val="17"/>
              </w:rPr>
              <w:t xml:space="preserve">Use explicit gate stops, matched denominators, two-tier interpretation, source boundaries and case-specific decision fields. The first checker found 78 passes and four failures; repair aligned the three control recommendations and restored exact captured failure text. Recheck: 82 passed, zero failed.</w:t>
            </w:r>
          </w:p>
        </w:tc>
        <w:trPr>
          <w:cantSplit/>
        </w:trPr>
      </w:tr>
      <w:t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20"/>
            </w:pPr>
            <w:r>
              <w:rPr>
                <w:sz w:val="17"/>
              </w:rPr>
              <w:t xml:space="preserve">Seven team cases include posture, hype, component, incremental and course-calibration controls. The positive path is exercised only under a supplied instructor anchor, not independently validated history. Checks establish contracts/integrity and saved-content assertions, not truth, real chart accuracy, independent model reliability or classroom participation.</w:t>
            </w:r>
          </w:p>
        </w:tc>
        <w:trPr>
          <w:cantSplit/>
        </w:trPr>
      </w:tr>
    </w:tbl>
    <w:p>
      <w:pPr>
        <w:pStyle w:val="Heading1"/>
        <w:pageBreakBefore/>
      </w:pPr>
      <w:r>
        <w:t xml:space="preserve">E Team Judgment and Handoff</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Pr>
          <w:cantSplit/>
          <w:tblHeader/>
        </w:trPr>
      </w:tr>
      <w:t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20"/>
            </w:pPr>
            <w:r>
              <w:rPr>
                <w:sz w:val="17"/>
              </w:rPr>
              <w:t xml:space="preserve">Yes, for academic team integration as version 1.0, following the user’s explicit report of team acceptance on October 20. Four inputs materially shape one coherent specialist. This is neither operating approval nor evidence of a production-ready predictor.</w:t>
            </w:r>
          </w:p>
        </w:tc>
        <w:trPr>
          <w:cantSplit/>
        </w:trPr>
      </w:tr>
      <w:t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20"/>
            </w:pPr>
            <w:r>
              <w:rPr>
                <w:sz w:val="17"/>
              </w:rPr>
              <w:t xml:space="preserve">Preserve abstentions and the strongest contrary interpretation. Significance may increase attention but cannot authorize adoption or waive quality, permission and human release. Retain TW3/TW4 decisions; slot 3 is updated without silently rewriting other tentative inventory labels. No automatic main merge.</w:t>
            </w:r>
          </w:p>
        </w:tc>
        <w:trPr>
          <w:cantSplit/>
        </w:trPr>
      </w:tr>
      <w:t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20"/>
            </w:pPr>
            <w:r>
              <w:rPr>
                <w:sz w:val="17"/>
              </w:rPr>
              <w:t xml:space="preserve">ChatGPT/Codex inspected the supplied files and named original sources, drafted the comparison and new examples, diagnosed saved-artifact defects, and prepared this record. Local code builds packets and validates files; no inference API or chart tool is called. Native candidate provenance is attributed, not recertified. The same assistant generates and reviews new examples; no blinded or repeated model test is claimed.</w:t>
            </w:r>
          </w:p>
        </w:tc>
        <w:trPr>
          <w:cantSplit/>
        </w:trPr>
      </w:tr>
    </w:tbl>
    <w:p>
      <w:pPr>
        <w:pStyle w:val="Heading2"/>
        <w:keepNext/>
      </w:pPr>
      <w:r>
        <w:t xml:space="preserve">Team acceptance and classroom record</w:t>
      </w:r>
    </w:p>
    <w:p>
      <w:pPr>
        <w:pStyle w:val="Normal"/>
      </w:pPr>
      <w:r>
        <w:t xml:space="preserve">Yufei Cai explicitly reported that the team accepted the qualified breakthrough finding, preserved withholding concern and anti-hype safeguard. That later acceptance is recorded separately from the earlier reply that no discussion, team-decision or role record was available. No attendance, individual source verification, invented task assignment or 90 percent in-class completion is asserted. The in-class rubric item cannot be certified from the submitted files.</w:t>
      </w:r>
    </w:p>
    <w:p>
      <w:pPr>
        <w:pStyle w:val="Heading2"/>
        <w:keepNext/>
      </w:pPr>
      <w:r>
        <w:t xml:space="preserve">Final project handoff</w:t>
      </w:r>
    </w:p>
    <w:p>
      <w:pPr>
        <w:pStyle w:val="Normal"/>
      </w:pPr>
      <w:r>
        <w:t xml:space="preserve">This is the significance expert, not the diffusion, business-model, readiness or final adoption expert. Carry the gate result, uncertainty, strongest contrary case and source limits into MoE synthesis. Ask whether a local step would still be justified if the technology were merely incremental. A reversible comparison may pass; autonomous release, staffing cuts or lock-in cannot rest on a civilizational narrative.</w:t>
      </w:r>
    </w:p>
    <w:p>
      <w:pPr>
        <w:pStyle w:val="Heading1"/>
        <w:pageBreakBefore/>
        <w:keepNext/>
      </w:pPr>
      <w:r>
        <w:t xml:space="preserve">F Candidate Synthesis and Contributions</w:t>
      </w:r>
    </w:p>
    <w:p>
      <w:pPr>
        <w:pStyle w:val="Normal"/>
      </w:pPr>
      <w:r>
        <w:t xml:space="preserve">Original cases differ, so labels were not ranked as equivalent trials. The common chart-review case and evidence boundaries enable a new qualitative design comparison. The following contributions refer to supplied individual artifacts, not newly claimed classroom roles.</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 xml:space="preserve">Member and original scope</w:t>
            </w:r>
          </w:p>
        </w:tc>
        <w:tc>
          <w:tcPr>
            <w:tcW w:type="dxa" w:w="5227"/>
            <w:tcMar>
              <w:top w:w="70" w:type="dxa"/>
              <w:start w:w="90" w:type="dxa"/>
              <w:bottom w:w="70" w:type="dxa"/>
              <w:end w:w="90" w:type="dxa"/>
            </w:tcMar>
            <w:vAlign w:val="top"/>
            <w:shd w:fill="57068C"/>
          </w:tcPr>
          <w:p>
            <w:pPr>
              <w:spacing w:after="20"/>
            </w:pPr>
            <w:r>
              <w:rPr>
                <w:b/>
                <w:color w:val="FFFFFF"/>
                <w:sz w:val="17"/>
              </w:rPr>
              <w:t xml:space="preserve">Retained design and necessary correction</w:t>
            </w:r>
          </w:p>
        </w:tc>
        <w:trPr>
          <w:cantSplit/>
          <w:tblHeader/>
        </w:trPr>
      </w:tr>
      <w:tr>
        <w:tc>
          <w:tcPr>
            <w:tcW w:type="dxa" w:w="5227"/>
            <w:tcMar>
              <w:top w:w="70" w:type="dxa"/>
              <w:start w:w="90" w:type="dxa"/>
              <w:bottom w:w="70" w:type="dxa"/>
              <w:end w:w="90" w:type="dxa"/>
            </w:tcMar>
            <w:vAlign w:val="top"/>
          </w:tcPr>
          <w:p>
            <w:pPr>
              <w:spacing w:after="20"/>
            </w:pPr>
            <w:r>
              <w:rPr>
                <w:sz w:val="17"/>
              </w:rPr>
              <w:t xml:space="preserve">Yufei Cai</w:t>
            </w:r>
            <w:r>
              <w:br/>
            </w:r>
            <w:r>
              <w:rPr>
                <w:sz w:val="17"/>
              </w:rPr>
              <w:t xml:space="preserve">Integrated agentic tool system; finance/public-data media chart review</w:t>
            </w:r>
          </w:p>
        </w:tc>
        <w:tc>
          <w:tcPr>
            <w:tcW w:type="dxa" w:w="5227"/>
            <w:tcMar>
              <w:top w:w="70" w:type="dxa"/>
              <w:start w:w="90" w:type="dxa"/>
              <w:bottom w:w="70" w:type="dxa"/>
              <w:end w:w="90" w:type="dxa"/>
            </w:tcMar>
            <w:vAlign w:val="top"/>
          </w:tcPr>
          <w:p>
            <w:pPr>
              <w:spacing w:after="20"/>
            </w:pPr>
            <w:r>
              <w:rPr>
                <w:sz w:val="17"/>
              </w:rPr>
              <w:t xml:space="preserve">Original: Withholds definitive general class; proposed local incremental improvement.</w:t>
            </w:r>
            <w:r>
              <w:br/>
            </w:r>
            <w:r>
              <w:rPr>
                <w:sz w:val="17"/>
              </w:rPr>
              <w:t xml:space="preserve">Retain: System boundary, end-to-end denominator, task-horizon distinction and transparent same-assistant limits.</w:t>
            </w:r>
            <w:r>
              <w:br/>
            </w:r>
            <w:r>
              <w:rPr>
                <w:sz w:val="17"/>
              </w:rPr>
              <w:t xml:space="preserve">Revise: Replace older three-tier formulation with Chapter 11; stop formal scoring after unresolved dissolution rather than presenting scored-looking partial states.</w:t>
            </w:r>
          </w:p>
        </w:tc>
        <w:trPr>
          <w:cantSplit/>
        </w:trPr>
      </w:tr>
      <w:tr>
        <w:tc>
          <w:tcPr>
            <w:tcW w:type="dxa" w:w="5227"/>
            <w:tcMar>
              <w:top w:w="70" w:type="dxa"/>
              <w:start w:w="90" w:type="dxa"/>
              <w:bottom w:w="70" w:type="dxa"/>
              <w:end w:w="90" w:type="dxa"/>
            </w:tcMar>
            <w:vAlign w:val="top"/>
          </w:tcPr>
          <w:p>
            <w:pPr>
              <w:spacing w:after="20"/>
            </w:pPr>
            <w:r>
              <w:rPr>
                <w:sz w:val="17"/>
              </w:rPr>
              <w:t xml:space="preserve">Chutong Wang</w:t>
            </w:r>
            <w:r>
              <w:br/>
            </w:r>
            <w:r>
              <w:rPr>
                <w:sz w:val="17"/>
              </w:rPr>
              <w:t xml:space="preserve">Integrated agentic tool system; finance/studio chart review</w:t>
            </w:r>
          </w:p>
        </w:tc>
        <w:tc>
          <w:tcPr>
            <w:tcW w:type="dxa" w:w="5227"/>
            <w:tcMar>
              <w:top w:w="70" w:type="dxa"/>
              <w:start w:w="90" w:type="dxa"/>
              <w:bottom w:w="70" w:type="dxa"/>
              <w:end w:w="90" w:type="dxa"/>
            </w:tcMar>
            <w:vAlign w:val="top"/>
          </w:tcPr>
          <w:p>
            <w:pPr>
              <w:spacing w:after="20"/>
            </w:pPr>
            <w:r>
              <w:rPr>
                <w:sz w:val="17"/>
              </w:rPr>
              <w:t xml:space="preserve">Original: Provisional bounded breakthrough; no supported Promethean label.</w:t>
            </w:r>
            <w:r>
              <w:br/>
            </w:r>
            <w:r>
              <w:rPr>
                <w:sz w:val="17"/>
              </w:rPr>
              <w:t xml:space="preserve">Retain: Sequential gates, all six NOT SCORED after gate stop, component abstention, posture-only and hype probes.</w:t>
            </w:r>
            <w:r>
              <w:br/>
            </w:r>
            <w:r>
              <w:rPr>
                <w:sz w:val="17"/>
              </w:rPr>
              <w:t xml:space="preserve">Revise: Keep the breakthrough judgment qualified and bounded to evidence; no claim of universal capability discontinuity.</w:t>
            </w:r>
          </w:p>
        </w:tc>
        <w:trPr>
          <w:cantSplit/>
        </w:trPr>
      </w:tr>
      <w:tr>
        <w:tc>
          <w:tcPr>
            <w:tcW w:type="dxa" w:w="5227"/>
            <w:tcMar>
              <w:top w:w="70" w:type="dxa"/>
              <w:start w:w="90" w:type="dxa"/>
              <w:bottom w:w="70" w:type="dxa"/>
              <w:end w:w="90" w:type="dxa"/>
            </w:tcMar>
            <w:vAlign w:val="top"/>
          </w:tcPr>
          <w:p>
            <w:pPr>
              <w:spacing w:after="20"/>
            </w:pPr>
            <w:r>
              <w:rPr>
                <w:sz w:val="17"/>
              </w:rPr>
              <w:t xml:space="preserve">Jianbo Sun</w:t>
            </w:r>
            <w:r>
              <w:br/>
            </w:r>
            <w:r>
              <w:rPr>
                <w:sz w:val="17"/>
              </w:rPr>
              <w:t xml:space="preserve">Deployed generative-AI systems; retail narrative drafting</w:t>
            </w:r>
          </w:p>
        </w:tc>
        <w:tc>
          <w:tcPr>
            <w:tcW w:type="dxa" w:w="5227"/>
            <w:tcMar>
              <w:top w:w="70" w:type="dxa"/>
              <w:start w:w="90" w:type="dxa"/>
              <w:bottom w:w="70" w:type="dxa"/>
              <w:end w:w="90" w:type="dxa"/>
            </w:tcMar>
            <w:vAlign w:val="top"/>
          </w:tcPr>
          <w:p>
            <w:pPr>
              <w:spacing w:after="20"/>
            </w:pPr>
            <w:r>
              <w:rPr>
                <w:sz w:val="17"/>
              </w:rPr>
              <w:t xml:space="preserve">Original: Breakthrough capability; conditional long-run Potential hypothesis.</w:t>
            </w:r>
            <w:r>
              <w:br/>
            </w:r>
            <w:r>
              <w:rPr>
                <w:sz w:val="17"/>
              </w:rPr>
              <w:t xml:space="preserve">Retain: Clean one-field posture contrast, careful suppression counterfactual and separation of draft creation from verified outcome.</w:t>
            </w:r>
            <w:r>
              <w:br/>
            </w:r>
            <w:r>
              <w:rPr>
                <w:sz w:val="17"/>
              </w:rPr>
              <w:t xml:space="preserve">Revise: Do not transfer a generative-AI classification to agentic systems; compare under the common unit before synthesis.</w:t>
            </w:r>
          </w:p>
        </w:tc>
        <w:trPr>
          <w:cantSplit/>
        </w:trPr>
      </w:tr>
      <w:tr>
        <w:tc>
          <w:tcPr>
            <w:tcW w:type="dxa" w:w="5227"/>
            <w:tcMar>
              <w:top w:w="70" w:type="dxa"/>
              <w:start w:w="90" w:type="dxa"/>
              <w:bottom w:w="70" w:type="dxa"/>
              <w:end w:w="90" w:type="dxa"/>
            </w:tcMar>
            <w:vAlign w:val="top"/>
          </w:tcPr>
          <w:p>
            <w:pPr>
              <w:spacing w:after="20"/>
            </w:pPr>
            <w:r>
              <w:rPr>
                <w:sz w:val="17"/>
              </w:rPr>
              <w:t xml:space="preserve">Minghan Liu</w:t>
            </w:r>
            <w:r>
              <w:br/>
            </w:r>
            <w:r>
              <w:rPr>
                <w:sz w:val="17"/>
              </w:rPr>
              <w:t xml:space="preserve">Agentic AI; NYU SPS applicant support with different baselines</w:t>
            </w:r>
          </w:p>
        </w:tc>
        <w:tc>
          <w:tcPr>
            <w:tcW w:type="dxa" w:w="5227"/>
            <w:tcMar>
              <w:top w:w="70" w:type="dxa"/>
              <w:start w:w="90" w:type="dxa"/>
              <w:bottom w:w="70" w:type="dxa"/>
              <w:end w:w="90" w:type="dxa"/>
            </w:tcMar>
            <w:vAlign w:val="top"/>
          </w:tcPr>
          <w:p>
            <w:pPr>
              <w:spacing w:after="20"/>
            </w:pPr>
            <w:r>
              <w:rPr>
                <w:sz w:val="17"/>
              </w:rPr>
              <w:t xml:space="preserve">Original: Breakthrough floor with unresolved ceiling and low local significance weight.</w:t>
            </w:r>
            <w:r>
              <w:br/>
            </w:r>
            <w:r>
              <w:rPr>
                <w:sz w:val="17"/>
              </w:rPr>
              <w:t xml:space="preserve">Retain: Separate present finding from future hypothesis, evidence-admissibility distinctions, incremental counterfactual and baseline awareness.</w:t>
            </w:r>
            <w:r>
              <w:br/>
            </w:r>
            <w:r>
              <w:rPr>
                <w:sz w:val="17"/>
              </w:rPr>
              <w:t xml:space="preserve">Revise: Do not infer field 10X or tier reorganization from benchmark ratios, exposure, uptake or forecasts; no prospective scoring that looks like a passed gate.</w:t>
            </w:r>
          </w:p>
        </w:tc>
        <w:trPr>
          <w:cantSplit/>
        </w:trPr>
      </w:tr>
    </w:tbl>
    <w:p>
      <w:pPr>
        <w:pStyle w:val="Heading2"/>
        <w:keepNext/>
      </w:pPr>
      <w:r>
        <w:t xml:space="preserve">Why this is a synthesis</w:t>
      </w:r>
    </w:p>
    <w:p>
      <w:pPr>
        <w:pStyle w:val="Normal"/>
      </w:pPr>
      <w:r>
        <w:t xml:space="preserve">Chutong’s explicit NOT SCORED gate, Yufei’s denominator and scope caution, Jianbo’s clean posture test and suppression boundary, and Minghan’s admissibility/counterfactual rules are combined. No equal-share merge or majority vote is claimed. The breakthrough label remains qualified, and the withholding concern survives as an explicit alternative.</w:t>
      </w:r>
    </w:p>
    <w:p>
      <w:pPr>
        <w:pStyle w:val="Heading2"/>
        <w:keepNext/>
      </w:pPr>
      <w:r>
        <w:t xml:space="preserve">Evidence that can change the decision</w:t>
      </w:r>
    </w:p>
    <w:p>
      <w:pPr>
        <w:pStyle w:val="Normal"/>
      </w:pPr>
      <w:r>
        <w:t xml:space="preserve">The stronger alternative is that widespread, usable delegation creates genuine dependent institutions before mature historical confirmation exists. The lower alternative is that observed improvements remain supervised complements to earlier automation. Seek a matched capability comparator, attributable dependence and actual tier reorganization to distinguish them. Candidate exposure estimates, forecasts, funding and broad course exemplars do not settle that comparison.</w:t>
      </w:r>
    </w:p>
    <w:p>
      <w:pPr>
        <w:pStyle w:val="Heading1"/>
        <w:pageBreakBefore/>
        <w:keepNext/>
      </w:pPr>
      <w:r>
        <w:t xml:space="preserve">G Sources and Reproduction</w:t>
      </w:r>
    </w:p>
    <w:p>
      <w:pPr>
        <w:pStyle w:val="Normal"/>
      </w:pPr>
      <w:r>
        <w:t xml:space="preserve">The current assistant checked the following original locations on October 20, 2026. Candidate source claims remain attributed unless accepted in the bounded register. No comprehensive current landscape survey or new student personal verification is claimed.</w:t>
      </w:r>
    </w:p>
    <w:p>
      <w:pPr>
        <w:pStyle w:val="Heading2"/>
        <w:keepNext/>
      </w:pPr>
      <w:r>
        <w:t xml:space="preserve">S0 Course instrument</w:t>
      </w:r>
    </w:p>
    <w:p>
      <w:pPr>
        <w:pStyle w:val="Normal"/>
      </w:pPr>
      <w:r>
        <w:t xml:space="preserve">Fortino, Chapter 11 Identifying Promethean Technologies, August 2026 draft v0.1, sections 11.2, 11.5, 11.7 and 11.9. Supplied course pre-reading; not redistributed. A working framework and calibration, not independent agent-impact evidence.</w:t>
      </w:r>
    </w:p>
    <w:p>
      <w:pPr>
        <w:pStyle w:val="Heading2"/>
        <w:keepNext/>
      </w:pPr>
      <w:r>
        <w:t xml:space="preserve">S1 Bounded mechanism</w:t>
      </w:r>
    </w:p>
    <w:p>
      <w:pPr>
        <w:pStyle w:val="Normal"/>
      </w:pPr>
      <w:r>
        <w:t xml:space="preserve">Yao et al. ReAct, 2022 preprint and 2023 ICLR v3. Task-specific comparison, not current chart-review or civilizational outcomes. </w:t>
      </w:r>
      <w:hyperlink r:id="rIdTW5Link2">
        <w:r>
          <w:rPr>
            <w:color w:val="0563C1"/>
            <w:u w:val="single"/>
          </w:rPr>
          <w:t xml:space="preserve">https://arxiv.org/abs/2210.03629v3</w:t>
        </w:r>
      </w:hyperlink>
    </w:p>
    <w:p>
      <w:pPr>
        <w:pStyle w:val="Heading2"/>
        <w:keepNext/>
      </w:pPr>
      <w:r>
        <w:t xml:space="preserve">S2 Architecture and tradeoffs</w:t>
      </w:r>
    </w:p>
    <w:p>
      <w:pPr>
        <w:pStyle w:val="Normal"/>
      </w:pPr>
      <w:r>
        <w:t xml:space="preserve">Anthropic, Building effective agents, December 19, 2024; live page notes changed tooling. Vendor guidance, not independent performance. </w:t>
      </w:r>
      <w:hyperlink r:id="rIdTW5Link3">
        <w:r>
          <w:rPr>
            <w:color w:val="0563C1"/>
            <w:u w:val="single"/>
          </w:rPr>
          <w:t xml:space="preserve">https://www.anthropic.com/research/building-effective-agents</w:t>
        </w:r>
      </w:hyperlink>
    </w:p>
    <w:p>
      <w:pPr>
        <w:pStyle w:val="Heading2"/>
        <w:keepNext/>
      </w:pPr>
      <w:r>
        <w:t xml:space="preserve">S3 Historical counterevidence</w:t>
      </w:r>
    </w:p>
    <w:p>
      <w:pPr>
        <w:pStyle w:val="Normal"/>
      </w:pPr>
      <w:r>
        <w:t xml:space="preserve">Mialon et al. GAIA, November 21, 2023 v1. Older assistant benchmark, not an October 2026 failure rate. </w:t>
      </w:r>
      <w:hyperlink r:id="rIdTW5Link4">
        <w:r>
          <w:rPr>
            <w:color w:val="0563C1"/>
            <w:u w:val="single"/>
          </w:rPr>
          <w:t xml:space="preserve">https://arxiv.org/abs/2311.12983v1</w:t>
        </w:r>
      </w:hyperlink>
    </w:p>
    <w:p>
      <w:pPr>
        <w:pStyle w:val="Heading2"/>
        <w:keepNext/>
      </w:pPr>
      <w:r>
        <w:t xml:space="preserve">S4 Measurement boundary</w:t>
      </w:r>
    </w:p>
    <w:p>
      <w:pPr>
        <w:pStyle w:val="Normal"/>
      </w:pPr>
      <w:r>
        <w:t xml:space="preserve">METR, Task-Completion Time Horizons, last updated September 8, 2026; no longer actively updated. Difficulty indexed by human task time, not a speed ratio. </w:t>
      </w:r>
      <w:hyperlink r:id="rIdTW5Link5">
        <w:r>
          <w:rPr>
            <w:color w:val="0563C1"/>
            <w:u w:val="single"/>
          </w:rPr>
          <w:t xml:space="preserve">https://metr.org/time-horizons/</w:t>
        </w:r>
      </w:hyperlink>
    </w:p>
    <w:p>
      <w:pPr>
        <w:pStyle w:val="Heading2"/>
        <w:keepNext/>
      </w:pPr>
      <w:r>
        <w:t xml:space="preserve">S5 Current qualification</w:t>
      </w:r>
    </w:p>
    <w:p>
      <w:pPr>
        <w:pStyle w:val="Normal"/>
      </w:pPr>
      <w:r>
        <w:t xml:space="preserve">METR, We are Changing our Developer Productivity Experiment Design, February 24, 2026. Selection and time-measurement issues limit extrapolation. </w:t>
      </w:r>
      <w:hyperlink r:id="rIdTW5Link6">
        <w:r>
          <w:rPr>
            <w:color w:val="0563C1"/>
            <w:u w:val="single"/>
          </w:rPr>
          <w:t xml:space="preserve">https://metr.org/blog/2026-02-24-uplift-update/</w:t>
        </w:r>
      </w:hyperlink>
    </w:p>
    <w:p>
      <w:pPr>
        <w:pStyle w:val="Heading2"/>
        <w:keepNext/>
      </w:pPr>
      <w:r>
        <w:t xml:space="preserve">S6 Adjacent field evidence</w:t>
      </w:r>
    </w:p>
    <w:p>
      <w:pPr>
        <w:pStyle w:val="Normal"/>
      </w:pPr>
      <w:r>
        <w:t xml:space="preserve">Brynjolfsson, Li and Raymond, Generative AI at Work, QJE 140(2), 2025, 889–942. Human support workers, not autonomous agents; use one dated version rather than blend counts. </w:t>
      </w:r>
      <w:hyperlink r:id="rIdTW5Link7">
        <w:r>
          <w:rPr>
            <w:color w:val="0563C1"/>
            <w:u w:val="single"/>
          </w:rPr>
          <w:t xml:space="preserve">https://academic.oup.com/qje/article/140/2/889/7990658</w:t>
        </w:r>
      </w:hyperlink>
    </w:p>
    <w:p>
      <w:pPr>
        <w:pStyle w:val="Heading2"/>
        <w:keepNext/>
      </w:pPr>
      <w:r>
        <w:t xml:space="preserve">Package reproduction and submission</w:t>
      </w:r>
    </w:p>
    <w:p>
      <w:pPr>
        <w:pStyle w:val="Normal"/>
      </w:pPr>
      <w:r>
        <w:t xml:space="preserve">From agent_package run python3 verification/recheck.py. Inspect team_records/test_and_failure_log.md and verification/run_provenance.json before interpreting the result. Cases, complete prompt packets, responses, candidate bundles and preserved weaknesses are included. The ZIP contains this same Word. Follow Brightspace’s actual upload fields and deadline: the generic one-day instruction and rubric’s 36-hour wording differ. No Brightspace upload or main-branch merge is performed.</w:t>
      </w:r>
    </w:p>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Special Dark | TW5 | Promethean Classification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TW5Link1" Type="http://schemas.openxmlformats.org/officeDocument/2006/relationships/hyperlink" Target="https://github.com/Sun417-jianbo/special-dark" TargetMode="External"/><Relationship Id="rIdTW5Link2" Type="http://schemas.openxmlformats.org/officeDocument/2006/relationships/hyperlink" Target="https://arxiv.org/abs/2210.03629v3" TargetMode="External"/><Relationship Id="rIdTW5Link3" Type="http://schemas.openxmlformats.org/officeDocument/2006/relationships/hyperlink" Target="https://www.anthropic.com/research/building-effective-agents" TargetMode="External"/><Relationship Id="rIdTW5Link4" Type="http://schemas.openxmlformats.org/officeDocument/2006/relationships/hyperlink" Target="https://arxiv.org/abs/2311.12983v1" TargetMode="External"/><Relationship Id="rIdTW5Link5" Type="http://schemas.openxmlformats.org/officeDocument/2006/relationships/hyperlink" Target="https://metr.org/time-horizons/" TargetMode="External"/><Relationship Id="rIdTW5Link6" Type="http://schemas.openxmlformats.org/officeDocument/2006/relationships/hyperlink" Target="https://metr.org/blog/2026-02-24-uplift-update/" TargetMode="External"/><Relationship Id="rIdTW5Link7" Type="http://schemas.openxmlformats.org/officeDocument/2006/relationships/hyperlink" Target="https://academic.oup.com/qje/article/140/2/889/79906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TW5 Team Agent Record</dc:title>
  <dc:subject>Special Dark SubAgent 3 Promethean Classification</dc:subject>
  <dc:creator>Special Dark; prepared by Yufei Cai with disclosed AI assistance</dc:creator>
  <cp:keywords>Advanced Business Informatics, weekly assignments, professional practice, AI, judgment, proof of concept</cp:keywords>
  <dc:description>generated by python-docx</dc:description>
  <cp:lastModifiedBy>Yufei Cai</cp:lastModifiedBy>
  <cp:revision>2</cp:revision>
  <dcterms:created xsi:type="dcterms:W3CDTF">2026-08-13T19:48:00Z</dcterms:created>
  <dcterms:modified xsi:type="dcterms:W3CDTF">2026-08-13T19:48:00Z</dcterms:modified>
  <cp:category/>
</cp:coreProperties>
</file>