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Team Workshop 3 Technology Creation Agent Record</w:t>
      </w:r>
    </w:p>
    <w:p>
      <w:pPr>
        <w:pStyle w:val="Subtitle"/>
      </w:pPr>
      <w:r>
        <w:t>MASY1 GC 1800  •  Special Dark  •  October 6 2026</w:t>
      </w:r>
    </w:p>
    <w:p>
      <w:r>
        <w:t>We selected one Creation specialist that combines a mechanism-based history of Agentic AI with explicit source limits, a five-category enabling-condition audit, organizational context and abstention. It supports investigation of chart-review workflows; it does not approve adoption. Version 1.0 records a delegated implementation decision and is submitted to the team repository for review.</w:t>
      </w:r>
    </w:p>
    <w:p>
      <w:pPr>
        <w:pStyle w:val="Heading1"/>
      </w:pPr>
      <w:r>
        <w:t>A Agent and scope</w:t>
      </w:r>
    </w:p>
    <w:p>
      <w:r>
        <w:t>Team: Yufei Cai, Chutong Wang, Jianbo Sun and Minghan Liu. After all four individual candidates were supplied, Yufei asked ChatGPT/Codex to choose and integrate the strongest elements. Version 1.0 is preserved locally and on the team repository review branch. This delegated choice is not presented as an all-member vote or a classroom discussion.</w:t>
      </w:r>
    </w:p>
    <w:p>
      <w:r>
        <w:t>Governing question: How did Agentic AI arise, which predecessor capabilities and enabling conditions matter, and what does that history justify investigating for this application and organization?</w:t>
      </w:r>
    </w:p>
    <w:p>
      <w:r>
        <w:t>Definition: Agentic AI here means language-model systems that select tool actions, use observations and continue bounded multi-step tasks. This excludes treating every chatbot or fixed automation workflow as an agent. The specialist preserves the course’s 11 required intake fields and 13 output fields.</w:t>
      </w:r>
    </w:p>
    <w:p>
      <w:pPr>
        <w:pStyle w:val="Heading1"/>
      </w:pPr>
      <w:r>
        <w:t>B Three level finding</w:t>
      </w:r>
    </w:p>
    <w:p>
      <w:pPr>
        <w:pStyle w:val="Heading2"/>
      </w:pPr>
      <w:r>
        <w:t>Technology generally</w:t>
      </w:r>
    </w:p>
    <w:p>
      <w:r>
        <w:t>Attention, scaled language pretraining and human-feedback refinement contributed language and instruction capabilities [S1–S3]. ReAct and Toolformer connect model behavior with external actions or APIs [S4–S5]. MCP is a later integration enabler [S6]. Scientific and technical contributions have direct support. Resource requirements and user-oriented interaction are reasonable inferences; financing, measured demand, institutional causes and competitive effects remain evidence gaps. This selective lineage supports technical feasibility questions, not current diffusion, reliability or economic value.</w:t>
      </w:r>
    </w:p>
    <w:p>
      <w:pPr>
        <w:pStyle w:val="Heading2"/>
      </w:pPr>
      <w:r>
        <w:t>Technology for chart review</w:t>
      </w:r>
    </w:p>
    <w:p>
      <w:r>
        <w:t>Inference: language interpretation can propose critiques while permitted tools retrieve source tables and calculate checks. The combination makes assisted review worth investigating. It does not prove that a model chooses the right denominator, identifies misleading visuals or avoids invented causal explanations.</w:t>
      </w:r>
    </w:p>
    <w:p>
      <w:pPr>
        <w:pStyle w:val="Heading2"/>
      </w:pPr>
      <w:r>
        <w:t>Technology in the primary organization</w:t>
      </w:r>
    </w:p>
    <w:p>
      <w:r>
        <w:t>In the hypothetical financial firm, sensitive data and the absence of an approved external model environment restrict the proposed four-week feasibility work to public or synthetic examples. Existing BI tables and analysts support deterministic checking and named review. No real firm, chart dataset or business pilot was evaluated.</w:t>
      </w:r>
    </w:p>
    <w:p>
      <w:r>
        <w:br w:type="page"/>
      </w:r>
    </w:p>
    <w:p>
      <w:pPr>
        <w:pStyle w:val="Heading1"/>
      </w:pPr>
      <w:r>
        <w:t>C Candidate comparison and selected synthesis</w:t>
      </w:r>
    </w:p>
    <w:p>
      <w:r>
        <w:t>The comparison concerns expert behavior rather than presentation quality. All four candidates are now preserved. Their original technologies and cases differ, so the saved outputs do not support an accuracy ranking. The selected synthesis uses mechanisms and evidence rules that can be tested under the same Agentic AI chart-review cases.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69"/>
        <w:gridCol w:w="3571"/>
        <w:gridCol w:w="5040"/>
      </w:tblGrid>
      <w:tr>
        <w:trPr>
          <w:cantSplit/>
          <w:tblHeader/>
        </w:trPr>
        <w:tc>
          <w:tcPr>
            <w:tcW w:type="dxa" w:w="1469"/>
            <w:vAlign w:val="center"/>
            <w:tcMar>
              <w:top w:w="90" w:type="dxa"/>
              <w:left w:w="90" w:type="dxa"/>
              <w:bottom w:w="90" w:type="dxa"/>
              <w:right w:w="90" w:type="dxa"/>
            </w:tcMar>
            <w:shd w:fill="DDE7EE"/>
          </w:tcPr>
          <w:p>
            <w:pPr>
              <w:spacing w:after="40" w:line="240" w:lineRule="auto"/>
            </w:pPr>
            <w:r>
              <w:rPr>
                <w:b/>
                <w:sz w:val="21"/>
              </w:rPr>
              <w:t>Candidate</w:t>
            </w:r>
          </w:p>
        </w:tc>
        <w:tc>
          <w:tcPr>
            <w:tcW w:type="dxa" w:w="3571"/>
            <w:vAlign w:val="center"/>
            <w:tcMar>
              <w:top w:w="90" w:type="dxa"/>
              <w:left w:w="90" w:type="dxa"/>
              <w:bottom w:w="90" w:type="dxa"/>
              <w:right w:w="90" w:type="dxa"/>
            </w:tcMar>
            <w:shd w:fill="DDE7EE"/>
          </w:tcPr>
          <w:p>
            <w:pPr>
              <w:spacing w:after="40" w:line="240" w:lineRule="auto"/>
            </w:pPr>
            <w:r>
              <w:rPr>
                <w:b/>
                <w:sz w:val="21"/>
              </w:rPr>
              <w:t>Retain</w:t>
            </w:r>
          </w:p>
        </w:tc>
        <w:tc>
          <w:tcPr>
            <w:tcW w:type="dxa" w:w="5040"/>
            <w:vAlign w:val="center"/>
            <w:tcMar>
              <w:top w:w="90" w:type="dxa"/>
              <w:left w:w="90" w:type="dxa"/>
              <w:bottom w:w="90" w:type="dxa"/>
              <w:right w:w="90" w:type="dxa"/>
            </w:tcMar>
            <w:shd w:fill="DDE7EE"/>
          </w:tcPr>
          <w:p>
            <w:pPr>
              <w:spacing w:after="40" w:line="240" w:lineRule="auto"/>
            </w:pPr>
            <w:r>
              <w:rPr>
                <w:b/>
                <w:sz w:val="21"/>
              </w:rPr>
              <w:t>Revise or qualify</w:t>
            </w:r>
          </w:p>
        </w:tc>
      </w:tr>
      <w:tr>
        <w:trPr>
          <w:cantSplit/>
        </w:trPr>
        <w:tc>
          <w:tcPr>
            <w:tcW w:type="dxa" w:w="1469"/>
            <w:vAlign w:val="center"/>
            <w:tcMar>
              <w:top w:w="90" w:type="dxa"/>
              <w:left w:w="90" w:type="dxa"/>
              <w:bottom w:w="90" w:type="dxa"/>
              <w:right w:w="90" w:type="dxa"/>
            </w:tcMar>
          </w:tcPr>
          <w:p>
            <w:pPr>
              <w:spacing w:after="40" w:line="240" w:lineRule="auto"/>
            </w:pPr>
            <w:r>
              <w:rPr>
                <w:b w:val="0"/>
                <w:sz w:val="21"/>
              </w:rPr>
              <w:t>Yufei Cai</w:t>
            </w:r>
          </w:p>
        </w:tc>
        <w:tc>
          <w:tcPr>
            <w:tcW w:type="dxa" w:w="3571"/>
            <w:vAlign w:val="center"/>
            <w:tcMar>
              <w:top w:w="90" w:type="dxa"/>
              <w:left w:w="90" w:type="dxa"/>
              <w:bottom w:w="90" w:type="dxa"/>
              <w:right w:w="90" w:type="dxa"/>
            </w:tcMar>
          </w:tcPr>
          <w:p>
            <w:pPr>
              <w:spacing w:after="40" w:line="240" w:lineRule="auto"/>
            </w:pPr>
            <w:r>
              <w:rPr>
                <w:b w:val="0"/>
                <w:sz w:val="21"/>
              </w:rPr>
              <w:t>Agent-specific tool lineage; chart-review context; deterministic checks and human authority.</w:t>
            </w:r>
          </w:p>
        </w:tc>
        <w:tc>
          <w:tcPr>
            <w:tcW w:type="dxa" w:w="5040"/>
            <w:vAlign w:val="center"/>
            <w:tcMar>
              <w:top w:w="90" w:type="dxa"/>
              <w:left w:w="90" w:type="dxa"/>
              <w:bottom w:w="90" w:type="dxa"/>
              <w:right w:w="90" w:type="dxa"/>
            </w:tcMar>
          </w:tcPr>
          <w:p>
            <w:pPr>
              <w:spacing w:after="40" w:line="240" w:lineRule="auto"/>
            </w:pPr>
            <w:r>
              <w:rPr>
                <w:b w:val="0"/>
                <w:sz w:val="21"/>
              </w:rPr>
              <w:t>Original contrasts change several context dimensions; no missing-organization test. Shared historical wording is not independent repeatability.</w:t>
            </w:r>
          </w:p>
        </w:tc>
      </w:tr>
      <w:tr>
        <w:trPr>
          <w:cantSplit/>
        </w:trPr>
        <w:tc>
          <w:tcPr>
            <w:tcW w:type="dxa" w:w="1469"/>
            <w:vAlign w:val="center"/>
            <w:tcMar>
              <w:top w:w="90" w:type="dxa"/>
              <w:left w:w="90" w:type="dxa"/>
              <w:bottom w:w="90" w:type="dxa"/>
              <w:right w:w="90" w:type="dxa"/>
            </w:tcMar>
          </w:tcPr>
          <w:p>
            <w:pPr>
              <w:spacing w:after="40" w:line="240" w:lineRule="auto"/>
            </w:pPr>
            <w:r>
              <w:rPr>
                <w:b w:val="0"/>
                <w:sz w:val="21"/>
              </w:rPr>
              <w:t>Jianbo Sun</w:t>
            </w:r>
          </w:p>
        </w:tc>
        <w:tc>
          <w:tcPr>
            <w:tcW w:type="dxa" w:w="3571"/>
            <w:vAlign w:val="center"/>
            <w:tcMar>
              <w:top w:w="90" w:type="dxa"/>
              <w:left w:w="90" w:type="dxa"/>
              <w:bottom w:w="90" w:type="dxa"/>
              <w:right w:w="90" w:type="dxa"/>
            </w:tcMar>
          </w:tcPr>
          <w:p>
            <w:pPr>
              <w:spacing w:after="40" w:line="240" w:lineRule="auto"/>
            </w:pPr>
            <w:r>
              <w:rPr>
                <w:b w:val="0"/>
                <w:sz w:val="21"/>
              </w:rPr>
              <w:t>Separate original research needs from current business needs; explain mechanisms; label inference and disclose test provenance.</w:t>
            </w:r>
          </w:p>
        </w:tc>
        <w:tc>
          <w:tcPr>
            <w:tcW w:type="dxa" w:w="5040"/>
            <w:vAlign w:val="center"/>
            <w:tcMar>
              <w:top w:w="90" w:type="dxa"/>
              <w:left w:w="90" w:type="dxa"/>
              <w:bottom w:w="90" w:type="dxa"/>
              <w:right w:w="90" w:type="dxa"/>
            </w:tcMar>
          </w:tcPr>
          <w:p>
            <w:pPr>
              <w:spacing w:after="40" w:line="240" w:lineRule="auto"/>
            </w:pPr>
            <w:r>
              <w:rPr>
                <w:b w:val="0"/>
                <w:sz w:val="21"/>
              </w:rPr>
              <w:t>The candidate studies generative language models. Its reasoning rules transfer, but the technology must be extended explicitly to tool-mediated action.</w:t>
            </w:r>
          </w:p>
        </w:tc>
      </w:tr>
      <w:tr>
        <w:trPr>
          <w:cantSplit/>
        </w:trPr>
        <w:tc>
          <w:tcPr>
            <w:tcW w:type="dxa" w:w="1469"/>
            <w:vAlign w:val="center"/>
            <w:tcMar>
              <w:top w:w="90" w:type="dxa"/>
              <w:left w:w="90" w:type="dxa"/>
              <w:bottom w:w="90" w:type="dxa"/>
              <w:right w:w="90" w:type="dxa"/>
            </w:tcMar>
          </w:tcPr>
          <w:p>
            <w:pPr>
              <w:spacing w:after="40" w:line="240" w:lineRule="auto"/>
            </w:pPr>
            <w:r>
              <w:rPr>
                <w:b w:val="0"/>
                <w:sz w:val="21"/>
              </w:rPr>
              <w:t>Minghan Liu</w:t>
            </w:r>
          </w:p>
        </w:tc>
        <w:tc>
          <w:tcPr>
            <w:tcW w:type="dxa" w:w="3571"/>
            <w:vAlign w:val="center"/>
            <w:tcMar>
              <w:top w:w="90" w:type="dxa"/>
              <w:left w:w="90" w:type="dxa"/>
              <w:bottom w:w="90" w:type="dxa"/>
              <w:right w:w="90" w:type="dxa"/>
            </w:tcMar>
          </w:tcPr>
          <w:p>
            <w:pPr>
              <w:spacing w:after="40" w:line="240" w:lineRule="auto"/>
            </w:pPr>
            <w:r>
              <w:rPr>
                <w:b w:val="0"/>
                <w:sz w:val="21"/>
              </w:rPr>
              <w:t>Context contrast and withholding organizational judgment when information is missing.</w:t>
            </w:r>
          </w:p>
        </w:tc>
        <w:tc>
          <w:tcPr>
            <w:tcW w:type="dxa" w:w="5040"/>
            <w:vAlign w:val="center"/>
            <w:tcMar>
              <w:top w:w="90" w:type="dxa"/>
              <w:left w:w="90" w:type="dxa"/>
              <w:bottom w:w="90" w:type="dxa"/>
              <w:right w:w="90" w:type="dxa"/>
            </w:tcMar>
          </w:tcPr>
          <w:p>
            <w:pPr>
              <w:spacing w:after="40" w:line="240" w:lineRule="auto"/>
            </w:pPr>
            <w:r>
              <w:rPr>
                <w:b w:val="0"/>
                <w:sz w:val="21"/>
              </w:rPr>
              <w:t>Reject broad chatbot popularity as agentic diffusion evidence and unmeasured near-zero serving cost. Resolve inconsistent version labels.</w:t>
            </w:r>
          </w:p>
        </w:tc>
      </w:tr>
      <w:tr>
        <w:trPr>
          <w:cantSplit/>
        </w:trPr>
        <w:tc>
          <w:tcPr>
            <w:tcW w:type="dxa" w:w="1469"/>
            <w:vAlign w:val="center"/>
            <w:tcMar>
              <w:top w:w="90" w:type="dxa"/>
              <w:left w:w="90" w:type="dxa"/>
              <w:bottom w:w="90" w:type="dxa"/>
              <w:right w:w="90" w:type="dxa"/>
            </w:tcMar>
          </w:tcPr>
          <w:p>
            <w:pPr>
              <w:spacing w:after="40" w:line="240" w:lineRule="auto"/>
            </w:pPr>
            <w:r>
              <w:rPr>
                <w:b w:val="0"/>
                <w:sz w:val="21"/>
              </w:rPr>
              <w:t>Chutong Wang</w:t>
            </w:r>
          </w:p>
        </w:tc>
        <w:tc>
          <w:tcPr>
            <w:tcW w:type="dxa" w:w="3571"/>
            <w:vAlign w:val="center"/>
            <w:tcMar>
              <w:top w:w="90" w:type="dxa"/>
              <w:left w:w="90" w:type="dxa"/>
              <w:bottom w:w="90" w:type="dxa"/>
              <w:right w:w="90" w:type="dxa"/>
            </w:tcMar>
          </w:tcPr>
          <w:p>
            <w:pPr>
              <w:spacing w:after="40" w:line="240" w:lineRule="auto"/>
            </w:pPr>
            <w:r>
              <w:rPr>
                <w:b w:val="0"/>
                <w:sz w:val="21"/>
              </w:rPr>
              <w:t>Audit five enabling categories; mark facts, inferences and gaps; distinguish required controls from demonstrated capability.</w:t>
            </w:r>
          </w:p>
        </w:tc>
        <w:tc>
          <w:tcPr>
            <w:tcW w:type="dxa" w:w="5040"/>
            <w:vAlign w:val="center"/>
            <w:tcMar>
              <w:top w:w="90" w:type="dxa"/>
              <w:left w:w="90" w:type="dxa"/>
              <w:bottom w:w="90" w:type="dxa"/>
              <w:right w:w="90" w:type="dxa"/>
            </w:tcMar>
          </w:tcPr>
          <w:p>
            <w:pPr>
              <w:spacing w:after="40" w:line="240" w:lineRule="auto"/>
            </w:pPr>
            <w:r>
              <w:rPr>
                <w:b w:val="0"/>
                <w:sz w:val="21"/>
              </w:rPr>
              <w:t>Original technology is generative AI and application is audit review; do not carry audit rules into chart review or equate category coverage with complete evidence.</w:t>
            </w:r>
          </w:p>
        </w:tc>
      </w:tr>
    </w:tbl>
    <w:p>
      <w:pPr>
        <w:spacing w:after="0"/>
      </w:pPr>
    </w:p>
    <w:p>
      <w:pPr>
        <w:pStyle w:val="Heading2"/>
      </w:pPr>
      <w:r>
        <w:t>Why these elements fit together</w:t>
      </w:r>
    </w:p>
    <w:p>
      <w:r>
        <w:t>The selected design uses Jianbo’s original-need and mechanism structure, Yufei’s agent-specific evidence and bounded chart workflow, Chutong’s five-category evidence audit, and Minghan’s missing-context challenge. It does not merge reports paragraph by paragraph. The account explains predecessor contributions, labels causal interpretations, exposes nontechnical gaps and keeps organizational consequences separate from history.</w:t>
      </w:r>
    </w:p>
    <w:p>
      <w:r>
        <w:t>The key rejection concerns construct validity: even a correct ChatGPT user count does not measure autonomous or tool-directed workflows. Likewise, software replication does not establish near-zero inference cost. These claims remain visible in the candidate snapshot so the reason for revision is traceable.</w:t>
      </w:r>
    </w:p>
    <w:p>
      <w:pPr>
        <w:pStyle w:val="Heading2"/>
      </w:pPr>
      <w:r>
        <w:t>Alternative and unresolved concern</w:t>
      </w:r>
    </w:p>
    <w:p>
      <w:r>
        <w:t>A more assertive interpretation treats product releases as commercialization evidence. That narrow availability claim may be defensible; it still cannot establish measured diffusion or organizational readiness. The proposed version therefore keeps a research-to-integration arc and withholds a precise current-market stage. Its LLM/tool-use genealogy remains incomplete relative to older planning and software-agent traditions.</w:t>
      </w:r>
    </w:p>
    <w:p>
      <w:r>
        <w:t>Yufei delegated the implementation choice to the assistant after supplying the fourth candidate and repository. No other member is recorded as endorsing or opposing the choice. Four common design walkthroughs support the synthesis but were generated and reviewed by the same assistant. Full anchors and contribution paths appear in team_records/candidate_comparison.md.</w:t>
      </w:r>
    </w:p>
    <w:p>
      <w:r>
        <w:br w:type="page"/>
      </w:r>
    </w:p>
    <w:p>
      <w:pPr>
        <w:pStyle w:val="Heading1"/>
      </w:pPr>
      <w:r>
        <w:t>D Evidence and claim boundaries</w:t>
      </w:r>
    </w:p>
    <w:p>
      <w:r>
        <w:t>Consequential historical claims were checked by the assistant against original research pages or the original release announcement on October 6, 2026. Checking is largely at abstract or announcement level. Human review is still required before these claims determine the team’s final judgment; disputed causal claims require deeper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032"/>
        <w:gridCol w:w="4032"/>
      </w:tblGrid>
      <w:tr>
        <w:trPr>
          <w:cantSplit/>
          <w:tblHeader/>
        </w:trPr>
        <w:tc>
          <w:tcPr>
            <w:tcW w:type="dxa" w:w="2016"/>
            <w:vAlign w:val="center"/>
            <w:tcMar>
              <w:top w:w="90" w:type="dxa"/>
              <w:left w:w="90" w:type="dxa"/>
              <w:bottom w:w="90" w:type="dxa"/>
              <w:right w:w="90" w:type="dxa"/>
            </w:tcMar>
            <w:shd w:fill="DDE7EE"/>
          </w:tcPr>
          <w:p>
            <w:pPr>
              <w:spacing w:after="40" w:line="240" w:lineRule="auto"/>
            </w:pPr>
            <w:r>
              <w:rPr>
                <w:b/>
                <w:sz w:val="21"/>
              </w:rPr>
              <w:t>Source</w:t>
            </w:r>
          </w:p>
        </w:tc>
        <w:tc>
          <w:tcPr>
            <w:tcW w:type="dxa" w:w="4032"/>
            <w:vAlign w:val="center"/>
            <w:tcMar>
              <w:top w:w="90" w:type="dxa"/>
              <w:left w:w="90" w:type="dxa"/>
              <w:bottom w:w="90" w:type="dxa"/>
              <w:right w:w="90" w:type="dxa"/>
            </w:tcMar>
            <w:shd w:fill="DDE7EE"/>
          </w:tcPr>
          <w:p>
            <w:pPr>
              <w:spacing w:after="40" w:line="240" w:lineRule="auto"/>
            </w:pPr>
            <w:r>
              <w:rPr>
                <w:b/>
                <w:sz w:val="21"/>
              </w:rPr>
              <w:t>Supported contribution</w:t>
            </w:r>
          </w:p>
        </w:tc>
        <w:tc>
          <w:tcPr>
            <w:tcW w:type="dxa" w:w="4032"/>
            <w:vAlign w:val="center"/>
            <w:tcMar>
              <w:top w:w="90" w:type="dxa"/>
              <w:left w:w="90" w:type="dxa"/>
              <w:bottom w:w="90" w:type="dxa"/>
              <w:right w:w="90" w:type="dxa"/>
            </w:tcMar>
            <w:shd w:fill="DDE7EE"/>
          </w:tcPr>
          <w:p>
            <w:pPr>
              <w:spacing w:after="40" w:line="240" w:lineRule="auto"/>
            </w:pPr>
            <w:r>
              <w:rPr>
                <w:b/>
                <w:sz w:val="21"/>
              </w:rPr>
              <w:t>What it does not establish</w:t>
            </w:r>
          </w:p>
        </w:tc>
      </w:tr>
      <w:tr>
        <w:trPr>
          <w:cantSplit/>
        </w:trPr>
        <w:tc>
          <w:tcPr>
            <w:tcW w:type="dxa" w:w="2016"/>
            <w:vAlign w:val="center"/>
            <w:tcMar>
              <w:top w:w="90" w:type="dxa"/>
              <w:left w:w="90" w:type="dxa"/>
              <w:bottom w:w="90" w:type="dxa"/>
              <w:right w:w="90" w:type="dxa"/>
            </w:tcMar>
          </w:tcPr>
          <w:p>
            <w:pPr>
              <w:spacing w:after="40" w:line="240" w:lineRule="auto"/>
            </w:pPr>
            <w:r>
              <w:rPr>
                <w:b w:val="0"/>
                <w:sz w:val="21"/>
              </w:rPr>
              <w:t>S1  Vaswani et al.</w:t>
              <w:br/>
              <w:t>2017 06 12</w:t>
            </w:r>
          </w:p>
        </w:tc>
        <w:tc>
          <w:tcPr>
            <w:tcW w:type="dxa" w:w="4032"/>
            <w:vAlign w:val="center"/>
            <w:tcMar>
              <w:top w:w="90" w:type="dxa"/>
              <w:left w:w="90" w:type="dxa"/>
              <w:bottom w:w="90" w:type="dxa"/>
              <w:right w:w="90" w:type="dxa"/>
            </w:tcMar>
          </w:tcPr>
          <w:p>
            <w:pPr>
              <w:spacing w:after="40" w:line="240" w:lineRule="auto"/>
            </w:pPr>
            <w:r>
              <w:rPr>
                <w:b w:val="0"/>
                <w:sz w:val="21"/>
              </w:rPr>
              <w:t>Attention-based sequence modeling and more parallelizable training in translation experiments.</w:t>
            </w:r>
          </w:p>
        </w:tc>
        <w:tc>
          <w:tcPr>
            <w:tcW w:type="dxa" w:w="4032"/>
            <w:vAlign w:val="center"/>
            <w:tcMar>
              <w:top w:w="90" w:type="dxa"/>
              <w:left w:w="90" w:type="dxa"/>
              <w:bottom w:w="90" w:type="dxa"/>
              <w:right w:w="90" w:type="dxa"/>
            </w:tcMar>
          </w:tcPr>
          <w:p>
            <w:pPr>
              <w:spacing w:after="40" w:line="240" w:lineRule="auto"/>
            </w:pPr>
            <w:r>
              <w:rPr>
                <w:b w:val="0"/>
                <w:sz w:val="21"/>
              </w:rPr>
              <w:t>Origin of all AI agents or business-report accuracy.</w:t>
            </w:r>
          </w:p>
        </w:tc>
      </w:tr>
      <w:tr>
        <w:trPr>
          <w:cantSplit/>
        </w:trPr>
        <w:tc>
          <w:tcPr>
            <w:tcW w:type="dxa" w:w="2016"/>
            <w:vAlign w:val="center"/>
            <w:tcMar>
              <w:top w:w="90" w:type="dxa"/>
              <w:left w:w="90" w:type="dxa"/>
              <w:bottom w:w="90" w:type="dxa"/>
              <w:right w:w="90" w:type="dxa"/>
            </w:tcMar>
          </w:tcPr>
          <w:p>
            <w:pPr>
              <w:spacing w:after="40" w:line="240" w:lineRule="auto"/>
            </w:pPr>
            <w:r>
              <w:rPr>
                <w:b w:val="0"/>
                <w:sz w:val="21"/>
              </w:rPr>
              <w:t>S2  Brown et al.</w:t>
              <w:br/>
              <w:t>2020 05 28</w:t>
            </w:r>
          </w:p>
        </w:tc>
        <w:tc>
          <w:tcPr>
            <w:tcW w:type="dxa" w:w="4032"/>
            <w:vAlign w:val="center"/>
            <w:tcMar>
              <w:top w:w="90" w:type="dxa"/>
              <w:left w:w="90" w:type="dxa"/>
              <w:bottom w:w="90" w:type="dxa"/>
              <w:right w:w="90" w:type="dxa"/>
            </w:tcMar>
          </w:tcPr>
          <w:p>
            <w:pPr>
              <w:spacing w:after="40" w:line="240" w:lineRule="auto"/>
            </w:pPr>
            <w:r>
              <w:rPr>
                <w:b w:val="0"/>
                <w:sz w:val="21"/>
              </w:rPr>
              <w:t>Scaled language models demonstrated few-shot task performance.</w:t>
            </w:r>
          </w:p>
        </w:tc>
        <w:tc>
          <w:tcPr>
            <w:tcW w:type="dxa" w:w="4032"/>
            <w:vAlign w:val="center"/>
            <w:tcMar>
              <w:top w:w="90" w:type="dxa"/>
              <w:left w:w="90" w:type="dxa"/>
              <w:bottom w:w="90" w:type="dxa"/>
              <w:right w:w="90" w:type="dxa"/>
            </w:tcMar>
          </w:tcPr>
          <w:p>
            <w:pPr>
              <w:spacing w:after="40" w:line="240" w:lineRule="auto"/>
            </w:pPr>
            <w:r>
              <w:rPr>
                <w:b w:val="0"/>
                <w:sz w:val="21"/>
              </w:rPr>
              <w:t>Current model quality, organizational savings or deployment suitability.</w:t>
            </w:r>
          </w:p>
        </w:tc>
      </w:tr>
      <w:tr>
        <w:trPr>
          <w:cantSplit/>
        </w:trPr>
        <w:tc>
          <w:tcPr>
            <w:tcW w:type="dxa" w:w="2016"/>
            <w:vAlign w:val="center"/>
            <w:tcMar>
              <w:top w:w="90" w:type="dxa"/>
              <w:left w:w="90" w:type="dxa"/>
              <w:bottom w:w="90" w:type="dxa"/>
              <w:right w:w="90" w:type="dxa"/>
            </w:tcMar>
          </w:tcPr>
          <w:p>
            <w:pPr>
              <w:spacing w:after="40" w:line="240" w:lineRule="auto"/>
            </w:pPr>
            <w:r>
              <w:rPr>
                <w:b w:val="0"/>
                <w:sz w:val="21"/>
              </w:rPr>
              <w:t>S3  Ouyang et al.</w:t>
              <w:br/>
              <w:t>2022 03 04</w:t>
            </w:r>
          </w:p>
        </w:tc>
        <w:tc>
          <w:tcPr>
            <w:tcW w:type="dxa" w:w="4032"/>
            <w:vAlign w:val="center"/>
            <w:tcMar>
              <w:top w:w="90" w:type="dxa"/>
              <w:left w:w="90" w:type="dxa"/>
              <w:bottom w:w="90" w:type="dxa"/>
              <w:right w:w="90" w:type="dxa"/>
            </w:tcMar>
          </w:tcPr>
          <w:p>
            <w:pPr>
              <w:spacing w:after="40" w:line="240" w:lineRule="auto"/>
            </w:pPr>
            <w:r>
              <w:rPr>
                <w:b w:val="0"/>
                <w:sz w:val="21"/>
              </w:rPr>
              <w:t>Human demonstrations and preferences improved instruction following; errors remained.</w:t>
            </w:r>
          </w:p>
        </w:tc>
        <w:tc>
          <w:tcPr>
            <w:tcW w:type="dxa" w:w="4032"/>
            <w:vAlign w:val="center"/>
            <w:tcMar>
              <w:top w:w="90" w:type="dxa"/>
              <w:left w:w="90" w:type="dxa"/>
              <w:bottom w:w="90" w:type="dxa"/>
              <w:right w:w="90" w:type="dxa"/>
            </w:tcMar>
          </w:tcPr>
          <w:p>
            <w:pPr>
              <w:spacing w:after="40" w:line="240" w:lineRule="auto"/>
            </w:pPr>
            <w:r>
              <w:rPr>
                <w:b w:val="0"/>
                <w:sz w:val="21"/>
              </w:rPr>
              <w:t>Guaranteed truth or safe autonomous action.</w:t>
            </w:r>
          </w:p>
        </w:tc>
      </w:tr>
      <w:tr>
        <w:trPr>
          <w:cantSplit/>
        </w:trPr>
        <w:tc>
          <w:tcPr>
            <w:tcW w:type="dxa" w:w="2016"/>
            <w:vAlign w:val="center"/>
            <w:tcMar>
              <w:top w:w="90" w:type="dxa"/>
              <w:left w:w="90" w:type="dxa"/>
              <w:bottom w:w="90" w:type="dxa"/>
              <w:right w:w="90" w:type="dxa"/>
            </w:tcMar>
          </w:tcPr>
          <w:p>
            <w:pPr>
              <w:spacing w:after="40" w:line="240" w:lineRule="auto"/>
            </w:pPr>
            <w:r>
              <w:rPr>
                <w:b w:val="0"/>
                <w:sz w:val="21"/>
              </w:rPr>
              <w:t>S4  Yao et al.</w:t>
              <w:br/>
              <w:t>2022 10 06</w:t>
            </w:r>
          </w:p>
        </w:tc>
        <w:tc>
          <w:tcPr>
            <w:tcW w:type="dxa" w:w="4032"/>
            <w:vAlign w:val="center"/>
            <w:tcMar>
              <w:top w:w="90" w:type="dxa"/>
              <w:left w:w="90" w:type="dxa"/>
              <w:bottom w:w="90" w:type="dxa"/>
              <w:right w:w="90" w:type="dxa"/>
            </w:tcMar>
          </w:tcPr>
          <w:p>
            <w:pPr>
              <w:spacing w:after="40" w:line="240" w:lineRule="auto"/>
            </w:pPr>
            <w:r>
              <w:rPr>
                <w:b w:val="0"/>
                <w:sz w:val="21"/>
              </w:rPr>
              <w:t>ReAct interleaves reasoning and action with external information or environments.</w:t>
            </w:r>
          </w:p>
        </w:tc>
        <w:tc>
          <w:tcPr>
            <w:tcW w:type="dxa" w:w="4032"/>
            <w:vAlign w:val="center"/>
            <w:tcMar>
              <w:top w:w="90" w:type="dxa"/>
              <w:left w:w="90" w:type="dxa"/>
              <w:bottom w:w="90" w:type="dxa"/>
              <w:right w:w="90" w:type="dxa"/>
            </w:tcMar>
          </w:tcPr>
          <w:p>
            <w:pPr>
              <w:spacing w:after="40" w:line="240" w:lineRule="auto"/>
            </w:pPr>
            <w:r>
              <w:rPr>
                <w:b w:val="0"/>
                <w:sz w:val="21"/>
              </w:rPr>
              <w:t>Enterprise reliability or chart-review performance.</w:t>
            </w:r>
          </w:p>
        </w:tc>
      </w:tr>
      <w:tr>
        <w:trPr>
          <w:cantSplit/>
        </w:trPr>
        <w:tc>
          <w:tcPr>
            <w:tcW w:type="dxa" w:w="2016"/>
            <w:vAlign w:val="center"/>
            <w:tcMar>
              <w:top w:w="90" w:type="dxa"/>
              <w:left w:w="90" w:type="dxa"/>
              <w:bottom w:w="90" w:type="dxa"/>
              <w:right w:w="90" w:type="dxa"/>
            </w:tcMar>
          </w:tcPr>
          <w:p>
            <w:pPr>
              <w:spacing w:after="40" w:line="240" w:lineRule="auto"/>
            </w:pPr>
            <w:r>
              <w:rPr>
                <w:b w:val="0"/>
                <w:sz w:val="21"/>
              </w:rPr>
              <w:t>S5  Schick et al.</w:t>
              <w:br/>
              <w:t>2023 02 09</w:t>
            </w:r>
          </w:p>
        </w:tc>
        <w:tc>
          <w:tcPr>
            <w:tcW w:type="dxa" w:w="4032"/>
            <w:vAlign w:val="center"/>
            <w:tcMar>
              <w:top w:w="90" w:type="dxa"/>
              <w:left w:w="90" w:type="dxa"/>
              <w:bottom w:w="90" w:type="dxa"/>
              <w:right w:w="90" w:type="dxa"/>
            </w:tcMar>
          </w:tcPr>
          <w:p>
            <w:pPr>
              <w:spacing w:after="40" w:line="240" w:lineRule="auto"/>
            </w:pPr>
            <w:r>
              <w:rPr>
                <w:b w:val="0"/>
                <w:sz w:val="21"/>
              </w:rPr>
              <w:t>Toolformer investigates learning when and how to use APIs.</w:t>
            </w:r>
          </w:p>
        </w:tc>
        <w:tc>
          <w:tcPr>
            <w:tcW w:type="dxa" w:w="4032"/>
            <w:vAlign w:val="center"/>
            <w:tcMar>
              <w:top w:w="90" w:type="dxa"/>
              <w:left w:w="90" w:type="dxa"/>
              <w:bottom w:w="90" w:type="dxa"/>
              <w:right w:w="90" w:type="dxa"/>
            </w:tcMar>
          </w:tcPr>
          <w:p>
            <w:pPr>
              <w:spacing w:after="40" w:line="240" w:lineRule="auto"/>
            </w:pPr>
            <w:r>
              <w:rPr>
                <w:b w:val="0"/>
                <w:sz w:val="21"/>
              </w:rPr>
              <w:t>Reliable permissions, universal tool correctness or measured business value.</w:t>
            </w:r>
          </w:p>
        </w:tc>
      </w:tr>
      <w:tr>
        <w:trPr>
          <w:cantSplit/>
        </w:trPr>
        <w:tc>
          <w:tcPr>
            <w:tcW w:type="dxa" w:w="2016"/>
            <w:vAlign w:val="center"/>
            <w:tcMar>
              <w:top w:w="90" w:type="dxa"/>
              <w:left w:w="90" w:type="dxa"/>
              <w:bottom w:w="90" w:type="dxa"/>
              <w:right w:w="90" w:type="dxa"/>
            </w:tcMar>
          </w:tcPr>
          <w:p>
            <w:pPr>
              <w:spacing w:after="40" w:line="240" w:lineRule="auto"/>
            </w:pPr>
            <w:r>
              <w:rPr>
                <w:b w:val="0"/>
                <w:sz w:val="21"/>
              </w:rPr>
              <w:t>S6  Anthropic</w:t>
              <w:br/>
              <w:t>2024 11 25</w:t>
            </w:r>
          </w:p>
        </w:tc>
        <w:tc>
          <w:tcPr>
            <w:tcW w:type="dxa" w:w="4032"/>
            <w:vAlign w:val="center"/>
            <w:tcMar>
              <w:top w:w="90" w:type="dxa"/>
              <w:left w:w="90" w:type="dxa"/>
              <w:bottom w:w="90" w:type="dxa"/>
              <w:right w:w="90" w:type="dxa"/>
            </w:tcMar>
          </w:tcPr>
          <w:p>
            <w:pPr>
              <w:spacing w:after="40" w:line="240" w:lineRule="auto"/>
            </w:pPr>
            <w:r>
              <w:rPr>
                <w:b w:val="0"/>
                <w:sz w:val="21"/>
              </w:rPr>
              <w:t>Announcement of MCP for connecting AI systems with tools and data.</w:t>
            </w:r>
          </w:p>
        </w:tc>
        <w:tc>
          <w:tcPr>
            <w:tcW w:type="dxa" w:w="4032"/>
            <w:vAlign w:val="center"/>
            <w:tcMar>
              <w:top w:w="90" w:type="dxa"/>
              <w:left w:w="90" w:type="dxa"/>
              <w:bottom w:w="90" w:type="dxa"/>
              <w:right w:w="90" w:type="dxa"/>
            </w:tcMar>
          </w:tcPr>
          <w:p>
            <w:pPr>
              <w:spacing w:after="40" w:line="240" w:lineRule="auto"/>
            </w:pPr>
            <w:r>
              <w:rPr>
                <w:b w:val="0"/>
                <w:sz w:val="21"/>
              </w:rPr>
              <w:t>A necessary cause of earlier agent research or measured market penetration.</w:t>
            </w:r>
          </w:p>
        </w:tc>
      </w:tr>
    </w:tbl>
    <w:p>
      <w:pPr>
        <w:spacing w:after="0"/>
      </w:pPr>
    </w:p>
    <w:p>
      <w:pPr>
        <w:pStyle w:val="Heading2"/>
      </w:pPr>
      <w:r>
        <w:t>Source references</w:t>
      </w:r>
    </w:p>
    <w:p>
      <w:r>
        <w:rPr>
          <w:sz w:val="20"/>
        </w:rPr>
        <w:t>[S1] Vaswani et al.. Attention Is All You Need. https://arxiv.org/abs/1706.03762</w:t>
      </w:r>
    </w:p>
    <w:p>
      <w:r>
        <w:rPr>
          <w:sz w:val="20"/>
        </w:rPr>
        <w:t>[S2] Brown et al.. Language Models are Few-Shot Learners. https://arxiv.org/abs/2005.14165</w:t>
      </w:r>
    </w:p>
    <w:p>
      <w:r>
        <w:rPr>
          <w:sz w:val="20"/>
        </w:rPr>
        <w:t>[S3] Ouyang et al.. Training language models to follow instructions with human feedback. https://arxiv.org/abs/2203.02155</w:t>
      </w:r>
    </w:p>
    <w:p>
      <w:r>
        <w:rPr>
          <w:sz w:val="20"/>
        </w:rPr>
        <w:t>[S4] Yao et al.. ReAct Synergizing Reasoning and Acting in Language Models. https://arxiv.org/abs/2210.03629</w:t>
      </w:r>
    </w:p>
    <w:p>
      <w:r>
        <w:rPr>
          <w:sz w:val="20"/>
        </w:rPr>
        <w:t>[S5] Schick et al.. Toolformer Language Models Can Teach Themselves to Use Tools. https://arxiv.org/abs/2302.04761</w:t>
      </w:r>
    </w:p>
    <w:p>
      <w:r>
        <w:rPr>
          <w:sz w:val="20"/>
        </w:rPr>
        <w:t>[S6] Anthropic. Introducing the Model Context Protocol. https://www.anthropic.com/news/model-context-protocol</w:t>
      </w:r>
    </w:p>
    <w:p>
      <w:pPr>
        <w:pStyle w:val="Heading2"/>
      </w:pPr>
      <w:r>
        <w:t>Facts and inference</w:t>
      </w:r>
    </w:p>
    <w:p>
      <w:r>
        <w:t>Paper contributions and release dates are sourced facts within the stated limits. The combination of capabilities and organizational implications are analytical inferences. The fictional organizations are case assumptions. The five-category audit marks financing, measured social demand, institutional causes and competitive conditions as gaps rather than inventing explanations. No current adoption, legal-compliance or cost conclusion is inferred from historical sources.</w:t>
      </w:r>
    </w:p>
    <w:p>
      <w:r>
        <w:br w:type="page"/>
      </w:r>
    </w:p>
    <w:p>
      <w:pPr>
        <w:pStyle w:val="Heading1"/>
      </w:pPr>
      <w:r>
        <w:t>E Common tests and preserved failures</w:t>
      </w:r>
    </w:p>
    <w:p>
      <w:r>
        <w:t>The common primary and contrast hold technology, chart-review application, source packet, question and four-week horizon constant. The primary financial firm has sensitive data and no approved external model environment. The contrasting media studio uses public aggregates in an approved sandbox, has a reviewer and limited engineering capacity. Several organizational variables change together, so this is not a single-factor causal experiment.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5227"/>
        <w:gridCol w:w="3067"/>
      </w:tblGrid>
      <w:tr>
        <w:trPr>
          <w:cantSplit/>
          <w:tblHeader/>
        </w:trPr>
        <w:tc>
          <w:tcPr>
            <w:tcW w:type="dxa" w:w="1786"/>
            <w:vAlign w:val="center"/>
            <w:tcMar>
              <w:top w:w="90" w:type="dxa"/>
              <w:left w:w="90" w:type="dxa"/>
              <w:bottom w:w="90" w:type="dxa"/>
              <w:right w:w="90" w:type="dxa"/>
            </w:tcMar>
            <w:shd w:fill="DDE7EE"/>
          </w:tcPr>
          <w:p>
            <w:pPr>
              <w:spacing w:after="40" w:line="240" w:lineRule="auto"/>
            </w:pPr>
            <w:r>
              <w:rPr>
                <w:b/>
                <w:sz w:val="21"/>
              </w:rPr>
              <w:t>Saved example</w:t>
            </w:r>
          </w:p>
        </w:tc>
        <w:tc>
          <w:tcPr>
            <w:tcW w:type="dxa" w:w="5227"/>
            <w:vAlign w:val="center"/>
            <w:tcMar>
              <w:top w:w="90" w:type="dxa"/>
              <w:left w:w="90" w:type="dxa"/>
              <w:bottom w:w="90" w:type="dxa"/>
              <w:right w:w="90" w:type="dxa"/>
            </w:tcMar>
            <w:shd w:fill="DDE7EE"/>
          </w:tcPr>
          <w:p>
            <w:pPr>
              <w:spacing w:after="40" w:line="240" w:lineRule="auto"/>
            </w:pPr>
            <w:r>
              <w:rPr>
                <w:b/>
                <w:sz w:val="21"/>
              </w:rPr>
              <w:t>Observed behavior</w:t>
            </w:r>
          </w:p>
        </w:tc>
        <w:tc>
          <w:tcPr>
            <w:tcW w:type="dxa" w:w="3067"/>
            <w:vAlign w:val="center"/>
            <w:tcMar>
              <w:top w:w="90" w:type="dxa"/>
              <w:left w:w="90" w:type="dxa"/>
              <w:bottom w:w="90" w:type="dxa"/>
              <w:right w:w="90" w:type="dxa"/>
            </w:tcMar>
            <w:shd w:fill="DDE7EE"/>
          </w:tcPr>
          <w:p>
            <w:pPr>
              <w:spacing w:after="40" w:line="240" w:lineRule="auto"/>
            </w:pPr>
            <w:r>
              <w:rPr>
                <w:b/>
                <w:sz w:val="21"/>
              </w:rPr>
              <w:t>Limit</w:t>
            </w:r>
          </w:p>
        </w:tc>
      </w:tr>
      <w:tr>
        <w:trPr>
          <w:cantSplit/>
        </w:trPr>
        <w:tc>
          <w:tcPr>
            <w:tcW w:type="dxa" w:w="1786"/>
            <w:vAlign w:val="center"/>
            <w:tcMar>
              <w:top w:w="90" w:type="dxa"/>
              <w:left w:w="90" w:type="dxa"/>
              <w:bottom w:w="90" w:type="dxa"/>
              <w:right w:w="90" w:type="dxa"/>
            </w:tcMar>
          </w:tcPr>
          <w:p>
            <w:pPr>
              <w:spacing w:after="40" w:line="240" w:lineRule="auto"/>
            </w:pPr>
            <w:r>
              <w:rPr>
                <w:b w:val="0"/>
                <w:sz w:val="21"/>
              </w:rPr>
              <w:t>Primary</w:t>
            </w:r>
          </w:p>
        </w:tc>
        <w:tc>
          <w:tcPr>
            <w:tcW w:type="dxa" w:w="5227"/>
            <w:vAlign w:val="center"/>
            <w:tcMar>
              <w:top w:w="90" w:type="dxa"/>
              <w:left w:w="90" w:type="dxa"/>
              <w:bottom w:w="90" w:type="dxa"/>
              <w:right w:w="90" w:type="dxa"/>
            </w:tcMar>
          </w:tcPr>
          <w:p>
            <w:pPr>
              <w:spacing w:after="40" w:line="240" w:lineRule="auto"/>
            </w:pPr>
            <w:r>
              <w:rPr>
                <w:b w:val="0"/>
                <w:sz w:val="21"/>
              </w:rPr>
              <w:t>Restricts investigation to public or synthetic examples, with read-only tools, deterministic checks and named review.</w:t>
            </w:r>
          </w:p>
        </w:tc>
        <w:tc>
          <w:tcPr>
            <w:tcW w:type="dxa" w:w="3067"/>
            <w:vAlign w:val="center"/>
            <w:tcMar>
              <w:top w:w="90" w:type="dxa"/>
              <w:left w:w="90" w:type="dxa"/>
              <w:bottom w:w="90" w:type="dxa"/>
              <w:right w:w="90" w:type="dxa"/>
            </w:tcMar>
          </w:tcPr>
          <w:p>
            <w:pPr>
              <w:spacing w:after="40" w:line="240" w:lineRule="auto"/>
            </w:pPr>
            <w:r>
              <w:rPr>
                <w:b w:val="0"/>
                <w:sz w:val="21"/>
              </w:rPr>
              <w:t>No financial-services performance measured.</w:t>
            </w:r>
          </w:p>
        </w:tc>
      </w:tr>
      <w:tr>
        <w:trPr>
          <w:cantSplit/>
        </w:trPr>
        <w:tc>
          <w:tcPr>
            <w:tcW w:type="dxa" w:w="1786"/>
            <w:vAlign w:val="center"/>
            <w:tcMar>
              <w:top w:w="90" w:type="dxa"/>
              <w:left w:w="90" w:type="dxa"/>
              <w:bottom w:w="90" w:type="dxa"/>
              <w:right w:w="90" w:type="dxa"/>
            </w:tcMar>
          </w:tcPr>
          <w:p>
            <w:pPr>
              <w:spacing w:after="40" w:line="240" w:lineRule="auto"/>
            </w:pPr>
            <w:r>
              <w:rPr>
                <w:b w:val="0"/>
                <w:sz w:val="21"/>
              </w:rPr>
              <w:t>Organization contrast</w:t>
            </w:r>
          </w:p>
        </w:tc>
        <w:tc>
          <w:tcPr>
            <w:tcW w:type="dxa" w:w="5227"/>
            <w:vAlign w:val="center"/>
            <w:tcMar>
              <w:top w:w="90" w:type="dxa"/>
              <w:left w:w="90" w:type="dxa"/>
              <w:bottom w:w="90" w:type="dxa"/>
              <w:right w:w="90" w:type="dxa"/>
            </w:tcMar>
          </w:tcPr>
          <w:p>
            <w:pPr>
              <w:spacing w:after="40" w:line="240" w:lineRule="auto"/>
            </w:pPr>
            <w:r>
              <w:rPr>
                <w:b w:val="0"/>
                <w:sz w:val="21"/>
              </w:rPr>
              <w:t>Permits investigation in the existing public-data sandbox while retaining source checking and editor authority.</w:t>
            </w:r>
          </w:p>
        </w:tc>
        <w:tc>
          <w:tcPr>
            <w:tcW w:type="dxa" w:w="3067"/>
            <w:vAlign w:val="center"/>
            <w:tcMar>
              <w:top w:w="90" w:type="dxa"/>
              <w:left w:w="90" w:type="dxa"/>
              <w:bottom w:w="90" w:type="dxa"/>
              <w:right w:w="90" w:type="dxa"/>
            </w:tcMar>
          </w:tcPr>
          <w:p>
            <w:pPr>
              <w:spacing w:after="40" w:line="240" w:lineRule="auto"/>
            </w:pPr>
            <w:r>
              <w:rPr>
                <w:b w:val="0"/>
                <w:sz w:val="21"/>
              </w:rPr>
              <w:t>Public inputs reduce confidentiality exposure, not error risk.</w:t>
            </w:r>
          </w:p>
        </w:tc>
      </w:tr>
      <w:tr>
        <w:trPr>
          <w:cantSplit/>
        </w:trPr>
        <w:tc>
          <w:tcPr>
            <w:tcW w:type="dxa" w:w="1786"/>
            <w:vAlign w:val="center"/>
            <w:tcMar>
              <w:top w:w="90" w:type="dxa"/>
              <w:left w:w="90" w:type="dxa"/>
              <w:bottom w:w="90" w:type="dxa"/>
              <w:right w:w="90" w:type="dxa"/>
            </w:tcMar>
          </w:tcPr>
          <w:p>
            <w:pPr>
              <w:spacing w:after="40" w:line="240" w:lineRule="auto"/>
            </w:pPr>
            <w:r>
              <w:rPr>
                <w:b w:val="0"/>
                <w:sz w:val="21"/>
              </w:rPr>
              <w:t>Missing context</w:t>
            </w:r>
          </w:p>
        </w:tc>
        <w:tc>
          <w:tcPr>
            <w:tcW w:type="dxa" w:w="5227"/>
            <w:vAlign w:val="center"/>
            <w:tcMar>
              <w:top w:w="90" w:type="dxa"/>
              <w:left w:w="90" w:type="dxa"/>
              <w:bottom w:w="90" w:type="dxa"/>
              <w:right w:w="90" w:type="dxa"/>
            </w:tcMar>
          </w:tcPr>
          <w:p>
            <w:pPr>
              <w:spacing w:after="40" w:line="240" w:lineRule="auto"/>
            </w:pPr>
            <w:r>
              <w:rPr>
                <w:b w:val="0"/>
                <w:sz w:val="21"/>
              </w:rPr>
              <w:t>Withholds organization-specific judgment and asks for organization, skills, permissions, posture and consequences.</w:t>
            </w:r>
          </w:p>
        </w:tc>
        <w:tc>
          <w:tcPr>
            <w:tcW w:type="dxa" w:w="3067"/>
            <w:vAlign w:val="center"/>
            <w:tcMar>
              <w:top w:w="90" w:type="dxa"/>
              <w:left w:w="90" w:type="dxa"/>
              <w:bottom w:w="90" w:type="dxa"/>
              <w:right w:w="90" w:type="dxa"/>
            </w:tcMar>
          </w:tcPr>
          <w:p>
            <w:pPr>
              <w:spacing w:after="40" w:line="240" w:lineRule="auto"/>
            </w:pPr>
            <w:r>
              <w:rPr>
                <w:b w:val="0"/>
                <w:sz w:val="21"/>
              </w:rPr>
              <w:t>One deliberately constructed missing-input example.</w:t>
            </w:r>
          </w:p>
        </w:tc>
      </w:tr>
      <w:tr>
        <w:trPr>
          <w:cantSplit/>
        </w:trPr>
        <w:tc>
          <w:tcPr>
            <w:tcW w:type="dxa" w:w="1786"/>
            <w:vAlign w:val="center"/>
            <w:tcMar>
              <w:top w:w="90" w:type="dxa"/>
              <w:left w:w="90" w:type="dxa"/>
              <w:bottom w:w="90" w:type="dxa"/>
              <w:right w:w="90" w:type="dxa"/>
            </w:tcMar>
          </w:tcPr>
          <w:p>
            <w:pPr>
              <w:spacing w:after="40" w:line="240" w:lineRule="auto"/>
            </w:pPr>
            <w:r>
              <w:rPr>
                <w:b w:val="0"/>
                <w:sz w:val="21"/>
              </w:rPr>
              <w:t>Unsupported claims</w:t>
            </w:r>
          </w:p>
        </w:tc>
        <w:tc>
          <w:tcPr>
            <w:tcW w:type="dxa" w:w="5227"/>
            <w:vAlign w:val="center"/>
            <w:tcMar>
              <w:top w:w="90" w:type="dxa"/>
              <w:left w:w="90" w:type="dxa"/>
              <w:bottom w:w="90" w:type="dxa"/>
              <w:right w:w="90" w:type="dxa"/>
            </w:tcMar>
          </w:tcPr>
          <w:p>
            <w:pPr>
              <w:spacing w:after="40" w:line="240" w:lineRule="auto"/>
            </w:pPr>
            <w:r>
              <w:rPr>
                <w:b w:val="0"/>
                <w:sz w:val="21"/>
              </w:rPr>
              <w:t>Rejects chatbot popularity as agentic diffusion, unmeasured near-zero cost and automatic deployment approval.</w:t>
            </w:r>
          </w:p>
        </w:tc>
        <w:tc>
          <w:tcPr>
            <w:tcW w:type="dxa" w:w="3067"/>
            <w:vAlign w:val="center"/>
            <w:tcMar>
              <w:top w:w="90" w:type="dxa"/>
              <w:left w:w="90" w:type="dxa"/>
              <w:bottom w:w="90" w:type="dxa"/>
              <w:right w:w="90" w:type="dxa"/>
            </w:tcMar>
          </w:tcPr>
          <w:p>
            <w:pPr>
              <w:spacing w:after="40" w:line="240" w:lineRule="auto"/>
            </w:pPr>
            <w:r>
              <w:rPr>
                <w:b w:val="0"/>
                <w:sz w:val="21"/>
              </w:rPr>
              <w:t>One targeted challenge derived from a preserved weakness.</w:t>
            </w:r>
          </w:p>
        </w:tc>
      </w:tr>
    </w:tbl>
    <w:p>
      <w:pPr>
        <w:spacing w:after="0"/>
      </w:pPr>
    </w:p>
    <w:p>
      <w:pPr>
        <w:pStyle w:val="Heading2"/>
      </w:pPr>
      <w:r>
        <w:t>What was actually executed</w:t>
      </w:r>
    </w:p>
    <w:p>
      <w:r>
        <w:t>Local verification passed 56 of 56 checks. Four team examples and four candidate-design walkthroughs pass the frozen-schema checks; all team responses also pass the unchanged course validator. The seven frozen files remain intact. Negative controls confirm rejection of missing fields and wrong evidence types. The course validator accepts an extra top-level key; the additional checker rejects it without modifying frozen code.</w:t>
      </w:r>
    </w:p>
    <w:p>
      <w:r>
        <w:t>The current ChatGPT/Codex assistant authored and reviewed the four JSON examples in one conversation; Python saved and checked them. Historical text was deliberately reused. This is not an independent model trial, a live tool execution, a statistical benchmark or evidence of team consensus. Structural checks cannot establish analytical truth.</w:t>
      </w:r>
    </w:p>
    <w:p>
      <w:pPr>
        <w:pStyle w:val="Heading2"/>
      </w:pPr>
      <w:r>
        <w:t>Comparison and failure trail</w:t>
      </w:r>
    </w:p>
    <w:p>
      <w:r>
        <w:t>Original candidate cases differ, so their saved outputs do not support a fair accuracy ranking. Yufei and Chutong were compared on matched primary and contrast cases because they contribute the two decisive elements: an agent-specific mechanism and an explicit enabling-condition audit. The same assistant generated all four walkthroughs with shared evidence and knew both designs; this is a qualitative design comparison, not an independent benchmark.</w:t>
      </w:r>
    </w:p>
    <w:p>
      <w:r>
        <w:t>Preserved failures include Yufei’s weaker initial response, Minghan’s unsupported popularity/cost inference, and the team rc1 omission of separate economic, social, institutional and competitive analysis. Version 1.0 adds mechanism, category, cost, version and abstention rules. Raw snapshots, the actual rc1 files, hashes, provenance and check results remain in the package.</w:t>
      </w:r>
    </w:p>
    <w:p>
      <w:r>
        <w:br w:type="page"/>
      </w:r>
    </w:p>
    <w:p>
      <w:pPr>
        <w:pStyle w:val="Heading1"/>
      </w:pPr>
      <w:r>
        <w:t>F Professional judgment and integration handoff</w:t>
      </w:r>
    </w:p>
    <w:p>
      <w:r>
        <w:t>Selected judgment: version 1.0 is the best available Creation component because it combines a traceable agent-specific mechanism with explicit nontechnical evidence gaps, context-sensitive controls and bounded authority. Yufei delegated this implementation decision to the assistant. Repository review remains separate from all-member approval, and the choice should be reopened if human review identifies an unsupported claim or better explanation.</w:t>
      </w:r>
    </w:p>
    <w:p>
      <w:pPr>
        <w:pStyle w:val="Heading2"/>
      </w:pPr>
      <w:r>
        <w:t>Contributions and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6235"/>
        <w:gridCol w:w="2088"/>
      </w:tblGrid>
      <w:tr>
        <w:trPr>
          <w:cantSplit/>
          <w:tblHeader/>
        </w:trPr>
        <w:tc>
          <w:tcPr>
            <w:tcW w:type="dxa" w:w="1757"/>
            <w:vAlign w:val="center"/>
            <w:tcMar>
              <w:top w:w="90" w:type="dxa"/>
              <w:left w:w="90" w:type="dxa"/>
              <w:bottom w:w="90" w:type="dxa"/>
              <w:right w:w="90" w:type="dxa"/>
            </w:tcMar>
            <w:shd w:fill="DDE7EE"/>
          </w:tcPr>
          <w:p>
            <w:pPr>
              <w:spacing w:after="40" w:line="240" w:lineRule="auto"/>
            </w:pPr>
            <w:r>
              <w:rPr>
                <w:b/>
                <w:sz w:val="21"/>
              </w:rPr>
              <w:t>Contributor</w:t>
            </w:r>
          </w:p>
        </w:tc>
        <w:tc>
          <w:tcPr>
            <w:tcW w:type="dxa" w:w="6235"/>
            <w:vAlign w:val="center"/>
            <w:tcMar>
              <w:top w:w="90" w:type="dxa"/>
              <w:left w:w="90" w:type="dxa"/>
              <w:bottom w:w="90" w:type="dxa"/>
              <w:right w:w="90" w:type="dxa"/>
            </w:tcMar>
            <w:shd w:fill="DDE7EE"/>
          </w:tcPr>
          <w:p>
            <w:pPr>
              <w:spacing w:after="40" w:line="240" w:lineRule="auto"/>
            </w:pPr>
            <w:r>
              <w:rPr>
                <w:b/>
                <w:sz w:val="21"/>
              </w:rPr>
              <w:t>Traceable source contribution</w:t>
            </w:r>
          </w:p>
        </w:tc>
        <w:tc>
          <w:tcPr>
            <w:tcW w:type="dxa" w:w="2088"/>
            <w:vAlign w:val="center"/>
            <w:tcMar>
              <w:top w:w="90" w:type="dxa"/>
              <w:left w:w="90" w:type="dxa"/>
              <w:bottom w:w="90" w:type="dxa"/>
              <w:right w:w="90" w:type="dxa"/>
            </w:tcMar>
            <w:shd w:fill="DDE7EE"/>
          </w:tcPr>
          <w:p>
            <w:pPr>
              <w:spacing w:after="40" w:line="240" w:lineRule="auto"/>
            </w:pPr>
            <w:r>
              <w:rPr>
                <w:b/>
                <w:sz w:val="21"/>
              </w:rPr>
              <w:t>TW3 verification</w:t>
            </w:r>
          </w:p>
        </w:tc>
      </w:tr>
      <w:tr>
        <w:trPr>
          <w:cantSplit/>
        </w:trPr>
        <w:tc>
          <w:tcPr>
            <w:tcW w:type="dxa" w:w="1757"/>
            <w:vAlign w:val="center"/>
            <w:tcMar>
              <w:top w:w="90" w:type="dxa"/>
              <w:left w:w="90" w:type="dxa"/>
              <w:bottom w:w="90" w:type="dxa"/>
              <w:right w:w="90" w:type="dxa"/>
            </w:tcMar>
          </w:tcPr>
          <w:p>
            <w:pPr>
              <w:spacing w:after="40" w:line="240" w:lineRule="auto"/>
            </w:pPr>
            <w:r>
              <w:rPr>
                <w:b w:val="0"/>
                <w:sz w:val="21"/>
              </w:rPr>
              <w:t>Yufei Cai</w:t>
            </w:r>
          </w:p>
        </w:tc>
        <w:tc>
          <w:tcPr>
            <w:tcW w:type="dxa" w:w="6235"/>
            <w:vAlign w:val="center"/>
            <w:tcMar>
              <w:top w:w="90" w:type="dxa"/>
              <w:left w:w="90" w:type="dxa"/>
              <w:bottom w:w="90" w:type="dxa"/>
              <w:right w:w="90" w:type="dxa"/>
            </w:tcMar>
          </w:tcPr>
          <w:p>
            <w:pPr>
              <w:spacing w:after="40" w:line="240" w:lineRule="auto"/>
            </w:pPr>
            <w:r>
              <w:rPr>
                <w:b w:val="0"/>
                <w:sz w:val="21"/>
              </w:rPr>
              <w:t>Agentic tool lineage, chart context and human-review controls; delegated selection.</w:t>
            </w:r>
          </w:p>
        </w:tc>
        <w:tc>
          <w:tcPr>
            <w:tcW w:type="dxa" w:w="2088"/>
            <w:vAlign w:val="center"/>
            <w:tcMar>
              <w:top w:w="90" w:type="dxa"/>
              <w:left w:w="90" w:type="dxa"/>
              <w:bottom w:w="90" w:type="dxa"/>
              <w:right w:w="90" w:type="dxa"/>
            </w:tcMar>
          </w:tcPr>
          <w:p>
            <w:pPr>
              <w:spacing w:after="40" w:line="240" w:lineRule="auto"/>
            </w:pPr>
            <w:r>
              <w:rPr>
                <w:b w:val="0"/>
                <w:sz w:val="21"/>
              </w:rPr>
              <w:t>Delegation recorded; independent review not recorded.</w:t>
            </w:r>
          </w:p>
        </w:tc>
      </w:tr>
      <w:tr>
        <w:trPr>
          <w:cantSplit/>
        </w:trPr>
        <w:tc>
          <w:tcPr>
            <w:tcW w:type="dxa" w:w="1757"/>
            <w:vAlign w:val="center"/>
            <w:tcMar>
              <w:top w:w="90" w:type="dxa"/>
              <w:left w:w="90" w:type="dxa"/>
              <w:bottom w:w="90" w:type="dxa"/>
              <w:right w:w="90" w:type="dxa"/>
            </w:tcMar>
          </w:tcPr>
          <w:p>
            <w:pPr>
              <w:spacing w:after="40" w:line="240" w:lineRule="auto"/>
            </w:pPr>
            <w:r>
              <w:rPr>
                <w:b w:val="0"/>
                <w:sz w:val="21"/>
              </w:rPr>
              <w:t>Jianbo Sun</w:t>
            </w:r>
          </w:p>
        </w:tc>
        <w:tc>
          <w:tcPr>
            <w:tcW w:type="dxa" w:w="6235"/>
            <w:vAlign w:val="center"/>
            <w:tcMar>
              <w:top w:w="90" w:type="dxa"/>
              <w:left w:w="90" w:type="dxa"/>
              <w:bottom w:w="90" w:type="dxa"/>
              <w:right w:w="90" w:type="dxa"/>
            </w:tcMar>
          </w:tcPr>
          <w:p>
            <w:pPr>
              <w:spacing w:after="40" w:line="240" w:lineRule="auto"/>
            </w:pPr>
            <w:r>
              <w:rPr>
                <w:b w:val="0"/>
                <w:sz w:val="21"/>
              </w:rPr>
              <w:t>Original-need distinction, mechanisms, evidence limits and honest run provenance.</w:t>
            </w:r>
          </w:p>
        </w:tc>
        <w:tc>
          <w:tcPr>
            <w:tcW w:type="dxa" w:w="2088"/>
            <w:vAlign w:val="center"/>
            <w:tcMar>
              <w:top w:w="90" w:type="dxa"/>
              <w:left w:w="90" w:type="dxa"/>
              <w:bottom w:w="90" w:type="dxa"/>
              <w:right w:w="90" w:type="dxa"/>
            </w:tcMar>
          </w:tcPr>
          <w:p>
            <w:pPr>
              <w:spacing w:after="40" w:line="240" w:lineRule="auto"/>
            </w:pPr>
            <w:r>
              <w:rPr>
                <w:b w:val="0"/>
                <w:sz w:val="21"/>
              </w:rPr>
              <w:t>Artifact reviewed by assistant.</w:t>
            </w:r>
          </w:p>
        </w:tc>
      </w:tr>
      <w:tr>
        <w:trPr>
          <w:cantSplit/>
        </w:trPr>
        <w:tc>
          <w:tcPr>
            <w:tcW w:type="dxa" w:w="1757"/>
            <w:vAlign w:val="center"/>
            <w:tcMar>
              <w:top w:w="90" w:type="dxa"/>
              <w:left w:w="90" w:type="dxa"/>
              <w:bottom w:w="90" w:type="dxa"/>
              <w:right w:w="90" w:type="dxa"/>
            </w:tcMar>
          </w:tcPr>
          <w:p>
            <w:pPr>
              <w:spacing w:after="40" w:line="240" w:lineRule="auto"/>
            </w:pPr>
            <w:r>
              <w:rPr>
                <w:b w:val="0"/>
                <w:sz w:val="21"/>
              </w:rPr>
              <w:t>Chutong Wang</w:t>
            </w:r>
          </w:p>
        </w:tc>
        <w:tc>
          <w:tcPr>
            <w:tcW w:type="dxa" w:w="6235"/>
            <w:vAlign w:val="center"/>
            <w:tcMar>
              <w:top w:w="90" w:type="dxa"/>
              <w:left w:w="90" w:type="dxa"/>
              <w:bottom w:w="90" w:type="dxa"/>
              <w:right w:w="90" w:type="dxa"/>
            </w:tcMar>
          </w:tcPr>
          <w:p>
            <w:pPr>
              <w:spacing w:after="40" w:line="240" w:lineRule="auto"/>
            </w:pPr>
            <w:r>
              <w:rPr>
                <w:b w:val="0"/>
                <w:sz w:val="21"/>
              </w:rPr>
              <w:t>Five enabling categories, causality limits and capability-versus-requirement guard.</w:t>
            </w:r>
          </w:p>
        </w:tc>
        <w:tc>
          <w:tcPr>
            <w:tcW w:type="dxa" w:w="2088"/>
            <w:vAlign w:val="center"/>
            <w:tcMar>
              <w:top w:w="90" w:type="dxa"/>
              <w:left w:w="90" w:type="dxa"/>
              <w:bottom w:w="90" w:type="dxa"/>
              <w:right w:w="90" w:type="dxa"/>
            </w:tcMar>
          </w:tcPr>
          <w:p>
            <w:pPr>
              <w:spacing w:after="40" w:line="240" w:lineRule="auto"/>
            </w:pPr>
            <w:r>
              <w:rPr>
                <w:b w:val="0"/>
                <w:sz w:val="21"/>
              </w:rPr>
              <w:t>Full ZIP reviewed by assistant.</w:t>
            </w:r>
          </w:p>
        </w:tc>
      </w:tr>
      <w:tr>
        <w:trPr>
          <w:cantSplit/>
        </w:trPr>
        <w:tc>
          <w:tcPr>
            <w:tcW w:type="dxa" w:w="1757"/>
            <w:vAlign w:val="center"/>
            <w:tcMar>
              <w:top w:w="90" w:type="dxa"/>
              <w:left w:w="90" w:type="dxa"/>
              <w:bottom w:w="90" w:type="dxa"/>
              <w:right w:w="90" w:type="dxa"/>
            </w:tcMar>
          </w:tcPr>
          <w:p>
            <w:pPr>
              <w:spacing w:after="40" w:line="240" w:lineRule="auto"/>
            </w:pPr>
            <w:r>
              <w:rPr>
                <w:b w:val="0"/>
                <w:sz w:val="21"/>
              </w:rPr>
              <w:t>Minghan Liu</w:t>
            </w:r>
          </w:p>
        </w:tc>
        <w:tc>
          <w:tcPr>
            <w:tcW w:type="dxa" w:w="6235"/>
            <w:vAlign w:val="center"/>
            <w:tcMar>
              <w:top w:w="90" w:type="dxa"/>
              <w:left w:w="90" w:type="dxa"/>
              <w:bottom w:w="90" w:type="dxa"/>
              <w:right w:w="90" w:type="dxa"/>
            </w:tcMar>
          </w:tcPr>
          <w:p>
            <w:pPr>
              <w:spacing w:after="40" w:line="240" w:lineRule="auto"/>
            </w:pPr>
            <w:r>
              <w:rPr>
                <w:b w:val="0"/>
                <w:sz w:val="21"/>
              </w:rPr>
              <w:t>Context and missing-information challenge; preserved counterexample.</w:t>
            </w:r>
          </w:p>
        </w:tc>
        <w:tc>
          <w:tcPr>
            <w:tcW w:type="dxa" w:w="2088"/>
            <w:vAlign w:val="center"/>
            <w:tcMar>
              <w:top w:w="90" w:type="dxa"/>
              <w:left w:w="90" w:type="dxa"/>
              <w:bottom w:w="90" w:type="dxa"/>
              <w:right w:w="90" w:type="dxa"/>
            </w:tcMar>
          </w:tcPr>
          <w:p>
            <w:pPr>
              <w:spacing w:after="40" w:line="240" w:lineRule="auto"/>
            </w:pPr>
            <w:r>
              <w:rPr>
                <w:b w:val="0"/>
                <w:sz w:val="21"/>
              </w:rPr>
              <w:t>Artifact reviewed by assistant.</w:t>
            </w:r>
          </w:p>
        </w:tc>
      </w:tr>
    </w:tbl>
    <w:p>
      <w:pPr>
        <w:spacing w:after="0"/>
      </w:pPr>
    </w:p>
    <w:p>
      <w:r>
        <w:t>ChatGPT/Codex retrieved and compared artifacts, checked source pages, selected the synthesis under delegation, prepared controlled examples, ran validation and edited this record. The same assistant generated and reviewed the examples. No individual is credited with classroom activity, independent verification or approval without evidence.</w:t>
      </w:r>
    </w:p>
    <w:p>
      <w:pPr>
        <w:pStyle w:val="Heading2"/>
      </w:pPr>
      <w:r>
        <w:t>Final project destination</w:t>
      </w:r>
    </w:p>
    <w:p>
      <w:r>
        <w:t>Creation supplies the historical finding, application interpretation, organization-specific qualifications, evidence and abstentions to the final mixture-of-experts system. Adoption owns the adopt/experiment/defer decision; Organizational Adoption examines operating readiness; Diffusion evaluates actual spread; Technology Landscape checks current developments. Innovation and Promethean Classification remain distinct specialists. Only the proposed Creation component is included here.</w:t>
      </w:r>
    </w:p>
    <w:p>
      <w:r>
        <w:t>Integration must preserve the frozen interface and route missing context to a human rather than silently inventing it. Handoff instructions remain inside existing recommendation and abstention fields. No live chart tools or production workflow are integrated in this package.</w:t>
      </w:r>
    </w:p>
    <w:p>
      <w:pPr>
        <w:pStyle w:val="Heading2"/>
      </w:pPr>
      <w:r>
        <w:t>Repository handoff and remaining conditions</w:t>
      </w:r>
    </w:p>
    <w:p>
      <w:r>
        <w:t>The package is versioned on the team repository in a review path and proposed through a pull request. It is not silently placed in the approved directory. Before promotion, team members should inspect consequential claims, the candidate-design comparison and the common tests; record any dissent and reviewer names; then merge or revise the pull request. The shared commit is a traceable handoff, not proof of unanimous approval.</w:t>
      </w:r>
    </w:p>
    <w:p>
      <w:r>
        <w:t>The user reports no classroom discussion results. The course expects approximately 90% of substantive human work during the 60-minute workshop, so this submission cannot substantiate that criterion and does not invent attendance or discussion. The general instructions say one-day posting while the rubric describes a 36-hour finalization window; the specific Brightspace deadline or instructor clarification controls.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Special Dark  |  TW3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Workshop 3 Technology Creation Agent Record</dc:title>
  <dc:subject>Special Dark Creation specialist comparison testing and handoff</dc:subject>
  <dc:creator>Special Dark team preparation with ChatGPT and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