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Agent Record</w:t>
        <w:br/>
        <w:t>Innovation Classification</w:t>
      </w:r>
    </w:p>
    <w:p>
      <w:pPr>
        <w:pStyle w:val="Subtitle"/>
      </w:pPr>
      <w:r>
        <w:t>Special Dark  |  MASY1 GC 1800  |  Team Workshop 4  |  13 October 2026</w:t>
      </w:r>
    </w:p>
    <w:p>
      <w:r>
        <w:t>Members: Yufei Cai, Chutong Wang, Jianbo Sun and Minghan Liu</w:t>
      </w:r>
    </w:p>
    <w:p>
      <w:r>
        <w:t>Recommended version 1.0-review combines scope-first classification, economic boundaries, competing interpretations and evidence-triggered revision. It separates technical novelty from an application's organizational significance. This record explains the selection and locates the prompt, cases and responses.</w:t>
      </w:r>
    </w:p>
    <w:p>
      <w:r>
        <w:t>Status: ready for human team review, not yet team-approved. No TW4 classroom discussion record is available. Technical completion does not establish member agreement or the required in-class participation.</w:t>
      </w:r>
    </w:p>
    <w:p>
      <w:pPr>
        <w:pStyle w:val="Heading2"/>
      </w:pPr>
      <w:r>
        <w:t>Scope and governing distinction</w:t>
      </w:r>
    </w:p>
    <w:p>
      <w:r>
        <w:t>The specialist classifies invention, innovation, entrepreneurship and commercialization, and incremental versus breakthrough magnitude. It explains conditional value creation and displacement, not overall adoption or long-range significance. The common application is proposed agentic chart review with source-table access, read-only tools and human approval; it is not an implemented system.</w:t>
      </w:r>
    </w:p>
    <w:p>
      <w:pPr>
        <w:pStyle w:val="Heading2"/>
      </w:pPr>
      <w:r>
        <w:t>Explicit classification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7718"/>
      </w:tblGrid>
      <w:tr>
        <w:trPr>
          <w:tblHeader/>
          <w:cantSplit/>
        </w:trPr>
        <w:tc>
          <w:tcPr>
            <w:tcW w:type="dxa" w:w="2275"/>
            <w:vAlign w:val="center"/>
            <w:tcMar>
              <w:top w:w="85" w:type="dxa"/>
              <w:bottom w:w="85" w:type="dxa"/>
              <w:left w:w="100" w:type="dxa"/>
              <w:right w:w="100" w:type="dxa"/>
            </w:tcMar>
            <w:shd w:fill="E4EDF3"/>
          </w:tcPr>
          <w:p>
            <w:pPr>
              <w:spacing w:after="40" w:line="247" w:lineRule="auto"/>
            </w:pPr>
            <w:r>
              <w:rPr>
                <w:b/>
                <w:sz w:val="21"/>
              </w:rPr>
              <w:t>Dimension</w:t>
            </w:r>
          </w:p>
        </w:tc>
        <w:tc>
          <w:tcPr>
            <w:tcW w:type="dxa" w:w="7718"/>
            <w:vAlign w:val="center"/>
            <w:tcMar>
              <w:top w:w="85" w:type="dxa"/>
              <w:bottom w:w="85" w:type="dxa"/>
              <w:left w:w="100" w:type="dxa"/>
              <w:right w:w="100" w:type="dxa"/>
            </w:tcMar>
            <w:shd w:fill="E4EDF3"/>
          </w:tcPr>
          <w:p>
            <w:pPr>
              <w:spacing w:after="40" w:line="247" w:lineRule="auto"/>
            </w:pPr>
            <w:r>
              <w:rPr>
                <w:b/>
                <w:sz w:val="21"/>
              </w:rPr>
              <w:t>Rule and challengeable evidence</w:t>
            </w:r>
          </w:p>
        </w:tc>
      </w:tr>
      <w:tr>
        <w:trPr>
          <w:cantSplit/>
        </w:trPr>
        <w:tc>
          <w:tcPr>
            <w:tcW w:type="dxa" w:w="2275"/>
            <w:vAlign w:val="center"/>
            <w:tcMar>
              <w:top w:w="85" w:type="dxa"/>
              <w:bottom w:w="85" w:type="dxa"/>
              <w:left w:w="100" w:type="dxa"/>
              <w:right w:w="100" w:type="dxa"/>
            </w:tcMar>
          </w:tcPr>
          <w:p>
            <w:pPr>
              <w:spacing w:after="40" w:line="247" w:lineRule="auto"/>
            </w:pPr>
            <w:r>
              <w:rPr>
                <w:b w:val="0"/>
                <w:sz w:val="21"/>
              </w:rPr>
              <w:t>Invention</w:t>
            </w:r>
          </w:p>
        </w:tc>
        <w:tc>
          <w:tcPr>
            <w:tcW w:type="dxa" w:w="7718"/>
            <w:vAlign w:val="center"/>
            <w:tcMar>
              <w:top w:w="85" w:type="dxa"/>
              <w:bottom w:w="85" w:type="dxa"/>
              <w:left w:w="100" w:type="dxa"/>
              <w:right w:w="100" w:type="dxa"/>
            </w:tcMar>
          </w:tcPr>
          <w:p>
            <w:pPr>
              <w:spacing w:after="40" w:line="247" w:lineRule="auto"/>
            </w:pPr>
            <w:r>
              <w:rPr>
                <w:b w:val="0"/>
                <w:sz w:val="21"/>
              </w:rPr>
              <w:t>An evidenced new technical idea or capability. First use by a firm does not prove a world-first invention.</w:t>
            </w:r>
          </w:p>
        </w:tc>
      </w:tr>
      <w:tr>
        <w:trPr>
          <w:cantSplit/>
        </w:trPr>
        <w:tc>
          <w:tcPr>
            <w:tcW w:type="dxa" w:w="2275"/>
            <w:vAlign w:val="center"/>
            <w:tcMar>
              <w:top w:w="85" w:type="dxa"/>
              <w:bottom w:w="85" w:type="dxa"/>
              <w:left w:w="100" w:type="dxa"/>
              <w:right w:w="100" w:type="dxa"/>
            </w:tcMar>
          </w:tcPr>
          <w:p>
            <w:pPr>
              <w:spacing w:after="40" w:line="247" w:lineRule="auto"/>
            </w:pPr>
            <w:r>
              <w:rPr>
                <w:b w:val="0"/>
                <w:sz w:val="21"/>
              </w:rPr>
              <w:t>Innovation</w:t>
            </w:r>
          </w:p>
        </w:tc>
        <w:tc>
          <w:tcPr>
            <w:tcW w:type="dxa" w:w="7718"/>
            <w:vAlign w:val="center"/>
            <w:tcMar>
              <w:top w:w="85" w:type="dxa"/>
              <w:bottom w:w="85" w:type="dxa"/>
              <w:left w:w="100" w:type="dxa"/>
              <w:right w:w="100" w:type="dxa"/>
            </w:tcMar>
          </w:tcPr>
          <w:p>
            <w:pPr>
              <w:spacing w:after="40" w:line="247" w:lineRule="auto"/>
            </w:pPr>
            <w:r>
              <w:rPr>
                <w:b w:val="0"/>
                <w:sz w:val="21"/>
              </w:rPr>
              <w:t>Significantly different product or process made available or brought into use, following S1. A plan remains proposed; implementation does not require proven profit.</w:t>
            </w:r>
          </w:p>
        </w:tc>
      </w:tr>
      <w:tr>
        <w:trPr>
          <w:cantSplit/>
        </w:trPr>
        <w:tc>
          <w:tcPr>
            <w:tcW w:type="dxa" w:w="2275"/>
            <w:vAlign w:val="center"/>
            <w:tcMar>
              <w:top w:w="85" w:type="dxa"/>
              <w:bottom w:w="85" w:type="dxa"/>
              <w:left w:w="100" w:type="dxa"/>
              <w:right w:w="100" w:type="dxa"/>
            </w:tcMar>
          </w:tcPr>
          <w:p>
            <w:pPr>
              <w:spacing w:after="40" w:line="247" w:lineRule="auto"/>
            </w:pPr>
            <w:r>
              <w:rPr>
                <w:b w:val="0"/>
                <w:sz w:val="21"/>
              </w:rPr>
              <w:t>Entrepreneurship and commercialization</w:t>
            </w:r>
          </w:p>
        </w:tc>
        <w:tc>
          <w:tcPr>
            <w:tcW w:type="dxa" w:w="7718"/>
            <w:vAlign w:val="center"/>
            <w:tcMar>
              <w:top w:w="85" w:type="dxa"/>
              <w:bottom w:w="85" w:type="dxa"/>
              <w:left w:w="100" w:type="dxa"/>
              <w:right w:w="100" w:type="dxa"/>
            </w:tcMar>
          </w:tcPr>
          <w:p>
            <w:pPr>
              <w:spacing w:after="40" w:line="247" w:lineRule="auto"/>
            </w:pPr>
            <w:r>
              <w:rPr>
                <w:b w:val="0"/>
                <w:sz w:val="21"/>
              </w:rPr>
              <w:t>Resource organization under uncertainty differs from market introduction through an offering, delivery and revenue arrangement. A proposal to charge is not proof of sales or success.</w:t>
            </w:r>
          </w:p>
        </w:tc>
      </w:tr>
      <w:tr>
        <w:trPr>
          <w:cantSplit/>
        </w:trPr>
        <w:tc>
          <w:tcPr>
            <w:tcW w:type="dxa" w:w="2275"/>
            <w:vAlign w:val="center"/>
            <w:tcMar>
              <w:top w:w="85" w:type="dxa"/>
              <w:bottom w:w="85" w:type="dxa"/>
              <w:left w:w="100" w:type="dxa"/>
              <w:right w:w="100" w:type="dxa"/>
            </w:tcMar>
          </w:tcPr>
          <w:p>
            <w:pPr>
              <w:spacing w:after="40" w:line="247" w:lineRule="auto"/>
            </w:pPr>
            <w:r>
              <w:rPr>
                <w:b w:val="0"/>
                <w:sz w:val="21"/>
              </w:rPr>
              <w:t>Incremental magnitude</w:t>
            </w:r>
          </w:p>
        </w:tc>
        <w:tc>
          <w:tcPr>
            <w:tcW w:type="dxa" w:w="7718"/>
            <w:vAlign w:val="center"/>
            <w:tcMar>
              <w:top w:w="85" w:type="dxa"/>
              <w:bottom w:w="85" w:type="dxa"/>
              <w:left w:w="100" w:type="dxa"/>
              <w:right w:w="100" w:type="dxa"/>
            </w:tcMar>
          </w:tcPr>
          <w:p>
            <w:pPr>
              <w:spacing w:after="40" w:line="247" w:lineRule="auto"/>
            </w:pPr>
            <w:r>
              <w:rPr>
                <w:b w:val="0"/>
                <w:sz w:val="21"/>
              </w:rPr>
              <w:t>Improves an existing task or delivery mechanism. Identify the prior workflow; a significant improvement can still be incremental.</w:t>
            </w:r>
          </w:p>
        </w:tc>
      </w:tr>
      <w:tr>
        <w:trPr>
          <w:cantSplit/>
        </w:trPr>
        <w:tc>
          <w:tcPr>
            <w:tcW w:type="dxa" w:w="2275"/>
            <w:vAlign w:val="center"/>
            <w:tcMar>
              <w:top w:w="85" w:type="dxa"/>
              <w:bottom w:w="85" w:type="dxa"/>
              <w:left w:w="100" w:type="dxa"/>
              <w:right w:w="100" w:type="dxa"/>
            </w:tcMar>
          </w:tcPr>
          <w:p>
            <w:pPr>
              <w:spacing w:after="40" w:line="247" w:lineRule="auto"/>
            </w:pPr>
            <w:r>
              <w:rPr>
                <w:b w:val="0"/>
                <w:sz w:val="21"/>
              </w:rPr>
              <w:t>Breakthrough magnitude</w:t>
            </w:r>
          </w:p>
        </w:tc>
        <w:tc>
          <w:tcPr>
            <w:tcW w:type="dxa" w:w="7718"/>
            <w:vAlign w:val="center"/>
            <w:tcMar>
              <w:top w:w="85" w:type="dxa"/>
              <w:bottom w:w="85" w:type="dxa"/>
              <w:left w:w="100" w:type="dxa"/>
              <w:right w:w="100" w:type="dxa"/>
            </w:tcMar>
          </w:tcPr>
          <w:p>
            <w:pPr>
              <w:spacing w:after="40" w:line="247" w:lineRule="auto"/>
            </w:pPr>
            <w:r>
              <w:rPr>
                <w:b w:val="0"/>
                <w:sz w:val="21"/>
              </w:rPr>
              <w:t>Consequential discontinuity in feasible capability against a stated baseline, supported by comparative evidence. Publicity and promised savings are insufficient.</w:t>
            </w:r>
          </w:p>
        </w:tc>
      </w:tr>
    </w:tbl>
    <w:p>
      <w:pPr>
        <w:spacing w:before="120"/>
      </w:pPr>
      <w:r>
        <w:t>For every material claim, state status, type, magnitude, novelty baseline and evidence. Global, market and firm novelty are separate. Incremental and breakthrough are course operating criteria, not OECD numerical thresholds.</w:t>
      </w:r>
    </w:p>
    <w:p>
      <w:pPr>
        <w:pStyle w:val="Heading1"/>
        <w:pageBreakBefore/>
      </w:pPr>
      <w:r>
        <w:t>Candidate comparison and recommended synthesis</w:t>
      </w:r>
    </w:p>
    <w:p>
      <w:r>
        <w:t>All four candidates and their saved tests, limitations and revisions were inspected. Their original examples differ in technology scope, application, economics and horizon, so original labels cannot be ranked as accuracy scores. Selected source files are retained unchanged and hashed in the evidence folder; original member reports and ZIPs are untouched.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464"/>
        <w:gridCol w:w="3946"/>
      </w:tblGrid>
      <w:tr>
        <w:trPr>
          <w:tblHeader/>
          <w:cantSplit/>
        </w:trPr>
        <w:tc>
          <w:tcPr>
            <w:tcW w:type="dxa" w:w="1584"/>
            <w:vAlign w:val="center"/>
            <w:tcMar>
              <w:top w:w="85" w:type="dxa"/>
              <w:bottom w:w="85" w:type="dxa"/>
              <w:left w:w="100" w:type="dxa"/>
              <w:right w:w="100" w:type="dxa"/>
            </w:tcMar>
            <w:shd w:fill="E4EDF3"/>
          </w:tcPr>
          <w:p>
            <w:pPr>
              <w:spacing w:after="40" w:line="247" w:lineRule="auto"/>
            </w:pPr>
            <w:r>
              <w:rPr>
                <w:b/>
                <w:sz w:val="21"/>
              </w:rPr>
              <w:t>Candidate</w:t>
            </w:r>
          </w:p>
        </w:tc>
        <w:tc>
          <w:tcPr>
            <w:tcW w:type="dxa" w:w="4464"/>
            <w:vAlign w:val="center"/>
            <w:tcMar>
              <w:top w:w="85" w:type="dxa"/>
              <w:bottom w:w="85" w:type="dxa"/>
              <w:left w:w="100" w:type="dxa"/>
              <w:right w:w="100" w:type="dxa"/>
            </w:tcMar>
            <w:shd w:fill="E4EDF3"/>
          </w:tcPr>
          <w:p>
            <w:pPr>
              <w:spacing w:after="40" w:line="247" w:lineRule="auto"/>
            </w:pPr>
            <w:r>
              <w:rPr>
                <w:b/>
                <w:sz w:val="21"/>
              </w:rPr>
              <w:t>Distinctive supplied evidence</w:t>
            </w:r>
          </w:p>
        </w:tc>
        <w:tc>
          <w:tcPr>
            <w:tcW w:type="dxa" w:w="3946"/>
            <w:vAlign w:val="center"/>
            <w:tcMar>
              <w:top w:w="85" w:type="dxa"/>
              <w:bottom w:w="85" w:type="dxa"/>
              <w:left w:w="100" w:type="dxa"/>
              <w:right w:w="100" w:type="dxa"/>
            </w:tcMar>
            <w:shd w:fill="E4EDF3"/>
          </w:tcPr>
          <w:p>
            <w:pPr>
              <w:spacing w:after="40" w:line="247" w:lineRule="auto"/>
            </w:pPr>
            <w:r>
              <w:rPr>
                <w:b/>
                <w:sz w:val="21"/>
              </w:rPr>
              <w:t>Contribution retained</w:t>
            </w:r>
          </w:p>
        </w:tc>
      </w:tr>
      <w:tr>
        <w:trPr>
          <w:cantSplit/>
        </w:trPr>
        <w:tc>
          <w:tcPr>
            <w:tcW w:type="dxa" w:w="1584"/>
            <w:vAlign w:val="center"/>
            <w:tcMar>
              <w:top w:w="85" w:type="dxa"/>
              <w:bottom w:w="85" w:type="dxa"/>
              <w:left w:w="100" w:type="dxa"/>
              <w:right w:w="100" w:type="dxa"/>
            </w:tcMar>
          </w:tcPr>
          <w:p>
            <w:pPr>
              <w:spacing w:after="40" w:line="247" w:lineRule="auto"/>
            </w:pPr>
            <w:r>
              <w:rPr>
                <w:b w:val="0"/>
                <w:sz w:val="21"/>
              </w:rPr>
              <w:t>Chutong Wang</w:t>
              <w:br/>
              <w:t>0.2-student</w:t>
            </w:r>
          </w:p>
        </w:tc>
        <w:tc>
          <w:tcPr>
            <w:tcW w:type="dxa" w:w="4464"/>
            <w:vAlign w:val="center"/>
            <w:tcMar>
              <w:top w:w="85" w:type="dxa"/>
              <w:bottom w:w="85" w:type="dxa"/>
              <w:left w:w="100" w:type="dxa"/>
              <w:right w:w="100" w:type="dxa"/>
            </w:tcMar>
          </w:tcPr>
          <w:p>
            <w:pPr>
              <w:spacing w:after="40" w:line="247" w:lineRule="auto"/>
            </w:pPr>
            <w:r>
              <w:rPr>
                <w:b w:val="0"/>
                <w:sz w:val="21"/>
              </w:rPr>
              <w:t>Internal finance, billed analytics services and screenshot scope mismatch. v0.1 rated a future validated system after noticing the mismatch; v0.2 withholds.</w:t>
            </w:r>
          </w:p>
        </w:tc>
        <w:tc>
          <w:tcPr>
            <w:tcW w:type="dxa" w:w="3946"/>
            <w:vAlign w:val="center"/>
            <w:tcMar>
              <w:top w:w="85" w:type="dxa"/>
              <w:bottom w:w="85" w:type="dxa"/>
              <w:left w:w="100" w:type="dxa"/>
              <w:right w:w="100" w:type="dxa"/>
            </w:tcMar>
          </w:tcPr>
          <w:p>
            <w:pPr>
              <w:spacing w:after="40" w:line="247" w:lineRule="auto"/>
            </w:pPr>
            <w:r>
              <w:rPr>
                <w:b w:val="0"/>
                <w:sz w:val="21"/>
              </w:rPr>
              <w:t>Base structure: scope and implementation gates before five classification dimensions.</w:t>
            </w:r>
          </w:p>
        </w:tc>
      </w:tr>
      <w:tr>
        <w:trPr>
          <w:cantSplit/>
        </w:trPr>
        <w:tc>
          <w:tcPr>
            <w:tcW w:type="dxa" w:w="1584"/>
            <w:vAlign w:val="center"/>
            <w:tcMar>
              <w:top w:w="85" w:type="dxa"/>
              <w:bottom w:w="85" w:type="dxa"/>
              <w:left w:w="100" w:type="dxa"/>
              <w:right w:w="100" w:type="dxa"/>
            </w:tcMar>
          </w:tcPr>
          <w:p>
            <w:pPr>
              <w:spacing w:after="40" w:line="247" w:lineRule="auto"/>
            </w:pPr>
            <w:r>
              <w:rPr>
                <w:b w:val="0"/>
                <w:sz w:val="21"/>
              </w:rPr>
              <w:t>Jianbo Sun</w:t>
              <w:br/>
              <w:t>0.2</w:t>
            </w:r>
          </w:p>
        </w:tc>
        <w:tc>
          <w:tcPr>
            <w:tcW w:type="dxa" w:w="4464"/>
            <w:vAlign w:val="center"/>
            <w:tcMar>
              <w:top w:w="85" w:type="dxa"/>
              <w:bottom w:w="85" w:type="dxa"/>
              <w:left w:w="100" w:type="dxa"/>
              <w:right w:w="100" w:type="dxa"/>
            </w:tcMar>
          </w:tcPr>
          <w:p>
            <w:pPr>
              <w:spacing w:after="40" w:line="247" w:lineRule="auto"/>
            </w:pPr>
            <w:r>
              <w:rPr>
                <w:b w:val="0"/>
                <w:sz w:val="21"/>
              </w:rPr>
              <w:t>Generative report drafting, retail versus a publisher dependent on public briefs; proprietary-data and advisory borderline. Revision adds High/Moderate discriminator.</w:t>
            </w:r>
          </w:p>
        </w:tc>
        <w:tc>
          <w:tcPr>
            <w:tcW w:type="dxa" w:w="3946"/>
            <w:vAlign w:val="center"/>
            <w:tcMar>
              <w:top w:w="85" w:type="dxa"/>
              <w:bottom w:w="85" w:type="dxa"/>
              <w:left w:w="100" w:type="dxa"/>
              <w:right w:w="100" w:type="dxa"/>
            </w:tcMar>
          </w:tcPr>
          <w:p>
            <w:pPr>
              <w:spacing w:after="40" w:line="247" w:lineRule="auto"/>
            </w:pPr>
            <w:r>
              <w:rPr>
                <w:b w:val="0"/>
                <w:sz w:val="21"/>
              </w:rPr>
              <w:t>Adjacent grade boundaries; distinguish severity from probability and timing; preserve a competing explanation.</w:t>
            </w:r>
          </w:p>
        </w:tc>
      </w:tr>
      <w:tr>
        <w:trPr>
          <w:cantSplit/>
        </w:trPr>
        <w:tc>
          <w:tcPr>
            <w:tcW w:type="dxa" w:w="1584"/>
            <w:vAlign w:val="center"/>
            <w:tcMar>
              <w:top w:w="85" w:type="dxa"/>
              <w:bottom w:w="85" w:type="dxa"/>
              <w:left w:w="100" w:type="dxa"/>
              <w:right w:w="100" w:type="dxa"/>
            </w:tcMar>
          </w:tcPr>
          <w:p>
            <w:pPr>
              <w:spacing w:after="40" w:line="247" w:lineRule="auto"/>
            </w:pPr>
            <w:r>
              <w:rPr>
                <w:b w:val="0"/>
                <w:sz w:val="21"/>
              </w:rPr>
              <w:t>Yufei Cai</w:t>
              <w:br/>
              <w:t>1.0-student</w:t>
            </w:r>
          </w:p>
        </w:tc>
        <w:tc>
          <w:tcPr>
            <w:tcW w:type="dxa" w:w="4464"/>
            <w:vAlign w:val="center"/>
            <w:tcMar>
              <w:top w:w="85" w:type="dxa"/>
              <w:bottom w:w="85" w:type="dxa"/>
              <w:left w:w="100" w:type="dxa"/>
              <w:right w:w="100" w:type="dxa"/>
            </w:tcMar>
          </w:tcPr>
          <w:p>
            <w:pPr>
              <w:spacing w:after="40" w:line="247" w:lineRule="auto"/>
            </w:pPr>
            <w:r>
              <w:rPr>
                <w:b w:val="0"/>
                <w:sz w:val="21"/>
              </w:rPr>
              <w:t>Agentic chart review, internal finance versus educational media; fixed-script/one-shot borderline; permissive diagnostic baseline.</w:t>
            </w:r>
          </w:p>
        </w:tc>
        <w:tc>
          <w:tcPr>
            <w:tcW w:type="dxa" w:w="3946"/>
            <w:vAlign w:val="center"/>
            <w:tcMar>
              <w:top w:w="85" w:type="dxa"/>
              <w:bottom w:w="85" w:type="dxa"/>
              <w:left w:w="100" w:type="dxa"/>
              <w:right w:w="100" w:type="dxa"/>
            </w:tcMar>
          </w:tcPr>
          <w:p>
            <w:pPr>
              <w:spacing w:after="40" w:line="247" w:lineRule="auto"/>
            </w:pPr>
            <w:r>
              <w:rPr>
                <w:b w:val="0"/>
                <w:sz w:val="21"/>
              </w:rPr>
              <w:t>Stable general evidence across context changes; separate task productivity from revenue logic and full costs.</w:t>
            </w:r>
          </w:p>
        </w:tc>
      </w:tr>
      <w:tr>
        <w:trPr>
          <w:cantSplit/>
        </w:trPr>
        <w:tc>
          <w:tcPr>
            <w:tcW w:type="dxa" w:w="1584"/>
            <w:vAlign w:val="center"/>
            <w:tcMar>
              <w:top w:w="85" w:type="dxa"/>
              <w:bottom w:w="85" w:type="dxa"/>
              <w:left w:w="100" w:type="dxa"/>
              <w:right w:w="100" w:type="dxa"/>
            </w:tcMar>
          </w:tcPr>
          <w:p>
            <w:pPr>
              <w:spacing w:after="40" w:line="247" w:lineRule="auto"/>
            </w:pPr>
            <w:r>
              <w:rPr>
                <w:b w:val="0"/>
                <w:sz w:val="21"/>
              </w:rPr>
              <w:t>Minghan Liu</w:t>
              <w:br/>
              <w:t>1.1</w:t>
            </w:r>
          </w:p>
        </w:tc>
        <w:tc>
          <w:tcPr>
            <w:tcW w:type="dxa" w:w="4464"/>
            <w:vAlign w:val="center"/>
            <w:tcMar>
              <w:top w:w="85" w:type="dxa"/>
              <w:bottom w:w="85" w:type="dxa"/>
              <w:left w:w="100" w:type="dxa"/>
              <w:right w:w="100" w:type="dxa"/>
            </w:tcMar>
          </w:tcPr>
          <w:p>
            <w:pPr>
              <w:spacing w:after="40" w:line="247" w:lineRule="auto"/>
            </w:pPr>
            <w:r>
              <w:rPr>
                <w:b w:val="0"/>
                <w:sz w:val="21"/>
              </w:rPr>
              <w:t>Prospective student support versus routine-service provider. Fixed-FAQ Low answer revised to insufficient evidence. Report-linked implementation retrieved from GitHub.</w:t>
            </w:r>
          </w:p>
        </w:tc>
        <w:tc>
          <w:tcPr>
            <w:tcW w:type="dxa" w:w="3946"/>
            <w:vAlign w:val="center"/>
            <w:tcMar>
              <w:top w:w="85" w:type="dxa"/>
              <w:bottom w:w="85" w:type="dxa"/>
              <w:left w:w="100" w:type="dxa"/>
              <w:right w:w="100" w:type="dxa"/>
            </w:tcMar>
          </w:tcPr>
          <w:p>
            <w:pPr>
              <w:spacing w:after="40" w:line="247" w:lineRule="auto"/>
            </w:pPr>
            <w:r>
              <w:rPr>
                <w:b w:val="0"/>
                <w:sz w:val="21"/>
              </w:rPr>
              <w:t>Compare the simplest adequate alternative; specify monitoring owner, metric, comparator and revision direction.</w:t>
            </w:r>
          </w:p>
        </w:tc>
      </w:tr>
    </w:tbl>
    <w:p>
      <w:pPr>
        <w:pStyle w:val="Heading2"/>
      </w:pPr>
      <w:r>
        <w:t>Why this base rather than a vote</w:t>
      </w:r>
    </w:p>
    <w:p>
      <w:r>
        <w:t>Chutong provides the clearest early guard against classifying a desired future capability as an observed system. Jianbo strengthens grade boundaries without transferring a publisher-specific High scenario to a studio with unknown revenue mix. Yufei contributes the separation of technical capability, task savings and business-model exposure. Minghan makes the recommendation testable against cheaper alternatives and measurable change triggers. The result is one coherent prompt, not four concatenated agents.</w:t>
      </w:r>
    </w:p>
    <w:p>
      <w:pPr>
        <w:pStyle w:val="Heading2"/>
      </w:pPr>
      <w:r>
        <w:t>Comparison that informed the choice</w:t>
      </w:r>
    </w:p>
    <w:p>
      <w:r>
        <w:t>Chutong and Jianbo are the two finalist rule sets. Six new same-assistant walkthroughs apply their retained instructions to the identical primary, contrast and borderline inputs. Both support conditional Low for internal finance, withheld Low/Moderate branches for missing studio economics, and withheld screenshot scope and impact. This agreement supports compatibility of the rules, not superior measured model performance. The base choice is architectural clarity, not a fabricated winning score.</w:t>
      </w:r>
    </w:p>
    <w:p>
      <w:r>
        <w:t>Full comparison packets: agent_package/comparison_prompts and comparison_responses. Detailed lineage and rejected shortcuts: team_records/synthesis_decision.md. Yufei and Minghan contributions are also checked in the final context and posture tests; they are not claimed to have independent matched runs.</w:t>
      </w:r>
    </w:p>
    <w:p>
      <w:pPr>
        <w:pStyle w:val="Heading1"/>
        <w:pageBreakBefore/>
      </w:pPr>
      <w:r>
        <w:t>Common tests and preserved failure</w:t>
      </w:r>
    </w:p>
    <w:p>
      <w:r>
        <w:t>The first three inputs are byte-identical copies of Chutong's supplied cases. Primary and contrast hold technology, application, need, question, source packet and horizon fixed while changing organization context. The horizon is a four-week investigation with conditional strategic effects over 12 months. A fourth probe changes only adoption posture in the primary input.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219"/>
        <w:gridCol w:w="4162"/>
      </w:tblGrid>
      <w:tr>
        <w:trPr>
          <w:tblHeader/>
          <w:cantSplit/>
        </w:trPr>
        <w:tc>
          <w:tcPr>
            <w:tcW w:type="dxa" w:w="1613"/>
            <w:vAlign w:val="center"/>
            <w:tcMar>
              <w:top w:w="85" w:type="dxa"/>
              <w:bottom w:w="85" w:type="dxa"/>
              <w:left w:w="100" w:type="dxa"/>
              <w:right w:w="100" w:type="dxa"/>
            </w:tcMar>
            <w:shd w:fill="E4EDF3"/>
          </w:tcPr>
          <w:p>
            <w:pPr>
              <w:spacing w:after="40" w:line="247" w:lineRule="auto"/>
            </w:pPr>
            <w:r>
              <w:rPr>
                <w:b/>
                <w:sz w:val="21"/>
              </w:rPr>
              <w:t>Test</w:t>
            </w:r>
          </w:p>
        </w:tc>
        <w:tc>
          <w:tcPr>
            <w:tcW w:type="dxa" w:w="4219"/>
            <w:vAlign w:val="center"/>
            <w:tcMar>
              <w:top w:w="85" w:type="dxa"/>
              <w:bottom w:w="85" w:type="dxa"/>
              <w:left w:w="100" w:type="dxa"/>
              <w:right w:w="100" w:type="dxa"/>
            </w:tcMar>
            <w:shd w:fill="E4EDF3"/>
          </w:tcPr>
          <w:p>
            <w:pPr>
              <w:spacing w:after="40" w:line="247" w:lineRule="auto"/>
            </w:pPr>
            <w:r>
              <w:rPr>
                <w:b/>
                <w:sz w:val="21"/>
              </w:rPr>
              <w:t>Final team result</w:t>
            </w:r>
          </w:p>
        </w:tc>
        <w:tc>
          <w:tcPr>
            <w:tcW w:type="dxa" w:w="4162"/>
            <w:vAlign w:val="center"/>
            <w:tcMar>
              <w:top w:w="85" w:type="dxa"/>
              <w:bottom w:w="85" w:type="dxa"/>
              <w:left w:w="100" w:type="dxa"/>
              <w:right w:w="100" w:type="dxa"/>
            </w:tcMar>
            <w:shd w:fill="E4EDF3"/>
          </w:tcPr>
          <w:p>
            <w:pPr>
              <w:spacing w:after="40" w:line="247" w:lineRule="auto"/>
            </w:pPr>
            <w:r>
              <w:rPr>
                <w:b/>
                <w:sz w:val="21"/>
              </w:rPr>
              <w:t>What would distinguish alternatives</w:t>
            </w:r>
          </w:p>
        </w:tc>
      </w:tr>
      <w:tr>
        <w:trPr>
          <w:cantSplit/>
        </w:trPr>
        <w:tc>
          <w:tcPr>
            <w:tcW w:type="dxa" w:w="1613"/>
            <w:vAlign w:val="center"/>
            <w:tcMar>
              <w:top w:w="85" w:type="dxa"/>
              <w:bottom w:w="85" w:type="dxa"/>
              <w:left w:w="100" w:type="dxa"/>
              <w:right w:w="100" w:type="dxa"/>
            </w:tcMar>
          </w:tcPr>
          <w:p>
            <w:pPr>
              <w:spacing w:after="40" w:line="247" w:lineRule="auto"/>
            </w:pPr>
            <w:r>
              <w:rPr>
                <w:b w:val="0"/>
                <w:sz w:val="21"/>
              </w:rPr>
              <w:t>Internal finance</w:t>
            </w:r>
          </w:p>
        </w:tc>
        <w:tc>
          <w:tcPr>
            <w:tcW w:type="dxa" w:w="4219"/>
            <w:vAlign w:val="center"/>
            <w:tcMar>
              <w:top w:w="85" w:type="dxa"/>
              <w:bottom w:w="85" w:type="dxa"/>
              <w:left w:w="100" w:type="dxa"/>
              <w:right w:w="100" w:type="dxa"/>
            </w:tcMar>
          </w:tcPr>
          <w:p>
            <w:pPr>
              <w:spacing w:after="40" w:line="247" w:lineRule="auto"/>
            </w:pPr>
            <w:r>
              <w:rPr>
                <w:b w:val="0"/>
                <w:sz w:val="21"/>
              </w:rPr>
              <w:t>Proposed incremental process innovation. Conditional Low business-model exposure: review is support work, not the sold financial offering.</w:t>
            </w:r>
          </w:p>
        </w:tc>
        <w:tc>
          <w:tcPr>
            <w:tcW w:type="dxa" w:w="4162"/>
            <w:vAlign w:val="center"/>
            <w:tcMar>
              <w:top w:w="85" w:type="dxa"/>
              <w:bottom w:w="85" w:type="dxa"/>
              <w:left w:w="100" w:type="dxa"/>
              <w:right w:w="100" w:type="dxa"/>
            </w:tcMar>
          </w:tcPr>
          <w:p>
            <w:pPr>
              <w:spacing w:after="40" w:line="247" w:lineRule="auto"/>
            </w:pPr>
            <w:r>
              <w:rPr>
                <w:b w:val="0"/>
                <w:sz w:val="21"/>
              </w:rPr>
              <w:t>Implementation and comparative quality/cost remain unmeasured. Moderate needs evidence of wider material economic change.</w:t>
            </w:r>
          </w:p>
        </w:tc>
      </w:tr>
      <w:tr>
        <w:trPr>
          <w:cantSplit/>
        </w:trPr>
        <w:tc>
          <w:tcPr>
            <w:tcW w:type="dxa" w:w="1613"/>
            <w:vAlign w:val="center"/>
            <w:tcMar>
              <w:top w:w="85" w:type="dxa"/>
              <w:bottom w:w="85" w:type="dxa"/>
              <w:left w:w="100" w:type="dxa"/>
              <w:right w:w="100" w:type="dxa"/>
            </w:tcMar>
          </w:tcPr>
          <w:p>
            <w:pPr>
              <w:spacing w:after="40" w:line="247" w:lineRule="auto"/>
            </w:pPr>
            <w:r>
              <w:rPr>
                <w:b w:val="0"/>
                <w:sz w:val="21"/>
              </w:rPr>
              <w:t>Services contrast</w:t>
            </w:r>
          </w:p>
        </w:tc>
        <w:tc>
          <w:tcPr>
            <w:tcW w:type="dxa" w:w="4219"/>
            <w:vAlign w:val="center"/>
            <w:tcMar>
              <w:top w:w="85" w:type="dxa"/>
              <w:bottom w:w="85" w:type="dxa"/>
              <w:left w:w="100" w:type="dxa"/>
              <w:right w:w="100" w:type="dxa"/>
            </w:tcMar>
          </w:tcPr>
          <w:p>
            <w:pPr>
              <w:spacing w:after="40" w:line="247" w:lineRule="auto"/>
            </w:pPr>
            <w:r>
              <w:rPr>
                <w:b w:val="0"/>
                <w:sz w:val="21"/>
              </w:rPr>
              <w:t>General classification stays stable. Definitive disruption grade withheld; conditional Low/Moderate branches remain.</w:t>
            </w:r>
          </w:p>
        </w:tc>
        <w:tc>
          <w:tcPr>
            <w:tcW w:type="dxa" w:w="4162"/>
            <w:vAlign w:val="center"/>
            <w:tcMar>
              <w:top w:w="85" w:type="dxa"/>
              <w:bottom w:w="85" w:type="dxa"/>
              <w:left w:w="100" w:type="dxa"/>
              <w:right w:w="100" w:type="dxa"/>
            </w:tcMar>
          </w:tcPr>
          <w:p>
            <w:pPr>
              <w:spacing w:after="40" w:line="247" w:lineRule="auto"/>
            </w:pPr>
            <w:r>
              <w:rPr>
                <w:b w:val="0"/>
                <w:sz w:val="21"/>
              </w:rPr>
              <w:t>Routine work is billed, but revenue mix and client substitution are unknown. High requires core revenue or advantage dependence.</w:t>
            </w:r>
          </w:p>
        </w:tc>
      </w:tr>
      <w:tr>
        <w:trPr>
          <w:cantSplit/>
        </w:trPr>
        <w:tc>
          <w:tcPr>
            <w:tcW w:type="dxa" w:w="1613"/>
            <w:vAlign w:val="center"/>
            <w:tcMar>
              <w:top w:w="85" w:type="dxa"/>
              <w:bottom w:w="85" w:type="dxa"/>
              <w:left w:w="100" w:type="dxa"/>
              <w:right w:w="100" w:type="dxa"/>
            </w:tcMar>
          </w:tcPr>
          <w:p>
            <w:pPr>
              <w:spacing w:after="40" w:line="247" w:lineRule="auto"/>
            </w:pPr>
            <w:r>
              <w:rPr>
                <w:b w:val="0"/>
                <w:sz w:val="21"/>
              </w:rPr>
              <w:t>Screenshot borderline</w:t>
            </w:r>
          </w:p>
        </w:tc>
        <w:tc>
          <w:tcPr>
            <w:tcW w:type="dxa" w:w="4219"/>
            <w:vAlign w:val="center"/>
            <w:tcMar>
              <w:top w:w="85" w:type="dxa"/>
              <w:bottom w:w="85" w:type="dxa"/>
              <w:left w:w="100" w:type="dxa"/>
              <w:right w:w="100" w:type="dxa"/>
            </w:tcMar>
          </w:tcPr>
          <w:p>
            <w:pPr>
              <w:spacing w:after="40" w:line="247" w:lineRule="auto"/>
            </w:pPr>
            <w:r>
              <w:rPr>
                <w:b w:val="0"/>
                <w:sz w:val="21"/>
              </w:rPr>
              <w:t>Demo scope does not establish agentic source-table checking. Application magnitude unresolved; disruption withheld.</w:t>
            </w:r>
          </w:p>
        </w:tc>
        <w:tc>
          <w:tcPr>
            <w:tcW w:type="dxa" w:w="4162"/>
            <w:vAlign w:val="center"/>
            <w:tcMar>
              <w:top w:w="85" w:type="dxa"/>
              <w:bottom w:w="85" w:type="dxa"/>
              <w:left w:w="100" w:type="dxa"/>
              <w:right w:w="100" w:type="dxa"/>
            </w:tcMar>
          </w:tcPr>
          <w:p>
            <w:pPr>
              <w:spacing w:after="40" w:line="247" w:lineRule="auto"/>
            </w:pPr>
            <w:r>
              <w:rPr>
                <w:b w:val="0"/>
                <w:sz w:val="21"/>
              </w:rPr>
              <w:t>Need source access, model-selected action/observation traces, baseline economics and customer evidence. Reject claimed near-total cost elimination and one-year replacement.</w:t>
            </w:r>
          </w:p>
        </w:tc>
      </w:tr>
      <w:tr>
        <w:trPr>
          <w:cantSplit/>
        </w:trPr>
        <w:tc>
          <w:tcPr>
            <w:tcW w:type="dxa" w:w="1613"/>
            <w:vAlign w:val="center"/>
            <w:tcMar>
              <w:top w:w="85" w:type="dxa"/>
              <w:bottom w:w="85" w:type="dxa"/>
              <w:left w:w="100" w:type="dxa"/>
              <w:right w:w="100" w:type="dxa"/>
            </w:tcMar>
          </w:tcPr>
          <w:p>
            <w:pPr>
              <w:spacing w:after="40" w:line="247" w:lineRule="auto"/>
            </w:pPr>
            <w:r>
              <w:rPr>
                <w:b w:val="0"/>
                <w:sz w:val="21"/>
              </w:rPr>
              <w:t>Posture only</w:t>
            </w:r>
          </w:p>
        </w:tc>
        <w:tc>
          <w:tcPr>
            <w:tcW w:type="dxa" w:w="4219"/>
            <w:vAlign w:val="center"/>
            <w:tcMar>
              <w:top w:w="85" w:type="dxa"/>
              <w:bottom w:w="85" w:type="dxa"/>
              <w:left w:w="100" w:type="dxa"/>
              <w:right w:w="100" w:type="dxa"/>
            </w:tcMar>
          </w:tcPr>
          <w:p>
            <w:pPr>
              <w:spacing w:after="40" w:line="247" w:lineRule="auto"/>
            </w:pPr>
            <w:r>
              <w:rPr>
                <w:b w:val="0"/>
                <w:sz w:val="21"/>
              </w:rPr>
              <w:t>Aggressive posture does not change technical novelty, proposed incremental class or conditional Low structural exposure.</w:t>
            </w:r>
          </w:p>
        </w:tc>
        <w:tc>
          <w:tcPr>
            <w:tcW w:type="dxa" w:w="4162"/>
            <w:vAlign w:val="center"/>
            <w:tcMar>
              <w:top w:w="85" w:type="dxa"/>
              <w:bottom w:w="85" w:type="dxa"/>
              <w:left w:w="100" w:type="dxa"/>
              <w:right w:w="100" w:type="dxa"/>
            </w:tcMar>
          </w:tcPr>
          <w:p>
            <w:pPr>
              <w:spacing w:after="40" w:line="247" w:lineRule="auto"/>
            </w:pPr>
            <w:r>
              <w:rPr>
                <w:b w:val="0"/>
                <w:sz w:val="21"/>
              </w:rPr>
              <w:t>Posture can change tolerance for uncertainty or exploratory advice, but cannot supply capability evidence or rewrite revenue dependence.</w:t>
            </w:r>
          </w:p>
        </w:tc>
      </w:tr>
    </w:tbl>
    <w:p>
      <w:pPr>
        <w:pStyle w:val="Heading2"/>
      </w:pPr>
      <w:r>
        <w:t>Ambiguity is a result rather than a defect</w:t>
      </w:r>
    </w:p>
    <w:p>
      <w:r>
        <w:t>Breakthrough remains a competing hypothesis if adaptive tool use demonstrates a consequential capability discontinuity against simpler checks. In the studio, clients might substitute routine work, or continue paying for assurance and tailored interpretation. The package preserves both branches and identifies the missing discriminator. A change of organization does not require an artificially different grade.</w:t>
      </w:r>
    </w:p>
    <w:p>
      <w:pPr>
        <w:pStyle w:val="Heading2"/>
      </w:pPr>
      <w:r>
        <w:t>Failure retained and rule correction</w:t>
      </w:r>
    </w:p>
    <w:p>
      <w:r>
        <w:t>Chutong's archived cycle 1 screenshot response detects a mismatch but assigns Moderate to a hypothetical corrected system. Cycle 2 withholds the current case's grade. The team retains this failure and moves scope validation ahead of impact grading. Jianbo's boundary revision and Minghan's fixed-FAQ correction reinforce the need to explain adjacent grades and to withhold when economics are missing. Yufei's deliberately permissive baseline is diagnostic, not an independent observed failure.</w:t>
      </w:r>
    </w:p>
    <w:p>
      <w:r>
        <w:t>Test limit: all ten new walkthroughs and examples were authored and reviewed by the same assistant; no model API or live chart tool was called. Repeated general-finding text is an intentional traceability device, not proof of robustness. All 81 contract and fixture checks pass; they do not validate company outcomes or comparative model accuracy.</w:t>
      </w:r>
    </w:p>
    <w:p>
      <w:pPr>
        <w:pStyle w:val="Heading1"/>
        <w:pageBreakBefore/>
      </w:pPr>
      <w:r>
        <w:t>Economic judgment and integration safeguards</w:t>
      </w:r>
    </w:p>
    <w:p>
      <w:r>
        <w:t>Each organization finding names the unit, supplied horizon, mechanism and evidence status. Ratings express conditional structural exposure unless actual outcomes exist. They are qualitative operating anchors, not measured probabilities, standard financial scores or proof of Christensen-style disruption.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862"/>
      </w:tblGrid>
      <w:tr>
        <w:trPr>
          <w:tblHeader/>
          <w:cantSplit/>
        </w:trPr>
        <w:tc>
          <w:tcPr>
            <w:tcW w:type="dxa" w:w="2131"/>
            <w:vAlign w:val="center"/>
            <w:tcMar>
              <w:top w:w="85" w:type="dxa"/>
              <w:bottom w:w="85" w:type="dxa"/>
              <w:left w:w="100" w:type="dxa"/>
              <w:right w:w="100" w:type="dxa"/>
            </w:tcMar>
            <w:shd w:fill="E4EDF3"/>
          </w:tcPr>
          <w:p>
            <w:pPr>
              <w:spacing w:after="40" w:line="247" w:lineRule="auto"/>
            </w:pPr>
            <w:r>
              <w:rPr>
                <w:b/>
                <w:sz w:val="21"/>
              </w:rPr>
              <w:t>Judgment</w:t>
            </w:r>
          </w:p>
        </w:tc>
        <w:tc>
          <w:tcPr>
            <w:tcW w:type="dxa" w:w="7862"/>
            <w:vAlign w:val="center"/>
            <w:tcMar>
              <w:top w:w="85" w:type="dxa"/>
              <w:bottom w:w="85" w:type="dxa"/>
              <w:left w:w="100" w:type="dxa"/>
              <w:right w:w="100" w:type="dxa"/>
            </w:tcMar>
            <w:shd w:fill="E4EDF3"/>
          </w:tcPr>
          <w:p>
            <w:pPr>
              <w:spacing w:after="40" w:line="247" w:lineRule="auto"/>
            </w:pPr>
            <w:r>
              <w:rPr>
                <w:b/>
                <w:sz w:val="21"/>
              </w:rPr>
              <w:t>Required rationale</w:t>
            </w:r>
          </w:p>
        </w:tc>
      </w:tr>
      <w:tr>
        <w:trPr>
          <w:cantSplit/>
        </w:trPr>
        <w:tc>
          <w:tcPr>
            <w:tcW w:type="dxa" w:w="2131"/>
            <w:vAlign w:val="center"/>
            <w:tcMar>
              <w:top w:w="85" w:type="dxa"/>
              <w:bottom w:w="85" w:type="dxa"/>
              <w:left w:w="100" w:type="dxa"/>
              <w:right w:w="100" w:type="dxa"/>
            </w:tcMar>
          </w:tcPr>
          <w:p>
            <w:pPr>
              <w:spacing w:after="40" w:line="247" w:lineRule="auto"/>
            </w:pPr>
            <w:r>
              <w:rPr>
                <w:b w:val="0"/>
                <w:sz w:val="21"/>
              </w:rPr>
              <w:t>Low</w:t>
            </w:r>
          </w:p>
        </w:tc>
        <w:tc>
          <w:tcPr>
            <w:tcW w:type="dxa" w:w="7862"/>
            <w:vAlign w:val="center"/>
            <w:tcMar>
              <w:top w:w="85" w:type="dxa"/>
              <w:bottom w:w="85" w:type="dxa"/>
              <w:left w:w="100" w:type="dxa"/>
              <w:right w:w="100" w:type="dxa"/>
            </w:tcMar>
          </w:tcPr>
          <w:p>
            <w:pPr>
              <w:spacing w:after="40" w:line="247" w:lineRule="auto"/>
            </w:pPr>
            <w:r>
              <w:rPr>
                <w:b w:val="0"/>
                <w:sz w:val="21"/>
              </w:rPr>
              <w:t>Bounded support activity changes; core offering, channel and revenue logic remain materially intact.</w:t>
            </w:r>
          </w:p>
        </w:tc>
      </w:tr>
      <w:tr>
        <w:trPr>
          <w:cantSplit/>
        </w:trPr>
        <w:tc>
          <w:tcPr>
            <w:tcW w:type="dxa" w:w="2131"/>
            <w:vAlign w:val="center"/>
            <w:tcMar>
              <w:top w:w="85" w:type="dxa"/>
              <w:bottom w:w="85" w:type="dxa"/>
              <w:left w:w="100" w:type="dxa"/>
              <w:right w:w="100" w:type="dxa"/>
            </w:tcMar>
          </w:tcPr>
          <w:p>
            <w:pPr>
              <w:spacing w:after="40" w:line="247" w:lineRule="auto"/>
            </w:pPr>
            <w:r>
              <w:rPr>
                <w:b w:val="0"/>
                <w:sz w:val="21"/>
              </w:rPr>
              <w:t>Moderate</w:t>
            </w:r>
          </w:p>
        </w:tc>
        <w:tc>
          <w:tcPr>
            <w:tcW w:type="dxa" w:w="7862"/>
            <w:vAlign w:val="center"/>
            <w:tcMar>
              <w:top w:w="85" w:type="dxa"/>
              <w:bottom w:w="85" w:type="dxa"/>
              <w:left w:w="100" w:type="dxa"/>
              <w:right w:w="100" w:type="dxa"/>
            </w:tcMar>
          </w:tcPr>
          <w:p>
            <w:pPr>
              <w:spacing w:after="40" w:line="247" w:lineRule="auto"/>
            </w:pPr>
            <w:r>
              <w:rPr>
                <w:b w:val="0"/>
                <w:sz w:val="21"/>
              </w:rPr>
              <w:t>Material activity or economics change, while the main offering and value-capture mechanism can plausibly persist.</w:t>
            </w:r>
          </w:p>
        </w:tc>
      </w:tr>
      <w:tr>
        <w:trPr>
          <w:cantSplit/>
        </w:trPr>
        <w:tc>
          <w:tcPr>
            <w:tcW w:type="dxa" w:w="2131"/>
            <w:vAlign w:val="center"/>
            <w:tcMar>
              <w:top w:w="85" w:type="dxa"/>
              <w:bottom w:w="85" w:type="dxa"/>
              <w:left w:w="100" w:type="dxa"/>
              <w:right w:w="100" w:type="dxa"/>
            </w:tcMar>
          </w:tcPr>
          <w:p>
            <w:pPr>
              <w:spacing w:after="40" w:line="247" w:lineRule="auto"/>
            </w:pPr>
            <w:r>
              <w:rPr>
                <w:b w:val="0"/>
                <w:sz w:val="21"/>
              </w:rPr>
              <w:t>High</w:t>
            </w:r>
          </w:p>
        </w:tc>
        <w:tc>
          <w:tcPr>
            <w:tcW w:type="dxa" w:w="7862"/>
            <w:vAlign w:val="center"/>
            <w:tcMar>
              <w:top w:w="85" w:type="dxa"/>
              <w:bottom w:w="85" w:type="dxa"/>
              <w:left w:w="100" w:type="dxa"/>
              <w:right w:w="100" w:type="dxa"/>
            </w:tcMar>
          </w:tcPr>
          <w:p>
            <w:pPr>
              <w:spacing w:after="40" w:line="247" w:lineRule="auto"/>
            </w:pPr>
            <w:r>
              <w:rPr>
                <w:b w:val="0"/>
                <w:sz w:val="21"/>
              </w:rPr>
              <w:t>Credible substitution directly challenges core revenue, relationships, channel or differentiating advantage and would require substantial redesign.</w:t>
            </w:r>
          </w:p>
        </w:tc>
      </w:tr>
      <w:tr>
        <w:trPr>
          <w:cantSplit/>
        </w:trPr>
        <w:tc>
          <w:tcPr>
            <w:tcW w:type="dxa" w:w="2131"/>
            <w:vAlign w:val="center"/>
            <w:tcMar>
              <w:top w:w="85" w:type="dxa"/>
              <w:bottom w:w="85" w:type="dxa"/>
              <w:left w:w="100" w:type="dxa"/>
              <w:right w:w="100" w:type="dxa"/>
            </w:tcMar>
          </w:tcPr>
          <w:p>
            <w:pPr>
              <w:spacing w:after="40" w:line="247" w:lineRule="auto"/>
            </w:pPr>
            <w:r>
              <w:rPr>
                <w:b w:val="0"/>
                <w:sz w:val="21"/>
              </w:rPr>
              <w:t>Potentially Existential</w:t>
            </w:r>
          </w:p>
        </w:tc>
        <w:tc>
          <w:tcPr>
            <w:tcW w:type="dxa" w:w="7862"/>
            <w:vAlign w:val="center"/>
            <w:tcMar>
              <w:top w:w="85" w:type="dxa"/>
              <w:bottom w:w="85" w:type="dxa"/>
              <w:left w:w="100" w:type="dxa"/>
              <w:right w:w="100" w:type="dxa"/>
            </w:tcMar>
          </w:tcPr>
          <w:p>
            <w:pPr>
              <w:spacing w:after="40" w:line="247" w:lineRule="auto"/>
            </w:pPr>
            <w:r>
              <w:rPr>
                <w:b w:val="0"/>
                <w:sz w:val="21"/>
              </w:rPr>
              <w:t>Critical dependence plus substantial substitution, poor economics and inadequate adaptation form a credible survival pathway.</w:t>
            </w:r>
          </w:p>
        </w:tc>
      </w:tr>
      <w:tr>
        <w:trPr>
          <w:cantSplit/>
        </w:trPr>
        <w:tc>
          <w:tcPr>
            <w:tcW w:type="dxa" w:w="2131"/>
            <w:vAlign w:val="center"/>
            <w:tcMar>
              <w:top w:w="85" w:type="dxa"/>
              <w:bottom w:w="85" w:type="dxa"/>
              <w:left w:w="100" w:type="dxa"/>
              <w:right w:w="100" w:type="dxa"/>
            </w:tcMar>
          </w:tcPr>
          <w:p>
            <w:pPr>
              <w:spacing w:after="40" w:line="247" w:lineRule="auto"/>
            </w:pPr>
            <w:r>
              <w:rPr>
                <w:b w:val="0"/>
                <w:sz w:val="21"/>
              </w:rPr>
              <w:t>Withheld</w:t>
            </w:r>
          </w:p>
        </w:tc>
        <w:tc>
          <w:tcPr>
            <w:tcW w:type="dxa" w:w="7862"/>
            <w:vAlign w:val="center"/>
            <w:tcMar>
              <w:top w:w="85" w:type="dxa"/>
              <w:bottom w:w="85" w:type="dxa"/>
              <w:left w:w="100" w:type="dxa"/>
              <w:right w:w="100" w:type="dxa"/>
            </w:tcMar>
          </w:tcPr>
          <w:p>
            <w:pPr>
              <w:spacing w:after="40" w:line="247" w:lineRule="auto"/>
            </w:pPr>
            <w:r>
              <w:rPr>
                <w:b w:val="0"/>
                <w:sz w:val="21"/>
              </w:rPr>
              <w:t>Scope or baseline economics cannot support a definitive grade. Preserve conditional branches; missing information is not proof of Low.</w:t>
            </w:r>
          </w:p>
        </w:tc>
      </w:tr>
    </w:tbl>
    <w:p>
      <w:pPr>
        <w:pStyle w:val="Heading2"/>
      </w:pPr>
      <w:r>
        <w:t>Mechanism and full cost</w:t>
      </w:r>
    </w:p>
    <w:p>
      <w:r>
        <w:t>Trace capability to changed activity to customer value, cost, revenue or advantage. A reliable loop could reduce routine checking effort and increase time for interpretation; clients could internalize some billed work. Retained review, exception handling, source stewardship, integration and model use create costs. Compare full cost per correctly reviewed task with human-only and deterministic checks. Task substitution is not job elimination, and cost reduction is not automatically a new revenue model.</w:t>
      </w:r>
    </w:p>
    <w:p>
      <w:pPr>
        <w:pStyle w:val="Heading2"/>
      </w:pPr>
      <w:r>
        <w:t>Monitoring that could reverse the finding</w:t>
      </w:r>
    </w:p>
    <w:p>
      <w:r>
        <w:t>At the proposed four-week review, the report owner and engineering lead should inspect source-to-chart and action/observation traces. No loop weakens the agentic claim; a reproducible discontinuity against simpler checks could strengthen breakthrough. Before the 12-month reassessment, the finance or service owner should compare full costs and routine-task revenue dependence. The client lead should collect willingness-to-pay and switching evidence. Material substitution raises exposure; durable assurance demand lowers it. Establish thresholds from data.</w:t>
      </w:r>
    </w:p>
    <w:p>
      <w:pPr>
        <w:pStyle w:val="Heading2"/>
      </w:pPr>
      <w:r>
        <w:t>Contract and specialist boundaries</w:t>
      </w:r>
    </w:p>
    <w:p>
      <w:r>
        <w:t>The seven frozen core and tool files remain unchanged. Input and output schemas are unchanged; classification dimensions and judgments are carried in existing strings and arrays. No chart publication, operational SQL or external API is executed. Promethean handles long-range significance; Diffusion handles spread; Adoption handles adopt or experiment decisions; Organizational Readiness handles controls and execution; Landscape handles current alternatives. The old repository inventory has other tentative labels that need future course-aligned reconciliation; only slot 2 is corrected now.</w:t>
      </w:r>
    </w:p>
    <w:p>
      <w:r>
        <w:t>Integration warning: retain withheld judgments and competing interpretations. Do not convert an AI label, high error consequence or sponsor claim into evidence of novelty, measured value or survival threat. A validator pass cannot confer team approval.</w:t>
      </w:r>
    </w:p>
    <w:p>
      <w:pPr>
        <w:pStyle w:val="Heading1"/>
        <w:pageBreakBefore/>
      </w:pPr>
      <w:r>
        <w:t>Evidence register and verification</w:t>
      </w:r>
    </w:p>
    <w:p>
      <w:r>
        <w:t>The shared source packet is bounded to five primary sources. The original case packet retains its 12 October inspection dates; the team register separately records assistant source inspection on 13 October 2026. No student verification or observed organization outcome is asserted. Each final response separates source facts, constructed case premises and inference.</w:t>
      </w:r>
    </w:p>
    <w:p>
      <w:pPr>
        <w:pStyle w:val="Heading2"/>
      </w:pPr>
      <w:r>
        <w:t>S1 OECD and Eurostat</w:t>
      </w:r>
    </w:p>
    <w:p>
      <w:r>
        <w:t>Oslo Manual 2018, chapter 3. Supports significant difference, implementation and novelty baselines. It supplies neither agent reliability nor business-model disruption cutoffs.</w:t>
      </w:r>
    </w:p>
    <w:p>
      <w:r>
        <w:rPr>
          <w:b/>
        </w:rPr>
        <w:t xml:space="preserve">Source </w:t>
      </w:r>
      <w:hyperlink r:id="rId10">
        <w:r>
          <w:rPr>
            <w:color w:val="17527A"/>
          </w:rPr>
          <w:t>Open the original reference</w:t>
        </w:r>
      </w:hyperlink>
    </w:p>
    <w:p>
      <w:pPr>
        <w:pStyle w:val="Heading2"/>
      </w:pPr>
      <w:r>
        <w:t>S2 Yao and colleagues</w:t>
      </w:r>
    </w:p>
    <w:p>
      <w:r>
        <w:t>ReAct Synergizing Reasoning and Acting in Language Models. Preprint 2022, revised 2023. Supports reasoning-action capability in reported research tasks, not chart-QA accuracy, ROI or service displacement.</w:t>
      </w:r>
    </w:p>
    <w:p>
      <w:r>
        <w:rPr>
          <w:b/>
        </w:rPr>
        <w:t xml:space="preserve">Source </w:t>
      </w:r>
      <w:hyperlink r:id="rId11">
        <w:r>
          <w:rPr>
            <w:color w:val="17527A"/>
          </w:rPr>
          <w:t>Open the original reference</w:t>
        </w:r>
      </w:hyperlink>
    </w:p>
    <w:p>
      <w:pPr>
        <w:pStyle w:val="Heading2"/>
      </w:pPr>
      <w:r>
        <w:t>S3 Anthropic</w:t>
      </w:r>
    </w:p>
    <w:p>
      <w:r>
        <w:t>Building effective agents, 19 December 2024, live page inspected. Vendor engineering guidance distinguishes agents from predefined workflows and describes tradeoffs; it is not independent performance validation.</w:t>
      </w:r>
    </w:p>
    <w:p>
      <w:r>
        <w:rPr>
          <w:b/>
        </w:rPr>
        <w:t xml:space="preserve">Source </w:t>
      </w:r>
      <w:hyperlink r:id="rId12">
        <w:r>
          <w:rPr>
            <w:color w:val="17527A"/>
          </w:rPr>
          <w:t>Open the original reference</w:t>
        </w:r>
      </w:hyperlink>
    </w:p>
    <w:p>
      <w:pPr>
        <w:pStyle w:val="Heading2"/>
      </w:pPr>
      <w:r>
        <w:t>S4 Microsoft Learn</w:t>
      </w:r>
    </w:p>
    <w:p>
      <w:r>
        <w:t>Create and edit Power BI reports with Copilot. Live documentation updated 9 July 2026. Supports adjacent commercial report assistance and documented limits, not proposal equivalence or measured savings.</w:t>
      </w:r>
    </w:p>
    <w:p>
      <w:r>
        <w:rPr>
          <w:b/>
        </w:rPr>
        <w:t xml:space="preserve">Source </w:t>
      </w:r>
      <w:hyperlink r:id="rId13">
        <w:r>
          <w:rPr>
            <w:color w:val="17527A"/>
          </w:rPr>
          <w:t>Open the original reference</w:t>
        </w:r>
      </w:hyperlink>
    </w:p>
    <w:p>
      <w:pPr>
        <w:pStyle w:val="Heading2"/>
      </w:pPr>
      <w:r>
        <w:t>S5 Microsoft Learn</w:t>
      </w:r>
    </w:p>
    <w:p>
      <w:r>
        <w:t>Summarize a report with Copilot. Live documentation supports report summaries, citations and sampling limitations; it does not establish full source-table validation or displacement of a service firm.</w:t>
      </w:r>
    </w:p>
    <w:p>
      <w:r>
        <w:rPr>
          <w:b/>
        </w:rPr>
        <w:t xml:space="preserve">Source </w:t>
      </w:r>
      <w:hyperlink r:id="rId14">
        <w:r>
          <w:rPr>
            <w:color w:val="17527A"/>
          </w:rPr>
          <w:t>Open the original reference</w:t>
        </w:r>
      </w:hyperlink>
    </w:p>
    <w:p>
      <w:pPr>
        <w:pStyle w:val="Heading2"/>
      </w:pPr>
      <w:r>
        <w:t>Traceability and technical review</w:t>
      </w:r>
    </w:p>
    <w:p>
      <w:r>
        <w:t>Candidate intake records identify source ZIP/report hashes and repository commits. The snapshot manifest protects 117 selected source files, including necessary historical revisions. Minghan's report-named implementation is 4cdf07c1a6eb2cbaf10f44423393bd9d5e87c24b; his current branch has matching specialist, metadata, cases and responses. Yufei's prior Lab3 package is recovered read-only from its final GitHub branch because the earlier local output folder is no longer present.</w:t>
      </w:r>
    </w:p>
    <w:p>
      <w:r>
        <w:t>verification/recheck.py checks all current cases and ten responses, exact prompt context, metadata, the frozen core, candidate hashes and negative schema controls. Result: 81 passed, 0 failed. Original available input files are unchanged. These checks establish artifact integrity and contract conformance, not truth of future business outcomes or independent model reliability.</w:t>
      </w:r>
    </w:p>
    <w:p>
      <w:pPr>
        <w:pStyle w:val="Heading1"/>
        <w:pageBreakBefore/>
      </w:pPr>
      <w:r>
        <w:t>Contribution record and repository handoff</w:t>
      </w:r>
    </w:p>
    <w:p>
      <w:r>
        <w:t>Material lineage comes from each member's supplied individual work: Chutong provides the scope gate, common cases and preserved failure; Jianbo supplies explicit grade boundaries; Yufei supplies controlled contextual reasoning and value-capture separation; Minghan supplies simpler alternatives and owner-specific monitoring. This evidence does not show that each member reviewed the new team synthesis.</w:t>
      </w:r>
    </w:p>
    <w:p>
      <w:pPr>
        <w:pStyle w:val="Heading2"/>
      </w:pPr>
      <w:r>
        <w:t>Actual session status</w:t>
      </w:r>
    </w:p>
    <w:p>
      <w:r>
        <w:t>The user reports no current TW4 classroom discussion record. No votes, completed role allocation, attendance, class minutes, all-member approval or approximately 90-percent in-class completion are claimed. Earlier TW3 teamwork does not establish current TW4 participation. ChatGPT/Codex prepared the synthesis, source review, same-assistant examples, validation and packaging; this work is disclosed as AI assistance, not attributed as human class activity.</w:t>
      </w:r>
    </w:p>
    <w:p>
      <w:pPr>
        <w:pStyle w:val="Heading2"/>
      </w:pPr>
      <w:r>
        <w:t>Human acceptance needed before final team signoff</w:t>
      </w:r>
    </w:p>
    <w:p>
      <w:r>
        <w:t>Members should review the recommended classification rules, strongest alternatives, shared cases and integration warning. Record actual acceptance, requested changes or dissent in the shared decision log. If rules change, rerun the unchanged common cases and preserve the results. Add a class record only if a genuine one exists. The classroom participation component cannot be reconstructed by AI. Do not promote this package to approved or describe it as team-approved before that human step.</w:t>
      </w:r>
    </w:p>
    <w:p>
      <w:pPr>
        <w:pStyle w:val="Heading2"/>
      </w:pPr>
      <w:r>
        <w:t>GitHub and version locators</w:t>
      </w:r>
    </w:p>
    <w:p>
      <w:r>
        <w:rPr>
          <w:b/>
        </w:rPr>
        <w:t xml:space="preserve">Team repository </w:t>
      </w:r>
      <w:hyperlink r:id="rId15">
        <w:r>
          <w:rPr>
            <w:color w:val="17527A"/>
          </w:rPr>
          <w:t>Sun417-jianbo/special-dark</w:t>
        </w:r>
      </w:hyperlink>
    </w:p>
    <w:p>
      <w:r>
        <w:rPr>
          <w:b/>
        </w:rPr>
        <w:t xml:space="preserve">Review pull request </w:t>
      </w:r>
      <w:hyperlink r:id="rId16">
        <w:r>
          <w:rPr>
            <w:color w:val="17527A"/>
          </w:rPr>
          <w:t>PR 3  TW4 Innovation Classification Agent review</w:t>
        </w:r>
      </w:hyperlink>
    </w:p>
    <w:p>
      <w:r>
        <w:t>Branch: codex/tw4-innovation-classification-20261013</w:t>
      </w:r>
    </w:p>
    <w:p>
      <w:r>
        <w:t>Review directory: team_integration_workspace/review/innovation_classification_v1_0</w:t>
      </w:r>
    </w:p>
    <w:p>
      <w:r>
        <w:t>Implementation commit: 3cde6f2b2c7ba92ab93b0b2f30b0a3270935fcad</w:t>
      </w:r>
    </w:p>
    <w:p>
      <w:r>
        <w:t>This stable commit identifies the agent, source snapshots, tests and local check results. Later commits on the same branch add the final Word and handoff. The pull request provides the completed history. No automatic merge is requested; approved agents and other inventory slots remain unchanged.</w:t>
      </w:r>
    </w:p>
    <w:p>
      <w:pPr>
        <w:pStyle w:val="Heading2"/>
      </w:pPr>
      <w:r>
        <w:t>Submission contents and classroom summary</w:t>
      </w:r>
    </w:p>
    <w:p>
      <w:r>
        <w:t>The ZIP includes this same final record, complete agent package, shared tests, evidence, decision rationale and handoff. Historical candidate revisions are comparison evidence, not competing final drafts. Submit the Word record and supporting ZIP where Brightspace permits; follow its actual upload fields and deadline.</w:t>
      </w:r>
    </w:p>
    <w:p>
      <w:r>
        <w:t>Report-out: Our proposed logic checks scope and implementation before novelty or impact. Internal chart review has conditional Low exposure; missing studio economics require Low/Moderate branches. A screenshot demo cannot prove agentic validation. The integration safeguard is to preserve uncertainty and prevent organization-specific novelty from rewriting global technical evidence.</w:t>
      </w:r>
    </w:p>
    <w:sectPr w:rsidR="00FC693F" w:rsidRPr="0006063C" w:rsidSect="00034616">
      <w:footerReference w:type="default" r:id="rId9"/>
      <w:pgSz w:w="12240" w:h="15840"/>
      <w:pgMar w:top="979" w:right="1123" w:bottom="1037"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Special Dark  |  TW4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oecd.org/en/publications/oslo-manual-2018_9789264304604-en/full-report/component-9.html" TargetMode="External"/><Relationship Id="rId11" Type="http://schemas.openxmlformats.org/officeDocument/2006/relationships/hyperlink" Target="https://arxiv.org/abs/2210.03629" TargetMode="External"/><Relationship Id="rId12" Type="http://schemas.openxmlformats.org/officeDocument/2006/relationships/hyperlink" Target="https://www.anthropic.com/engineering/building-effective-agents" TargetMode="External"/><Relationship Id="rId13" Type="http://schemas.openxmlformats.org/officeDocument/2006/relationships/hyperlink" Target="https://learn.microsoft.com/en-us/power-bi/create-reports/copilot-create-reports" TargetMode="External"/><Relationship Id="rId14" Type="http://schemas.openxmlformats.org/officeDocument/2006/relationships/hyperlink" Target="https://learn.microsoft.com/en-us/power-bi/explore-reports/copilot-pane-summarize-content" TargetMode="External"/><Relationship Id="rId15" Type="http://schemas.openxmlformats.org/officeDocument/2006/relationships/hyperlink" Target="https://github.com/Sun417-jianbo/special-dark" TargetMode="External"/><Relationship Id="rId16" Type="http://schemas.openxmlformats.org/officeDocument/2006/relationships/hyperlink" Target="https://github.com/Sun417-jianbo/special-dark/pull/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Dark TW4 Innovation Classification Team Agent Record</dc:title>
  <dc:subject>Recommended SubAgent 2 synthesis and evidence record</dc:subject>
  <dc:creator>Special Dark</dc:creator>
  <cp:keywords/>
  <dc:description>generated by python-docx</dc:description>
  <cp:lastModifiedBy/>
  <cp:revision>1</cp:revision>
  <dcterms:created xsi:type="dcterms:W3CDTF">2013-12-23T23:15:00Z</dcterms:created>
  <dcterms:modified xsi:type="dcterms:W3CDTF">2013-12-23T23:15:00Z</dcterms:modified>
  <cp:category/>
</cp:coreProperties>
</file>