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A7BD" w14:textId="77777777" w:rsidR="0057432F" w:rsidRDefault="00000000">
      <w:pPr>
        <w:spacing w:after="160" w:line="276" w:lineRule="auto"/>
        <w:jc w:val="left"/>
      </w:pPr>
      <w:r>
        <w:rPr>
          <w:rFonts w:ascii="等线" w:eastAsia="等线" w:hAnsi="等线" w:cs="Times New Roman" w:hint="eastAsia"/>
          <w:sz w:val="22"/>
          <w:lang w:bidi="ar"/>
        </w:rPr>
        <w:t>核心结构为</w:t>
      </w:r>
      <w:r>
        <w:rPr>
          <w:rFonts w:ascii="等线" w:eastAsia="等线" w:hAnsi="等线" w:cs="Times New Roman" w:hint="eastAsia"/>
          <w:b/>
          <w:bCs/>
          <w:sz w:val="22"/>
          <w:lang w:bidi="ar"/>
        </w:rPr>
        <w:t>四轮驱动底盘 + 车前反转旋耕刀组</w:t>
      </w:r>
      <w:r>
        <w:rPr>
          <w:rFonts w:ascii="等线" w:eastAsia="等线" w:hAnsi="等线" w:cs="Times New Roman" w:hint="eastAsia"/>
          <w:sz w:val="22"/>
          <w:lang w:bidi="ar"/>
        </w:rPr>
        <w:t>。</w:t>
      </w:r>
    </w:p>
    <w:p w14:paraId="7F0FC404" w14:textId="77777777" w:rsidR="0057432F" w:rsidRDefault="00000000">
      <w:pPr>
        <w:spacing w:after="160" w:line="276" w:lineRule="auto"/>
        <w:jc w:val="left"/>
      </w:pPr>
      <w:r>
        <w:rPr>
          <w:rFonts w:ascii="等线" w:eastAsia="等线" w:hAnsi="等线" w:cs="Times New Roman" w:hint="eastAsia"/>
          <w:b/>
          <w:bCs/>
          <w:sz w:val="22"/>
          <w:lang w:bidi="ar"/>
        </w:rPr>
        <w:t>1. 底盘与动力</w:t>
      </w:r>
      <w:r>
        <w:rPr>
          <w:rFonts w:ascii="等线" w:eastAsia="等线" w:hAnsi="等线" w:cs="Times New Roman" w:hint="eastAsia"/>
          <w:sz w:val="22"/>
          <w:lang w:bidi="ar"/>
        </w:rPr>
        <w:t>：采用四轮驱动，配备大扭矩电机与减速机构，保证翻土作业时在松软土质下的通过性与牵引力；整车防水防尘，离地间隙与轮距按农场垄形匹配。</w:t>
      </w:r>
    </w:p>
    <w:p w14:paraId="1ADFBCCD" w14:textId="77777777" w:rsidR="0057432F" w:rsidRDefault="00000000">
      <w:pPr>
        <w:spacing w:after="160" w:line="276" w:lineRule="auto"/>
        <w:jc w:val="left"/>
      </w:pPr>
      <w:r>
        <w:rPr>
          <w:rFonts w:ascii="等线" w:eastAsia="等线" w:hAnsi="等线" w:cs="Times New Roman" w:hint="eastAsia"/>
          <w:b/>
          <w:bCs/>
          <w:sz w:val="22"/>
          <w:lang w:bidi="ar"/>
        </w:rPr>
        <w:t>2. 翻土机构</w:t>
      </w:r>
      <w:r>
        <w:rPr>
          <w:rFonts w:ascii="等线" w:eastAsia="等线" w:hAnsi="等线" w:cs="Times New Roman" w:hint="eastAsia"/>
          <w:sz w:val="22"/>
          <w:lang w:bidi="ar"/>
        </w:rPr>
        <w:t>：旋耕刀组布置于车体</w:t>
      </w:r>
      <w:r>
        <w:rPr>
          <w:rFonts w:ascii="等线" w:eastAsia="等线" w:hAnsi="等线" w:cs="Times New Roman" w:hint="eastAsia"/>
          <w:b/>
          <w:bCs/>
          <w:sz w:val="22"/>
          <w:lang w:bidi="ar"/>
        </w:rPr>
        <w:t>前部</w:t>
      </w:r>
      <w:r>
        <w:rPr>
          <w:rFonts w:ascii="等线" w:eastAsia="等线" w:hAnsi="等线" w:cs="Times New Roman" w:hint="eastAsia"/>
          <w:sz w:val="22"/>
          <w:lang w:bidi="ar"/>
        </w:rPr>
        <w:t>，采用</w:t>
      </w:r>
      <w:r>
        <w:rPr>
          <w:rFonts w:ascii="等线" w:eastAsia="等线" w:hAnsi="等线" w:cs="Times New Roman" w:hint="eastAsia"/>
          <w:b/>
          <w:bCs/>
          <w:sz w:val="22"/>
          <w:lang w:bidi="ar"/>
        </w:rPr>
        <w:t>反转旋耕</w:t>
      </w:r>
      <w:r>
        <w:rPr>
          <w:rFonts w:ascii="等线" w:eastAsia="等线" w:hAnsi="等线" w:cs="Times New Roman" w:hint="eastAsia"/>
          <w:sz w:val="22"/>
          <w:lang w:bidi="ar"/>
        </w:rPr>
        <w:t>方式——刀轴反向旋转将土壤向后上方切削翻抛，碎土效果好、能耗较低，且翻起的土壤向后回落，便于后续镇压平整。刀组由独立电机驱动，与行走动力解耦，入土深度可通过升降机构调节。</w:t>
      </w:r>
      <w:r>
        <w:rPr>
          <w:rFonts w:ascii="等线" w:eastAsia="等线" w:hAnsi="等线" w:cs="Times New Roman" w:hint="eastAsia"/>
          <w:noProof/>
          <w:sz w:val="22"/>
          <w:lang w:bidi="ar"/>
        </w:rPr>
        <w:drawing>
          <wp:inline distT="0" distB="0" distL="114300" distR="114300" wp14:anchorId="76DCBC1F" wp14:editId="0D29D60B">
            <wp:extent cx="2612390" cy="165989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B4F4" w14:textId="77777777" w:rsidR="0057432F" w:rsidRDefault="00000000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b/>
          <w:bCs/>
          <w:sz w:val="22"/>
          <w:lang w:bidi="ar"/>
        </w:rPr>
        <w:t>3</w:t>
      </w:r>
      <w:proofErr w:type="gramStart"/>
      <w:r>
        <w:rPr>
          <w:rFonts w:ascii="等线" w:eastAsia="等线" w:hAnsi="等线" w:cs="Times New Roman" w:hint="eastAsia"/>
          <w:b/>
          <w:bCs/>
          <w:sz w:val="22"/>
          <w:lang w:bidi="ar"/>
        </w:rPr>
        <w:t>. 导航</w:t>
      </w:r>
      <w:proofErr w:type="gramEnd"/>
      <w:r>
        <w:rPr>
          <w:rFonts w:ascii="等线" w:eastAsia="等线" w:hAnsi="等线" w:cs="Times New Roman" w:hint="eastAsia"/>
          <w:b/>
          <w:bCs/>
          <w:sz w:val="22"/>
          <w:lang w:bidi="ar"/>
        </w:rPr>
        <w:t>定位</w:t>
      </w:r>
      <w:r>
        <w:rPr>
          <w:rFonts w:ascii="等线" w:eastAsia="等线" w:hAnsi="等线" w:cs="Times New Roman" w:hint="eastAsia"/>
          <w:sz w:val="22"/>
          <w:lang w:bidi="ar"/>
        </w:rPr>
        <w:t>：以</w:t>
      </w:r>
      <w:r>
        <w:rPr>
          <w:rFonts w:ascii="等线" w:eastAsia="等线" w:hAnsi="等线" w:cs="Times New Roman" w:hint="eastAsia"/>
          <w:b/>
          <w:bCs/>
          <w:sz w:val="22"/>
          <w:lang w:bidi="ar"/>
        </w:rPr>
        <w:t>北斗（RTK）厘米级定位为主</w:t>
      </w:r>
      <w:r>
        <w:rPr>
          <w:rFonts w:ascii="等线" w:eastAsia="等线" w:hAnsi="等线" w:cs="Times New Roman" w:hint="eastAsia"/>
          <w:sz w:val="22"/>
          <w:lang w:bidi="ar"/>
        </w:rPr>
        <w:t>，</w:t>
      </w:r>
      <w:r>
        <w:rPr>
          <w:rFonts w:ascii="等线" w:eastAsia="等线" w:hAnsi="等线" w:cs="Times New Roman" w:hint="eastAsia"/>
          <w:b/>
          <w:bCs/>
          <w:sz w:val="22"/>
          <w:lang w:bidi="ar"/>
        </w:rPr>
        <w:t>三角定位为辅</w:t>
      </w:r>
      <w:r>
        <w:rPr>
          <w:rFonts w:ascii="等线" w:eastAsia="等线" w:hAnsi="等线" w:cs="Times New Roman" w:hint="eastAsia"/>
          <w:sz w:val="22"/>
          <w:lang w:bidi="ar"/>
        </w:rPr>
        <w:t>——北斗提供开阔农田下的主定位，三角定位（多基站/视觉辅助）在信号遮挡或打滑场景下补充修正，配合路径规划实现弓字形全覆盖自主作业。</w:t>
      </w:r>
    </w:p>
    <w:p w14:paraId="14A7361F" w14:textId="77777777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</w:p>
    <w:p w14:paraId="7709A9B3" w14:textId="1A3445C7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设计特色：</w:t>
      </w:r>
    </w:p>
    <w:p w14:paraId="6E8992E8" w14:textId="7F8A2546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采用模块化设计，小车和耕作器械分离，通过统一的连接口连接不同的耕作器械，增强普适性和应变能力。</w:t>
      </w:r>
    </w:p>
    <w:p w14:paraId="27A2559A" w14:textId="5DCC70F5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可搭配视觉避障</w:t>
      </w:r>
    </w:p>
    <w:p w14:paraId="7EF88B26" w14:textId="339B3081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可增加探针传感器探测土壤情况</w:t>
      </w:r>
    </w:p>
    <w:p w14:paraId="2470CB81" w14:textId="77777777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</w:p>
    <w:p w14:paraId="107A6DD7" w14:textId="2A9F1B97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设计要点：</w:t>
      </w:r>
    </w:p>
    <w:p w14:paraId="4BCBBCD0" w14:textId="25BA2532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大扭矩电机确保翻土能力</w:t>
      </w:r>
    </w:p>
    <w:p w14:paraId="19C30D89" w14:textId="44483030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大容量电池（磷酸铁锂？）保证续航和稳定性</w:t>
      </w:r>
    </w:p>
    <w:p w14:paraId="2198360E" w14:textId="4A2AE848" w:rsidR="001E3625" w:rsidRDefault="001E3625">
      <w:pPr>
        <w:spacing w:after="160" w:line="276" w:lineRule="auto"/>
        <w:jc w:val="left"/>
        <w:rPr>
          <w:rFonts w:ascii="等线" w:eastAsia="等线" w:hAnsi="等线" w:cs="Times New Roman"/>
          <w:sz w:val="22"/>
          <w:lang w:bidi="ar"/>
        </w:rPr>
      </w:pPr>
      <w:r>
        <w:rPr>
          <w:rFonts w:ascii="等线" w:eastAsia="等线" w:hAnsi="等线" w:cs="Times New Roman" w:hint="eastAsia"/>
          <w:sz w:val="22"/>
          <w:lang w:bidi="ar"/>
        </w:rPr>
        <w:t>大轮子确保越野能力</w:t>
      </w:r>
    </w:p>
    <w:p w14:paraId="75CE08FD" w14:textId="04C796EA" w:rsidR="001E3625" w:rsidRPr="001E3625" w:rsidRDefault="001E3625">
      <w:pPr>
        <w:spacing w:after="160" w:line="276" w:lineRule="auto"/>
        <w:jc w:val="left"/>
        <w:rPr>
          <w:rFonts w:hint="eastAsia"/>
        </w:rPr>
      </w:pPr>
      <w:r>
        <w:rPr>
          <w:rFonts w:ascii="等线" w:eastAsia="等线" w:hAnsi="等线" w:cs="Times New Roman" w:hint="eastAsia"/>
          <w:sz w:val="22"/>
          <w:lang w:bidi="ar"/>
        </w:rPr>
        <w:t>接触式热插拔充电头，便于自动充电</w:t>
      </w:r>
    </w:p>
    <w:sectPr w:rsidR="001E3625" w:rsidRPr="001E36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41795C"/>
    <w:rsid w:val="001E3625"/>
    <w:rsid w:val="0057432F"/>
    <w:rsid w:val="005F6FDE"/>
    <w:rsid w:val="0241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14123"/>
  <w15:docId w15:val="{0917D48C-8FB5-4903-9C3A-12685818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唐</dc:creator>
  <cp:lastModifiedBy>Bingfu Xie</cp:lastModifiedBy>
  <cp:revision>2</cp:revision>
  <dcterms:created xsi:type="dcterms:W3CDTF">2026-09-10T15:42:00Z</dcterms:created>
  <dcterms:modified xsi:type="dcterms:W3CDTF">2026-09-10T15:42:00Z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806BC2351F014FC6B188292086A8B774_11</vt:lpwstr>
  </property>
  <property fmtid="{D5CDD505-2E9C-101B-9397-08002B2CF9AE}" pid="4" name="KSOTemplateDocerSaveRecord">
    <vt:lpwstr>eyJoZGlkIjoiNDIwNjE0OWMyYTkwNjQ1ZDE3NTNiODMxNGZmNmIxZjUiLCJ1c2VySWQiOiI5ODg1NzMwMjkifQ==</vt:lpwstr>
  </property>
</Properties>
</file>