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2a44"/>
          <w:sz w:val="26"/>
          <w:szCs w:val="26"/>
        </w:rPr>
        <w:t xml:space="preserve">Архитектурная схема Entity Resolution</w:t>
      </w:r>
    </w:p>
    <w:p>
      <w:pPr>
        <w:spacing w:after="80" w:before="80"/>
        <w:jc w:val="center"/>
      </w:pPr>
      <w:r>
        <w:drawing>
          <wp:inline distT="0" distB="0" distL="0" distR="0">
            <wp:extent cx="8782050" cy="4752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205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 w:line="2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Подход к деплою. </w:t>
      </w:r>
      <w:r>
        <w:rPr>
          <w:rFonts w:ascii="Arial" w:cs="Arial" w:eastAsia="Arial" w:hAnsi="Arial"/>
          <w:sz w:val="18"/>
          <w:szCs w:val="18"/>
        </w:rPr>
        <w:t xml:space="preserve">Двухконтурный режим.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Batch</w:t>
      </w:r>
      <w:r>
        <w:rPr>
          <w:rFonts w:ascii="Arial" w:cs="Arial" w:eastAsia="Arial" w:hAnsi="Arial"/>
          <w:sz w:val="18"/>
          <w:szCs w:val="18"/>
        </w:rPr>
        <w:t xml:space="preserve"> — ночной пересчёт по всему профайл-стору (Spark + Airflow): блокинг → попарные признаки → CatBoost → связные компоненты → upsert в Entity Store.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Online</w:t>
      </w:r>
      <w:r>
        <w:rPr>
          <w:rFonts w:ascii="Arial" w:cs="Arial" w:eastAsia="Arial" w:hAnsi="Arial"/>
          <w:sz w:val="18"/>
          <w:szCs w:val="18"/>
        </w:rPr>
        <w:t xml:space="preserve"> — на регистрацию нового профиля Kafka-событие триггерит точечный поиск кандидатов (Feature Store + ANN-индекс по site-id) и инкрементальный апдейт entity_id через REST-сервис на CatBoost-ONNX (Triton). Целевая латентность — ≤100 мс p95.</w:t>
      </w:r>
    </w:p>
    <w:p>
      <w:pPr>
        <w:spacing w:after="40" w:before="20" w:line="2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Масштабирование. </w:t>
      </w:r>
      <w:r>
        <w:rPr>
          <w:rFonts w:ascii="Arial" w:cs="Arial" w:eastAsia="Arial" w:hAnsi="Arial"/>
          <w:sz w:val="18"/>
          <w:szCs w:val="18"/>
        </w:rPr>
        <w:t xml:space="preserve">Узким местом ER является блокинг: пар O(n²), кандидатов нужно O(n·k). Решение — MinHash/LSH для поведенческого ключа и инвертированный индекс с стоп-листами по слишком частым site-id (cap по блоку, down-sampling больших блоков). На 100M профилей пайплайн умещается в кластер из 10–20 узлов; инкрементный режим дёшев — пересчёт только для затронутых компонент.</w:t>
      </w:r>
    </w:p>
    <w:p>
      <w:pPr>
        <w:spacing w:after="40" w:before="20" w:line="2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Контроль качества. </w:t>
      </w:r>
      <w:r>
        <w:rPr>
          <w:rFonts w:ascii="Arial" w:cs="Arial" w:eastAsia="Arial" w:hAnsi="Arial"/>
          <w:sz w:val="18"/>
          <w:szCs w:val="18"/>
        </w:rPr>
        <w:t xml:space="preserve">Метки от операторов из REVIEW-очереди возвращаются в обучающую выборку (continuous learning). Мониторинг ловит дрейф PR-AUC, рост FP rate и нагрузку очереди; при просадке Precision в AUTO &lt; 0.99 — автоматический rollback на ручной режим и алерт DS-команде.</w:t>
      </w:r>
    </w:p>
    <w:sectPr>
      <w:pgSz w:w="16838" w:h="11906" w:orient="landscape"/>
      <w:pgMar w:top="540" w:right="720" w:bottom="5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Arial" w:cs="Arial" w:eastAsia="Arial" w:hAnsi="Arial"/>
      <w:b/>
      <w:bCs/>
      <w:color w:val="1f2a4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c5534ad4417fef0228b2ac19733574e933b406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Entity Resolution Team</dc:creator>
  <cp:lastModifiedBy>Un-named</cp:lastModifiedBy>
  <cp:revision>1</cp:revision>
  <dcterms:created xsi:type="dcterms:W3CDTF">2026-05-29T14:48:42.673Z</dcterms:created>
  <dcterms:modified xsi:type="dcterms:W3CDTF">2026-05-29T14:48:42.673Z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