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Метрики качества модели Entity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Метрики по парам профилей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Каждая пара профилей-кандидатов классифицируется как «дубль» либо «разные». Модель — CatBoost; PR-AUC = 0.733. Используются два рабочих порога: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TP / FP / 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sdt>
              <w:sdtPr>
                <w:id w:val="-12053808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AUTO-MERGE (p ≥ 0.998)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16 / 0 / 152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sdt>
              <w:sdtPr>
                <w:id w:val="57248048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REVIEW (p ≥ 0.966)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112 / 19 / 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AUTO-MERGE — высокий порог, объединяем без подтверждения (нулевые FP). REVIEW — рабочий порог при лучшем F1, пары попадают в очередь оператору.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Метрики по кластерам дубликатов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40" w:line="280" w:lineRule="auto"/>
        <w:jc w:val="both"/>
        <w:rPr/>
      </w:pPr>
      <w:sdt>
        <w:sdtPr>
          <w:id w:val="248057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После применения модели пары с p ≥ порога объединяются в связные компоненты (кластеры профилей одной сущности). B-Cubed — стандартная метрика качества кластеризации: для каждого профиля считается, какая доля его кластера действительно принадлежит той же сущности (precision) и какая доля всех профилей сущности оказалась в его кластере (recall).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B-Cubed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B-Cubed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B-Cubed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Точно восст. / ед.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sdt>
              <w:sdtPr>
                <w:id w:val="320352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AUTO-MERGE (p ≥ 0.998)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 / 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sdt>
              <w:sdtPr>
                <w:id w:val="-16617931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REVIEW (p ≥ 0.966)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41 / 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«Точно восстановлено / единиц» — сколько мульти-сущностей восстановлено как ровно тот же набор профилей. При пороге REVIEW B-Cubed F1 = 0.966 — кластеры качественно правильные даже когда часть пар не пробивает порог (срабатывает транзитивность).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Кривая Precision-Recall и выбор порога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35943" cy="20789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943" cy="207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a4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Un5VpuCSV8Fu5jMKm3O1woEV4g==">CgMxLjAaJAoBMBIfCh0IB0IZCgVBcmlhbBIQQXJpYWwgVW5pY29kZSBNUxokCgExEh8KHQgHQhkKBUFyaWFsEhBBcmlhbCBVbmljb2RlIE1TGiQKATISHwodCAdCGQoFQXJpYWwSEEFyaWFsIFVuaWNvZGUgTVMaJAoBMxIfCh0IB0IZCgVBcmlhbBIQQXJpYWwgVW5pY29kZSBNUxokCgE0Eh8KHQgHQhkKBUFyaWFsEhBBcmlhbCBVbmljb2RlIE1TOAByITF0dzZUQnVyVGw0OS1mdWtVTzNINmU3ZHJGd3l4MjV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