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a44"/>
          <w:sz w:val="30"/>
          <w:szCs w:val="30"/>
          <w:rtl w:val="0"/>
        </w:rPr>
        <w:t xml:space="preserve">Шаг 4. Принятие архитектурного решения по MDD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90" w:before="40" w:line="29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Получены два набора данных по времени отклика: существующая система и улучшенная. Визуально улучшение выглядит впечатляющим — два чётко разделённых распределения, центральный пик сдвинулся с 3.5 до 2.0 секунд. Однако MDD-подход требует не любоваться визуализацией, а спросить: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что эти числа </w:t>
      </w:r>
      <w:r w:rsidDel="00000000" w:rsidR="00000000" w:rsidRPr="00000000">
        <w:rPr>
          <w:b w:val="1"/>
          <w:bCs w:val="1"/>
          <w:rtl w:val="0"/>
        </w:rPr>
        <w:t xml:space="preserve">означают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 для пользователя и контракта системы?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38850" cy="3562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1. Что показывает анализ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" w:before="40" w:line="29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Сравнение двух распределений запросов: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120"/>
        <w:gridCol w:w="2120"/>
        <w:gridCol w:w="2000"/>
        <w:tblGridChange w:id="0">
          <w:tblGrid>
            <w:gridCol w:w="3120"/>
            <w:gridCol w:w="2120"/>
            <w:gridCol w:w="212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Метрика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Существующая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Улучшенная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Δ (сокращение)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Среднее (mean)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3.50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2.00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1.50 с (-43%)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Медиана (p50)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3.50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2.00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1.50 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4.16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2.66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1.50 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4.43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2.93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1.50 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p99.9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4.73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3.24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1.49 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fe9c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% запросов &gt; 1 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fe9c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100.00%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fe9c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99.37%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fe9c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sdt>
              <w:sdtPr>
                <w:id w:val="-164125694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≈ 0.6 пп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ad4d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% запросов &gt; 100 мс (типичный SLO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ad4d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100.00%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ad4d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100.00%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ad4d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0 пп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Cohen's d (размер эффекта)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3.75 (huge)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90" w:before="40" w:line="290" w:lineRule="auto"/>
        <w:jc w:val="both"/>
        <w:rPr>
          <w:rFonts w:ascii="Arial" w:cs="Arial" w:eastAsia="Arial" w:hAnsi="Arial"/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Само улучшение реально и значимо.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Среднее упало на 1.50 секунды (-43%), p95 — на 1.50, Cohen's d = 3.75 (по классификации Sawilowsky — «huge effect», выходит за пределы стандартной шкалы). При выборке 500 000 наблюдений на сторону этот эффект статистически достоверен с любым разумным уровнем значимости. Если бы единственным вопросом было «стало ли быстрее» — улучшение можно было бы выкатывать в продакт.</w:t>
      </w:r>
    </w:p>
    <w:p w:rsidR="00000000" w:rsidDel="00000000" w:rsidP="00000000" w:rsidRDefault="00000000" w:rsidRPr="00000000" w14:paraId="0000002B">
      <w:pPr>
        <w:spacing w:after="90" w:before="40" w:line="29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90" w:before="40" w:line="29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90" w:before="40" w:line="29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90" w:before="40" w:line="29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2. Главный инсайт MDD: измеряем то, что важно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038850" cy="2743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90" w:before="40" w:line="29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Зелёное распределение всё ещё не вписывается в SLO API.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Для типичного API регистрации или чекаута на маркетплейсе целевая latency p95 — 100 миллисекунд. В существующей системе 100% запросов превышают 1 секунду, в «улучшенной» — 99.4%. С точки зрения SLO 100 мс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обе системы провалены полностью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: улучшение от 4.0 до 2.0 секунд для пользователя выглядит как «ужас стал чуть менее ужасным», но всё ещё 20× выше целевого порога.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90" w:before="40" w:line="29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Это и есть смысл MDD.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Decision-making по метрикам — не «улучшение есть, значит едем дальше», а «улучшение есть,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19"/>
          <w:szCs w:val="19"/>
          <w:rtl w:val="0"/>
        </w:rPr>
        <w:t xml:space="preserve">достигли ли мы цели</w:t>
      </w:r>
      <w:sdt>
        <w:sdtPr>
          <w:id w:val="159365200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9"/>
              <w:szCs w:val="19"/>
              <w:rtl w:val="0"/>
            </w:rPr>
            <w:t xml:space="preserve">?». Если цель — p95 ≤ 100 мс, то сокращение на 1.5 с от 4.0 решает ~3% задачи. Оставшиеся 97% требуют другого подхода — не точечной оптимизации того же кода, а архитектурного изменения.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90" w:before="40" w:line="29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Опасный нарратив.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Команда показывает зелёный график на дашборде, бизнес видит «-43%» и считает задачу решённой. Через месяц приходит UX-команда с метрикой conversion drop при latency &gt; 1 с (это эмпирически подтверждённый паттерн) — и оказывается, что сокращение мало повлияло на бизнес-метрики, потому что 99.4% запросов всё ещё в зоне drop. MDD требует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связывать технические метрики с бизнес-метриками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на каждом шаге, а не считать улучшение само по себе достижением.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3. Архитектурное решение: что делать дальше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4a66"/>
          <w:sz w:val="21"/>
          <w:szCs w:val="21"/>
          <w:rtl w:val="0"/>
        </w:rPr>
        <w:t xml:space="preserve">3.1. Сначала диагностируем (без диагностики дальше не идём)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90" w:before="40" w:line="29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В существующей системе медиана 3.5 с, в улучшенной — 2.0 с. Это означает, что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19"/>
          <w:szCs w:val="19"/>
          <w:rtl w:val="0"/>
        </w:rPr>
        <w:t xml:space="preserve">каждый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запрос, независимо от шумовых факторов, занимает базово больше секунды. Это не выбросы и не cold start — это структурная стоимость одного запроса. Без декомпозиции стоимости по компонентам дальше двигаться бессмысленно. Конкретные действия: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3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Включить distributed tracing </w:t>
      </w:r>
      <w:sdt>
        <w:sdtPr>
          <w:id w:val="64621971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9"/>
              <w:szCs w:val="19"/>
              <w:u w:val="none"/>
              <w:shd w:fill="auto" w:val="clear"/>
              <w:vertAlign w:val="baseline"/>
              <w:rtl w:val="0"/>
            </w:rPr>
            <w:t xml:space="preserve">(OpenTelemetry/Jaeger) и измерить вклад каждого шага: парсинг входа → блокинг → loading признаков из БД → инференс модели → постобработка. Это даёт честную картину «где время теряется» с точностью до миллисекунд.</w:t>
          </w:r>
        </w:sdtContent>
      </w:sdt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3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Построить flame graph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(py-spy) для одного запроса в обоих режимах. Понять, что именно изменили в улучшенной версии и в какой компонент идти дальше.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3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Зафиксировать SLO как Error Budget.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До диагностики приниматься за оптимизацию — гадание. Текущая система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уже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потратила весь error budget, новые деплои должны быть заморожены до получения декомпозиции (см. документ SLI/SLO).</w:t>
      </w:r>
    </w:p>
    <w:p w:rsidR="00000000" w:rsidDel="00000000" w:rsidP="00000000" w:rsidRDefault="00000000" w:rsidRPr="00000000" w14:paraId="0000003A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4a66"/>
          <w:sz w:val="21"/>
          <w:szCs w:val="21"/>
          <w:rtl w:val="0"/>
        </w:rPr>
        <w:t xml:space="preserve">3.2. Архитектурные опции (после получения данных профилирования)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90" w:before="40" w:line="29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Принципиально важно: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конкретное решение зависит от результата диагностики из 3.1.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Все опции — порядок величины, который они дают, нельзя получить, не зная, где bottleneck. Таблица ниже — это decision tree, а не план действий: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400"/>
        <w:gridCol w:w="1400"/>
        <w:gridCol w:w="1400"/>
        <w:gridCol w:w="2760"/>
        <w:tblGridChange w:id="0">
          <w:tblGrid>
            <w:gridCol w:w="2400"/>
            <w:gridCol w:w="1400"/>
            <w:gridCol w:w="1400"/>
            <w:gridCol w:w="14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Ожид. сокращение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Сложность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e8eef5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Когда применять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Latency-профилирование (декомпозиция p95 по компонентам)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(диагностика)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Обязательный первый шаг. Без него — гадание.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MinHash/LSH вместо точного блокинга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10–100×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fe9c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fe9c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sdt>
              <w:sdtPr>
                <w:id w:val="-86886302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18"/>
                    <w:szCs w:val="18"/>
                    <w:rtl w:val="0"/>
                  </w:rPr>
                  <w:t xml:space="preserve">Recall 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Если профилирование покажет, что блокинг — главный bottleneck.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Feature cache (Redis) для match-признаков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2–10×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Если профилирование покажет, что lookup в БД — bottleneck.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sdt>
              <w:sdtPr>
                <w:id w:val="34129199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Асинхронный API (запрос → request_id, callback)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sdt>
              <w:sdtPr>
                <w:id w:val="110919837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∞ (для UX)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ad4d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ad4d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Изменение контракта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Если декомпозиция показывает, что &lt; 100мс физически недостижимо.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sdt>
              <w:sdtPr>
                <w:id w:val="95192947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18"/>
                    <w:szCs w:val="18"/>
                    <w:rtl w:val="0"/>
                  </w:rPr>
                  <w:t xml:space="preserve">CatBoost → ONNX + Triton inference server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2–5×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fe9c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Низкий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Если профилирование покажет, что инференс — bottleneck.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Batch inference вместо per-request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5–20×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fe9c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fe9c7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Доп. latency на батчинг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Если профилирование покажет, что CPU-инференс — bottleneck.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Горизонтальное масштабирование сервинга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fad4d4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1× (но throughput)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shd w:fill="d4ebd0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7c0" w:space="0" w:sz="4" w:val="single"/>
              <w:left w:color="b0b7c0" w:space="0" w:sz="4" w:val="single"/>
              <w:bottom w:color="b0b7c0" w:space="0" w:sz="4" w:val="single"/>
              <w:right w:color="b0b7c0" w:space="0" w:sz="4" w:val="single"/>
            </w:tcBorders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Не решает latency-проблему. Только если bottleneck — очередь.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a4a66"/>
          <w:sz w:val="21"/>
          <w:szCs w:val="21"/>
          <w:rtl w:val="0"/>
        </w:rPr>
        <w:t xml:space="preserve">3.3. Решающий критерий выбора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90" w:before="40" w:line="29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Думаем порядками величины, а не процентами.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Чтобы дойти от 2.0 с до 100 мс, нужно 20-кратное сокращение. Оптимизации, дающие -10%/-30%, складываются мультипликативно, но 5 последовательных «-30%» дадут только -83% — этого недостаточно. Поэтому стратегия не «оптимизировать всё подряд», 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найти один компонент, дающий x10, и сосредоточиться на нём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. Скорее всего это будут одна из двух больших опций: либо MinHash/LSH вместо точного блокинга, либо переход на асинхронный паттерн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90" w:before="40" w:line="29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Когда асинхронный API единственно правильный выбор.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Если профилирование покажет, что физический минимум обработки запроса &gt; 100 мс (например, блокинг по 100M профилей физически не делается быстрее), тогда синхронный SLO 100 мс недостижим в принципе, и попытки его выжать — путь к локальной оптимизации, которая никогда не покроет цель. В этом случае правильное MDD-решение — изменить контракт API: вернуть запросу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555555"/>
          <w:sz w:val="17"/>
          <w:szCs w:val="17"/>
          <w:rtl w:val="0"/>
        </w:rPr>
        <w:t xml:space="preserve">request_id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 за 10 мс, обработку выполнить асинхронно, клиент получает результат через webhook или поллинг. UX-метрики (perceived latency) при этом улучшаются на порядки.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4. Что не делаем и почему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3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Не масштабируем сервинг горизонтально.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Увеличение числа реплик не сокращает latency одного запроса — оно только улучшает throughput. Согласно нашим SLO, throughput не является bottleneck — критична именно latency.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3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Не переходим на GPU сразу.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CatBoost на CPU обычно даёт инференс за единицы миллисекунд для одной пары. Если профилирование покажет, что узкое место — модель (что маловероятно при медиане 2 с), GPU имеет смысл. Если узкое место — БД или блокинг, GPU не поможет вообще.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80" w:lineRule="auto"/>
        <w:ind w:left="360" w:right="0" w:hanging="24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Не делаем «общий рефакторинг».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Без целевой метрики и понимания, какой компонент тормозит, любой рефакторинг рискует улучшить не то.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Goodhart’s law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в действии: если оптимизировать не ту метрику, получим красивые цифры в </w:t>
      </w:r>
      <w:r w:rsidDel="00000000" w:rsidR="00000000" w:rsidRPr="00000000">
        <w:rPr>
          <w:rtl w:val="0"/>
        </w:rPr>
        <w:t xml:space="preserve">отчетах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и плохой продукт.</w:t>
      </w:r>
    </w:p>
    <w:p w:rsidR="00000000" w:rsidDel="00000000" w:rsidP="00000000" w:rsidRDefault="00000000" w:rsidRPr="00000000" w14:paraId="0000006B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c3e50"/>
          <w:sz w:val="24"/>
          <w:szCs w:val="24"/>
          <w:rtl w:val="0"/>
        </w:rPr>
        <w:t xml:space="preserve">5. Резюме принятого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90" w:before="40" w:line="29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Архитектурное решение по MDD: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не выкатывать улучшенную систему как «решение проблемы latency» и не считать задачу закрытой по факту -43%.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Перевести систему в режим обязательного latency-профилирования (distributed tracing на всех путях), декомпозировать стоимость запроса по компонентам, после чего выбрать ровно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z w:val="19"/>
          <w:szCs w:val="19"/>
          <w:rtl w:val="0"/>
        </w:rPr>
        <w:t xml:space="preserve">одно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архитектурное изменение, дающее минимум 10× сокращение в самом тяжёлом компоненте. Параллельно — вернуться к продуктовой команде с уточнением целевого SLO: возможно, целевой 100 мс — следствие не точной постановки, и реальный пользовательский порог терпимости — другой. Это и есть Metrics Driven Development в действии: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9"/>
          <w:szCs w:val="19"/>
          <w:rtl w:val="0"/>
        </w:rPr>
        <w:t xml:space="preserve">решение исходит из данных, </w:t>
      </w:r>
      <w:r w:rsidDel="00000000" w:rsidR="00000000" w:rsidRPr="00000000">
        <w:rPr>
          <w:rFonts w:ascii="Arial" w:cs="Arial" w:eastAsia="Arial" w:hAnsi="Arial"/>
          <w:sz w:val="19"/>
          <w:szCs w:val="19"/>
          <w:rtl w:val="0"/>
        </w:rPr>
        <w:t xml:space="preserve">из связи технических метрик с бизнес-эффектом, а не из принципа «улучшение есть — значит едем».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oLjtcym96gRkWWSzdKkpqaTGL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aTV2VHNnV2txanZPSmZtX1BfZ1NpYzdVU0hwbldpQ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