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Технический отчёт: Entity Resolution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Поиск дубликатов профилей клиентов маркетплейса по неполным и зашумлённым данным (ФИО, email, телефон, дата рождения, гео, поведенческие признаки).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Постановка задачи и подход</w:t>
      </w:r>
    </w:p>
    <w:p>
      <w:pPr>
        <w:spacing w:after="80" w:before="4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Один реальный человек заводит несколько профилей (entity_id → несколько profile_id), часто с разными email-доменами и неполным PII. Решение должно для каждой пары профилей выдать вероятность принадлежности одной сущности и сгруппировать профили в кластеры-дубликаты, при этом FP (ложное склейка разных людей) обходится дорого.</w:t>
      </w:r>
    </w:p>
    <w:p>
      <w:pPr>
        <w:spacing w:after="80" w:before="4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Реализован классический трёхступенчатый ER-конвейер: (1) блокинг — генерация кандидатов на пары, (2) бинарный классификатор пар, (3) кластеризация в связные компоненты. На выходе — два режима: автоматическое слияние и очередь на ручную проверку.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Архитектура решения</w:t>
      </w:r>
    </w:p>
    <w:p>
      <w:pPr>
        <w:spacing w:after="80" w:before="40" w:line="2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Парсинг и схлопывание. </w:t>
      </w:r>
      <w:r>
        <w:rPr>
          <w:rFonts w:ascii="Arial" w:cs="Arial" w:eastAsia="Arial" w:hAnsi="Arial"/>
          <w:sz w:val="20"/>
          <w:szCs w:val="20"/>
        </w:rPr>
        <w:t xml:space="preserve">Один профиль встречается в нескольких событиях; перед обработкой объединяем их в одну строку с union по поведенческим site-id. Парсер устойчив к строковому формату массивов numpy (токены через пробел без запятых).</w:t>
      </w:r>
    </w:p>
    <w:p>
      <w:pPr>
        <w:spacing w:after="80" w:before="40" w:line="2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Мульти-ключевой блокинг. </w:t>
      </w:r>
      <w:r>
        <w:rPr>
          <w:rFonts w:ascii="Arial" w:cs="Arial" w:eastAsia="Arial" w:hAnsi="Arial"/>
          <w:sz w:val="20"/>
          <w:szCs w:val="20"/>
        </w:rPr>
        <w:t xml:space="preserve">Кандидатами считается пара профилей, совпавших хотя бы по одному ключу: домен email, телефон, имя × геоид, общий site-id из fs_features. Это покрывает кросс-доменные дубли (gmail × yandex), которые теряет однокритериальный блокинг.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Стратегия блокинга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Покрытие истинных дублей (recall)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Кол-во пар-кандидатов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домен email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67.4%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884 429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Мульти-ключ (домен + phone + имя×гео + site-id)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100.0%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312 896</w:t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Однокритериальный блокинг по домену теряет ~33% истинных дублей, потому что один человек заводит профили на разных почтовых сервисах. Мульти-ключевой блокинг с инвертированным индексом по site-id и стоп-словами по слишком частым токенам даёт полное покрытие при меньшем объёме пар.</w:t>
      </w:r>
    </w:p>
    <w:p>
      <w:pPr>
        <w:spacing w:after="80" w:before="40" w:line="2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Попарные признаки. </w:t>
      </w:r>
      <w:r>
        <w:rPr>
          <w:rFonts w:ascii="Arial" w:cs="Arial" w:eastAsia="Arial" w:hAnsi="Arial"/>
          <w:sz w:val="20"/>
          <w:szCs w:val="20"/>
        </w:rPr>
        <w:t xml:space="preserve">match_* — категориальные совпадения PII с явным состоянием «нет данных» (-1/0/1), diff_* — числовые расстояния (в т.ч. по дате создания и дате рождения), overlap_* и Jaccard — пересечения site-id, агрегат overlap_any_site — главный поведенческий драйвер.</w:t>
      </w:r>
    </w:p>
    <w:p>
      <w:pPr>
        <w:spacing w:after="80" w:before="40" w:line="2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Классификатор. </w:t>
      </w:r>
      <w:r>
        <w:rPr>
          <w:rFonts w:ascii="Arial" w:cs="Arial" w:eastAsia="Arial" w:hAnsi="Arial"/>
          <w:sz w:val="20"/>
          <w:szCs w:val="20"/>
        </w:rPr>
        <w:t xml:space="preserve">CatBoost (бинарная классификация). Аргументы за выбор: нативная работа с категориальными match_*, устойчивость к пропускам и дисбалансу классов (auto_class_weights='Balanced'), быстрое обучение на CPU. Сплит — по entity_id, чтобы исключить утечку между train и validation.</w:t>
      </w:r>
    </w:p>
    <w:p>
      <w:pPr>
        <w:spacing w:after="80" w:before="40" w:line="2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Кластеризация и пороги. </w:t>
      </w:r>
      <w:r>
        <w:rPr>
          <w:rFonts w:ascii="Arial" w:cs="Arial" w:eastAsia="Arial" w:hAnsi="Arial"/>
          <w:sz w:val="20"/>
          <w:szCs w:val="20"/>
        </w:rPr>
        <w:t xml:space="preserve">Два порога: AUTO-MERGE (p ≥ 0.998) — автоматическое объединение с нулевыми FP; REVIEW (p ≥ 0.95) — отправка на проверку. Связные компоненты графа пар собирают кластеры с использованием транзитивности.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Метрики качества</w:t>
      </w:r>
    </w:p>
    <w:p>
      <w:pPr>
        <w:spacing w:after="80" w:before="4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PR-AUC = 0.733 на валидационной выборке. Сводка по двум рабочим порогам: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240"/>
        <w:gridCol w:w="2240"/>
        <w:gridCol w:w="2240"/>
      </w:tblGrid>
      <w:tr>
        <w:trPr>
          <w:tblHeader/>
        </w:trPr>
        <w:tc>
          <w:tcPr>
            <w:tcW w:type="dxa" w:w="26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AUTO-MERGE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6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Порог P(match)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0.998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0.966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откалиброван на val</w:t>
            </w:r>
          </w:p>
        </w:tc>
      </w:tr>
      <w:tr>
        <w:tc>
          <w:tcPr>
            <w:tcW w:type="dxa" w:w="26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 P / R / F1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 / 0.10 / 0.17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 / 0.67 / 0.75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 парах-кандидатах</w:t>
            </w:r>
          </w:p>
        </w:tc>
      </w:tr>
      <w:tr>
        <w:tc>
          <w:tcPr>
            <w:tcW w:type="dxa" w:w="26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B-Cubed F1 (кластеры)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0.932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0.966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главная бизнес-метрика</w:t>
            </w:r>
          </w:p>
        </w:tc>
      </w:tr>
      <w:tr>
        <w:tc>
          <w:tcPr>
            <w:tcW w:type="dxa" w:w="26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FP (ошибочные объединения)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стоимость ошибки — высокая</w:t>
            </w:r>
          </w:p>
        </w:tc>
      </w:tr>
      <w:tr>
        <w:tc>
          <w:tcPr>
            <w:tcW w:type="dxa" w:w="26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PR-AUC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0.733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0.733</w:t>
            </w:r>
          </w:p>
        </w:tc>
        <w:tc>
          <w:tcPr>
            <w:tcW w:type="dxa" w:w="22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единое значение модели</w:t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B-Cubed F1 = 0.966 при пороге REVIEW — кластеры качественно правильные: точечные пропуски на уровне пар компенсируются транзитивностью при кластеризации.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Рекомендации по внедрению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Двухпороговый процесс. </w:t>
      </w:r>
      <w:r>
        <w:rPr>
          <w:rFonts w:ascii="Arial" w:cs="Arial" w:eastAsia="Arial" w:hAnsi="Arial"/>
          <w:sz w:val="20"/>
          <w:szCs w:val="20"/>
        </w:rPr>
        <w:t xml:space="preserve">AUTO-MERGE — для CRM/billing/маркетинга (минимизация ложных склеек). REVIEW — для саппорта и аналитики, где допустим human-in-the-loop.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Изоляция доменов с высоким FP-риском (corporate email, общие телефоны кол-центров). </w:t>
      </w:r>
      <w:r>
        <w:rPr>
          <w:rFonts w:ascii="Arial" w:cs="Arial" w:eastAsia="Arial" w:hAnsi="Arial"/>
          <w:sz w:val="20"/>
          <w:szCs w:val="20"/>
        </w:rPr>
        <w:t xml:space="preserve">Стоп-листы по этим значениям сразу убирают типичный класс ошибок.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Калибровка вероятностей. </w:t>
      </w:r>
      <w:r>
        <w:rPr>
          <w:rFonts w:ascii="Arial" w:cs="Arial" w:eastAsia="Arial" w:hAnsi="Arial"/>
          <w:sz w:val="20"/>
          <w:szCs w:val="20"/>
        </w:rPr>
        <w:t xml:space="preserve">После обучения — изотоническая регрессия на holdout, чтобы пороги имели бизнес-интерпретацию.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SLA на разрешение конфликтов. </w:t>
      </w:r>
      <w:r>
        <w:rPr>
          <w:rFonts w:ascii="Arial" w:cs="Arial" w:eastAsia="Arial" w:hAnsi="Arial"/>
          <w:sz w:val="20"/>
          <w:szCs w:val="20"/>
        </w:rPr>
        <w:t xml:space="preserve">Аудит-лог всех объединений с возможностью разделения (unmerge) и сохранением истории.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Регулярный retraining каждые 4–6 недель </w:t>
      </w:r>
      <w:r>
        <w:rPr>
          <w:rFonts w:ascii="Arial" w:cs="Arial" w:eastAsia="Arial" w:hAnsi="Arial"/>
          <w:sz w:val="20"/>
          <w:szCs w:val="20"/>
        </w:rPr>
        <w:t xml:space="preserve">на размеченных REVIEW-парах — это бесплатные «жёсткие» примеры от операторов.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Масштабирование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Блокинг — на Spark/Dask. </w:t>
      </w:r>
      <w:r>
        <w:rPr>
          <w:rFonts w:ascii="Arial" w:cs="Arial" w:eastAsia="Arial" w:hAnsi="Arial"/>
          <w:sz w:val="20"/>
          <w:szCs w:val="20"/>
        </w:rPr>
        <w:t xml:space="preserve">Инвертированный индекс по ключам параллелится тривиально, на 100M профилей умещается в кластер из 10–20 узлов.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Поведенческий ключ — через MinHash/LSH. </w:t>
      </w:r>
      <w:r>
        <w:rPr>
          <w:rFonts w:ascii="Arial" w:cs="Arial" w:eastAsia="Arial" w:hAnsi="Arial"/>
          <w:sz w:val="20"/>
          <w:szCs w:val="20"/>
        </w:rPr>
        <w:t xml:space="preserve">Для миллионных множеств site-id точный inverted index дорог; LSH даёт сублинейный кандидатный лук с контролируемым recall.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Онлайн-инференс. </w:t>
      </w:r>
      <w:r>
        <w:rPr>
          <w:rFonts w:ascii="Arial" w:cs="Arial" w:eastAsia="Arial" w:hAnsi="Arial"/>
          <w:sz w:val="20"/>
          <w:szCs w:val="20"/>
        </w:rPr>
        <w:t xml:space="preserve">CatBoost экспортируется в ONNX и хостится в Triton/BentoML; целевая латентность одного парного скора — ≤10 мс, новых регистраций — ≤100 мс end-to-end.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Батч-режим — еженощно. </w:t>
      </w:r>
      <w:r>
        <w:rPr>
          <w:rFonts w:ascii="Arial" w:cs="Arial" w:eastAsia="Arial" w:hAnsi="Arial"/>
          <w:sz w:val="20"/>
          <w:szCs w:val="20"/>
        </w:rPr>
        <w:t xml:space="preserve">Airflow-пайплайн: read parquet → block → score → connected components → upsert в Entity Store (Postgres/Cassandra) с историей версий entity_id.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Мониторинг: дрейф PR-AUC на shadow-наборе, доля overlap_any_site, частота REVIEW-очереди. </w:t>
      </w:r>
      <w:r>
        <w:rPr>
          <w:rFonts w:ascii="Arial" w:cs="Arial" w:eastAsia="Arial" w:hAnsi="Arial"/>
          <w:sz w:val="20"/>
          <w:szCs w:val="20"/>
        </w:rPr>
        <w:t xml:space="preserve">Алерт при просадке P в AUTO ниже 0.99 — автоматическое отключение auto-merge и эскалация.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Entity Resolution Team</dc:creator>
  <cp:lastModifiedBy>Un-named</cp:lastModifiedBy>
  <cp:revision>1</cp:revision>
  <dcterms:created xsi:type="dcterms:W3CDTF">2026-05-29T14:48:42.530Z</dcterms:created>
  <dcterms:modified xsi:type="dcterms:W3CDTF">2026-05-29T14:48:42.530Z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