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Приходько</w:t>
      </w:r>
      <w:r>
        <w:t xml:space="preserve"> </w:t>
      </w:r>
      <w:r>
        <w:t xml:space="preserve">Иван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Научится писать базовую программу на языке ассемблера NASM, компилировать их в объектные файлы и собирать из них готовые к запуску программы.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перейдем в рабочий каталог (рис. 2.1).</w:t>
      </w:r>
    </w:p>
    <w:p>
      <w:pPr>
        <w:pStyle w:val="CaptionedFigure"/>
      </w:pPr>
      <w:r>
        <w:drawing>
          <wp:inline>
            <wp:extent cx="5334000" cy="292891"/>
            <wp:effectExtent b="0" l="0" r="0" t="0"/>
            <wp:docPr descr="Переход в папку lab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папку lab4</w:t>
      </w:r>
    </w:p>
    <w:p>
      <w:pPr>
        <w:pStyle w:val="BodyText"/>
      </w:pPr>
      <w:r>
        <w:t xml:space="preserve">Созаддим файл hello с расширением asm, чтобы писать в нем код (рис. 2.2).</w:t>
      </w:r>
    </w:p>
    <w:p>
      <w:pPr>
        <w:pStyle w:val="CaptionedFigure"/>
      </w:pPr>
      <w:r>
        <w:drawing>
          <wp:inline>
            <wp:extent cx="5334000" cy="270867"/>
            <wp:effectExtent b="0" l="0" r="0" t="0"/>
            <wp:docPr descr="Создание hello.asm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hello.asm</w:t>
      </w:r>
    </w:p>
    <w:p>
      <w:pPr>
        <w:pStyle w:val="BodyText"/>
      </w:pPr>
      <w:r>
        <w:t xml:space="preserve">Теперь откроем данный файл и вставим в него данный код (рис. 2.3 и 2.4).</w:t>
      </w:r>
    </w:p>
    <w:p>
      <w:pPr>
        <w:pStyle w:val="CaptionedFigure"/>
      </w:pPr>
      <w:r>
        <w:drawing>
          <wp:inline>
            <wp:extent cx="5334000" cy="235323"/>
            <wp:effectExtent b="0" l="0" r="0" t="0"/>
            <wp:docPr descr="Открытие hello.asm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hello.asm</w:t>
      </w:r>
    </w:p>
    <w:p>
      <w:pPr>
        <w:pStyle w:val="CaptionedFigure"/>
      </w:pPr>
      <w:r>
        <w:drawing>
          <wp:inline>
            <wp:extent cx="5334000" cy="2585281"/>
            <wp:effectExtent b="0" l="0" r="0" t="0"/>
            <wp:docPr descr="Редактирование hello.asm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hello.asm</w:t>
      </w:r>
    </w:p>
    <w:p>
      <w:pPr>
        <w:pStyle w:val="BodyText"/>
      </w:pPr>
      <w:r>
        <w:t xml:space="preserve">Теперь превративм наш файл в объектный (рис. 2.5).</w:t>
      </w:r>
    </w:p>
    <w:p>
      <w:pPr>
        <w:pStyle w:val="CaptionedFigure"/>
      </w:pPr>
      <w:r>
        <w:drawing>
          <wp:inline>
            <wp:extent cx="5334000" cy="253544"/>
            <wp:effectExtent b="0" l="0" r="0" t="0"/>
            <wp:docPr descr="Компиляция файла с помощью NASM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с помощью NASM</w:t>
      </w:r>
    </w:p>
    <w:p>
      <w:pPr>
        <w:pStyle w:val="BodyText"/>
      </w:pPr>
      <w:r>
        <w:t xml:space="preserve">Проверим (рис. 2.6).</w:t>
      </w:r>
    </w:p>
    <w:p>
      <w:pPr>
        <w:pStyle w:val="CaptionedFigure"/>
      </w:pPr>
      <w:r>
        <w:drawing>
          <wp:inline>
            <wp:extent cx="5334000" cy="293140"/>
            <wp:effectExtent b="0" l="0" r="0" t="0"/>
            <wp:docPr descr="Проверка созданный файлов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созданный файлов</w:t>
      </w:r>
    </w:p>
    <w:p>
      <w:pPr>
        <w:pStyle w:val="BodyText"/>
      </w:pPr>
      <w:r>
        <w:t xml:space="preserve">Используем полный вариант команды NASM (рис. 2.7).</w:t>
      </w:r>
    </w:p>
    <w:p>
      <w:pPr>
        <w:pStyle w:val="CaptionedFigure"/>
      </w:pPr>
      <w:r>
        <w:drawing>
          <wp:inline>
            <wp:extent cx="5334000" cy="269109"/>
            <wp:effectExtent b="0" l="0" r="0" t="0"/>
            <wp:docPr descr="Использование полной команды NASM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полной команды NASM</w:t>
      </w:r>
    </w:p>
    <w:p>
      <w:pPr>
        <w:pStyle w:val="BodyText"/>
      </w:pPr>
      <w:r>
        <w:t xml:space="preserve">Используем компоновщик ld для создания исполняемого файла (рис. 2.8).</w:t>
      </w:r>
    </w:p>
    <w:p>
      <w:pPr>
        <w:pStyle w:val="CaptionedFigure"/>
      </w:pPr>
      <w:r>
        <w:drawing>
          <wp:inline>
            <wp:extent cx="5334000" cy="318782"/>
            <wp:effectExtent b="0" l="0" r="0" t="0"/>
            <wp:docPr descr="Сборка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</w:t>
      </w:r>
    </w:p>
    <w:p>
      <w:pPr>
        <w:pStyle w:val="BodyText"/>
      </w:pPr>
      <w:r>
        <w:t xml:space="preserve">Теперь соберем файл obj.o в main (рис. 2.9).</w:t>
      </w:r>
    </w:p>
    <w:p>
      <w:pPr>
        <w:pStyle w:val="CaptionedFigure"/>
      </w:pPr>
      <w:r>
        <w:drawing>
          <wp:inline>
            <wp:extent cx="5334000" cy="406791"/>
            <wp:effectExtent b="0" l="0" r="0" t="0"/>
            <wp:docPr descr="Сборка в main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в main</w:t>
      </w:r>
    </w:p>
    <w:p>
      <w:pPr>
        <w:pStyle w:val="BodyText"/>
      </w:pPr>
      <w:r>
        <w:t xml:space="preserve">Запустим файл (рис. 2.10).</w:t>
      </w:r>
    </w:p>
    <w:p>
      <w:pPr>
        <w:pStyle w:val="CaptionedFigure"/>
      </w:pPr>
      <w:r>
        <w:drawing>
          <wp:inline>
            <wp:extent cx="5334000" cy="386521"/>
            <wp:effectExtent b="0" l="0" r="0" t="0"/>
            <wp:docPr descr="Запуск hello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hello</w:t>
      </w:r>
    </w:p>
    <w:bookmarkEnd w:id="51"/>
    <w:bookmarkStart w:id="67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Скопируем файл hello.asm в рабочий каталог (рис. 3.1).</w:t>
      </w:r>
    </w:p>
    <w:p>
      <w:pPr>
        <w:pStyle w:val="CaptionedFigure"/>
      </w:pPr>
      <w:r>
        <w:drawing>
          <wp:inline>
            <wp:extent cx="5334000" cy="254933"/>
            <wp:effectExtent b="0" l="0" r="0" t="0"/>
            <wp:docPr descr="Копирование hello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hello.asm</w:t>
      </w:r>
    </w:p>
    <w:p>
      <w:pPr>
        <w:pStyle w:val="BodyText"/>
      </w:pPr>
      <w:r>
        <w:t xml:space="preserve">Внесем изменения в файл и спишем вместо Hello world! свое имя и фамилию (рис. 3.2 и 3.3).</w:t>
      </w:r>
    </w:p>
    <w:p>
      <w:pPr>
        <w:pStyle w:val="CaptionedFigure"/>
      </w:pPr>
      <w:r>
        <w:drawing>
          <wp:inline>
            <wp:extent cx="5334000" cy="251129"/>
            <wp:effectExtent b="0" l="0" r="0" t="0"/>
            <wp:docPr descr="Открытие файл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CaptionedFigure"/>
      </w:pPr>
      <w:r>
        <w:drawing>
          <wp:inline>
            <wp:extent cx="5334000" cy="1994018"/>
            <wp:effectExtent b="0" l="0" r="0" t="0"/>
            <wp:docPr descr="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Повторим действия также как и с hello.asm. Скомпилируем файл, соберем его в объектный и запустим (рис. 3.4).</w:t>
      </w:r>
    </w:p>
    <w:p>
      <w:pPr>
        <w:pStyle w:val="CaptionedFigure"/>
      </w:pPr>
      <w:r>
        <w:drawing>
          <wp:inline>
            <wp:extent cx="5334000" cy="415933"/>
            <wp:effectExtent b="0" l="0" r="0" t="0"/>
            <wp:docPr descr="Работа с lab4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lab4.asm</w:t>
      </w:r>
    </w:p>
    <w:p>
      <w:pPr>
        <w:pStyle w:val="BodyText"/>
      </w:pPr>
      <w:r>
        <w:t xml:space="preserve">Не забудем отправить все на Github (рис. 3.5).</w:t>
      </w:r>
    </w:p>
    <w:p>
      <w:pPr>
        <w:pStyle w:val="CaptionedFigure"/>
      </w:pPr>
      <w:r>
        <w:drawing>
          <wp:inline>
            <wp:extent cx="5334000" cy="1806222"/>
            <wp:effectExtent b="0" l="0" r="0" t="0"/>
            <wp:docPr descr="Отправка файлов на Github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Github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появилось понимание того, как нужно создавать исполняемый файл на языке ассемблера.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процесс обработки на языке ассемблера NASM</dc:title>
  <dc:creator>Приходько Иван Иванович</dc:creator>
  <dc:language>ru-RU</dc:language>
  <cp:keywords/>
  <dcterms:created xsi:type="dcterms:W3CDTF">2024-11-04T13:01:56Z</dcterms:created>
  <dcterms:modified xsi:type="dcterms:W3CDTF">2024-11-04T13:01:56Z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