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21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27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30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MC</w:t>
      </w:r>
      <w:r>
        <w:t xml:space="preserve"> </w:t>
      </w:r>
      <w:r>
        <w:t xml:space="preserve">(Midnight</w:t>
      </w:r>
      <w:r>
        <w:t xml:space="preserve"> </w:t>
      </w:r>
      <w:r>
        <w:t xml:space="preserve">Commnader),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NASM,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OC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Приходько</w:t>
      </w:r>
      <w:r>
        <w:t xml:space="preserve"> </w:t>
      </w:r>
      <w:r>
        <w:t xml:space="preserve">Иван</w:t>
      </w:r>
      <w:r>
        <w:t xml:space="preserve"> </w:t>
      </w:r>
      <w:r>
        <w:t xml:space="preserve">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программой Midnight commander и освоить написание программ на языке ассемблера с помощью инструкций mov и int</w:t>
      </w:r>
    </w:p>
    <w:bookmarkEnd w:id="2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запустим Midnight Commander (рис. 2.1).</w:t>
      </w:r>
    </w:p>
    <w:p>
      <w:pPr>
        <w:pStyle w:val="CaptionedFigure"/>
      </w:pPr>
      <w:r>
        <w:drawing>
          <wp:inline>
            <wp:extent cx="2781701" cy="259882"/>
            <wp:effectExtent b="0" l="0" r="0" t="0"/>
            <wp:docPr descr="Запуск Midnight Commander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01" cy="25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Midnight Commander</w:t>
      </w:r>
    </w:p>
    <w:p>
      <w:pPr>
        <w:pStyle w:val="BodyText"/>
      </w:pPr>
      <w:r>
        <w:t xml:space="preserve">Мы увидим такой интерфейс (рис. 2.2).</w:t>
      </w:r>
    </w:p>
    <w:p>
      <w:pPr>
        <w:pStyle w:val="CaptionedFigure"/>
      </w:pPr>
      <w:r>
        <w:drawing>
          <wp:inline>
            <wp:extent cx="5334000" cy="2946853"/>
            <wp:effectExtent b="0" l="0" r="0" t="0"/>
            <wp:docPr descr="Интерфейс Midnight Commander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6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Интерфейс Midnight Commander</w:t>
      </w:r>
    </w:p>
    <w:p>
      <w:pPr>
        <w:pStyle w:val="BodyText"/>
      </w:pPr>
      <w:r>
        <w:t xml:space="preserve">Перейдем в каталог arch-pc (рис. 2.3).</w:t>
      </w:r>
    </w:p>
    <w:p>
      <w:pPr>
        <w:pStyle w:val="CaptionedFigure"/>
      </w:pPr>
      <w:r>
        <w:drawing>
          <wp:inline>
            <wp:extent cx="5334000" cy="2743442"/>
            <wp:effectExtent b="0" l="0" r="0" t="0"/>
            <wp:docPr descr="Переход в каталог arch-pc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arch-pc</w:t>
      </w:r>
    </w:p>
    <w:p>
      <w:pPr>
        <w:pStyle w:val="BodyText"/>
      </w:pPr>
      <w:r>
        <w:t xml:space="preserve">Создадим с помощью touch файл lab5-1.asm (рис. 2.4).</w:t>
      </w:r>
    </w:p>
    <w:p>
      <w:pPr>
        <w:pStyle w:val="CaptionedFigure"/>
      </w:pPr>
      <w:r>
        <w:drawing>
          <wp:inline>
            <wp:extent cx="5334000" cy="815144"/>
            <wp:effectExtent b="0" l="0" r="0" t="0"/>
            <wp:docPr descr="Создание файла lab5-1.asm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5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lab5-1.asm</w:t>
      </w:r>
    </w:p>
    <w:p>
      <w:pPr>
        <w:pStyle w:val="BodyText"/>
      </w:pPr>
      <w:r>
        <w:t xml:space="preserve">Вставим в него следующий код (рис. 2.5).</w:t>
      </w:r>
    </w:p>
    <w:p>
      <w:pPr>
        <w:pStyle w:val="CaptionedFigure"/>
      </w:pPr>
      <w:r>
        <w:drawing>
          <wp:inline>
            <wp:extent cx="5334000" cy="4119979"/>
            <wp:effectExtent b="0" l="0" r="0" t="0"/>
            <wp:docPr descr="Редактирование файла lab5-1.asm" title="" id="34" name="Picture"/>
            <a:graphic>
              <a:graphicData uri="http://schemas.openxmlformats.org/drawingml/2006/picture">
                <pic:pic>
                  <pic:nvPicPr>
                    <pic:cNvPr descr="image/0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9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lab5-1.asm</w:t>
      </w:r>
    </w:p>
    <w:p>
      <w:pPr>
        <w:pStyle w:val="BodyText"/>
      </w:pPr>
      <w:r>
        <w:t xml:space="preserve">Теперь скомпилируем и соберем его (рис. 2.6 и 2.7).</w:t>
      </w:r>
    </w:p>
    <w:p>
      <w:pPr>
        <w:pStyle w:val="CaptionedFigure"/>
      </w:pPr>
      <w:r>
        <w:drawing>
          <wp:inline>
            <wp:extent cx="5334000" cy="235527"/>
            <wp:effectExtent b="0" l="0" r="0" t="0"/>
            <wp:docPr descr="Компиляция lab5-1.asm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lab5-1.asm</w:t>
      </w:r>
    </w:p>
    <w:p>
      <w:pPr>
        <w:pStyle w:val="CaptionedFigure"/>
      </w:pPr>
      <w:r>
        <w:drawing>
          <wp:inline>
            <wp:extent cx="5334000" cy="270565"/>
            <wp:effectExtent b="0" l="0" r="0" t="0"/>
            <wp:docPr descr="Сборка lab5-1.asm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lab5-1.asm</w:t>
      </w:r>
    </w:p>
    <w:p>
      <w:pPr>
        <w:pStyle w:val="BodyText"/>
      </w:pPr>
      <w:r>
        <w:t xml:space="preserve">Запустим его (рис. 2.8 и 2.9).</w:t>
      </w:r>
    </w:p>
    <w:p>
      <w:pPr>
        <w:pStyle w:val="CaptionedFigure"/>
      </w:pPr>
      <w:r>
        <w:drawing>
          <wp:inline>
            <wp:extent cx="5334000" cy="290178"/>
            <wp:effectExtent b="0" l="0" r="0" t="0"/>
            <wp:docPr descr="Запуск lab5-1.asm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lab5-1.asm</w:t>
      </w:r>
    </w:p>
    <w:p>
      <w:pPr>
        <w:pStyle w:val="CaptionedFigure"/>
      </w:pPr>
      <w:r>
        <w:drawing>
          <wp:inline>
            <wp:extent cx="2829827" cy="693018"/>
            <wp:effectExtent b="0" l="0" r="0" t="0"/>
            <wp:docPr descr="Результат lab5-1.asm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827" cy="69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lab5-1.asm</w:t>
      </w:r>
    </w:p>
    <w:p>
      <w:pPr>
        <w:pStyle w:val="BodyText"/>
      </w:pPr>
      <w:r>
        <w:t xml:space="preserve">Теперь скачаем файл in_out.asm и откроем папку с ним в правой панели (рис. 2.10).</w:t>
      </w:r>
    </w:p>
    <w:p>
      <w:pPr>
        <w:pStyle w:val="CaptionedFigure"/>
      </w:pPr>
      <w:r>
        <w:drawing>
          <wp:inline>
            <wp:extent cx="5334000" cy="644525"/>
            <wp:effectExtent b="0" l="0" r="0" t="0"/>
            <wp:docPr descr="Открытие папки с файлом in_out.asm в правой панели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папки с файлом in_out.asm в правой панели</w:t>
      </w:r>
    </w:p>
    <w:p>
      <w:pPr>
        <w:pStyle w:val="BodyText"/>
      </w:pPr>
      <w:r>
        <w:t xml:space="preserve">Скопируем его в рабочую область (рис. 2.11).</w:t>
      </w:r>
    </w:p>
    <w:p>
      <w:pPr>
        <w:pStyle w:val="CaptionedFigure"/>
      </w:pPr>
      <w:r>
        <w:drawing>
          <wp:inline>
            <wp:extent cx="5334000" cy="2129209"/>
            <wp:effectExtent b="0" l="0" r="0" t="0"/>
            <wp:docPr descr="Копирование файла in_out.asm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9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</w:t>
      </w:r>
    </w:p>
    <w:p>
      <w:pPr>
        <w:pStyle w:val="BodyText"/>
      </w:pPr>
      <w:r>
        <w:t xml:space="preserve">Теперь сделаем копию файла lab5-1.asm и назовём копию lab5-2.asm (рис. 2.12).</w:t>
      </w:r>
    </w:p>
    <w:p>
      <w:pPr>
        <w:pStyle w:val="CaptionedFigure"/>
      </w:pPr>
      <w:r>
        <w:drawing>
          <wp:inline>
            <wp:extent cx="5334000" cy="2123314"/>
            <wp:effectExtent b="0" l="0" r="0" t="0"/>
            <wp:docPr descr="Создание копии lab5-1.asm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3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lab5-1.asm</w:t>
      </w:r>
    </w:p>
    <w:p>
      <w:pPr>
        <w:pStyle w:val="BodyText"/>
      </w:pPr>
      <w:r>
        <w:t xml:space="preserve">Теперь наша папка выглядит так (рис. 2.13).</w:t>
      </w:r>
    </w:p>
    <w:p>
      <w:pPr>
        <w:pStyle w:val="CaptionedFigure"/>
      </w:pPr>
      <w:r>
        <w:drawing>
          <wp:inline>
            <wp:extent cx="2117557" cy="1867301"/>
            <wp:effectExtent b="0" l="0" r="0" t="0"/>
            <wp:docPr descr="Вид рабочей папку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557" cy="18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рабочей папку</w:t>
      </w:r>
    </w:p>
    <w:p>
      <w:pPr>
        <w:pStyle w:val="BodyText"/>
      </w:pPr>
      <w:r>
        <w:t xml:space="preserve">Напишем в файл lab5-2.asm следующий код(рис. 2.14).</w:t>
      </w:r>
    </w:p>
    <w:p>
      <w:pPr>
        <w:pStyle w:val="CaptionedFigure"/>
      </w:pPr>
      <w:r>
        <w:drawing>
          <wp:inline>
            <wp:extent cx="5334000" cy="3088412"/>
            <wp:effectExtent b="0" l="0" r="0" t="0"/>
            <wp:docPr descr="Редактирование файла lab5-2.asm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8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lab5-2.asm</w:t>
      </w:r>
    </w:p>
    <w:p>
      <w:pPr>
        <w:pStyle w:val="BodyText"/>
      </w:pPr>
      <w:r>
        <w:t xml:space="preserve">Теперь скомпилируем, соберем и запустим его (рис. 2.15).</w:t>
      </w:r>
    </w:p>
    <w:p>
      <w:pPr>
        <w:pStyle w:val="CaptionedFigure"/>
      </w:pPr>
      <w:r>
        <w:drawing>
          <wp:inline>
            <wp:extent cx="5334000" cy="495774"/>
            <wp:effectExtent b="0" l="0" r="0" t="0"/>
            <wp:docPr descr="Компиляция и сборка lab5-2.asm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сборка lab5-2.asm</w:t>
      </w:r>
    </w:p>
    <w:p>
      <w:pPr>
        <w:pStyle w:val="CaptionedFigure"/>
      </w:pPr>
      <w:r>
        <w:drawing>
          <wp:inline>
            <wp:extent cx="2261936" cy="471637"/>
            <wp:effectExtent b="0" l="0" r="0" t="0"/>
            <wp:docPr descr="Запуск lab5-2.asm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936" cy="471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lab5-2.asm</w:t>
      </w:r>
    </w:p>
    <w:p>
      <w:pPr>
        <w:pStyle w:val="BodyText"/>
      </w:pPr>
      <w:r>
        <w:t xml:space="preserve">Попробуем теперь вместо команды sprintLF использовать просто команду sprint (рис. 2.17).</w:t>
      </w:r>
    </w:p>
    <w:p>
      <w:pPr>
        <w:pStyle w:val="CaptionedFigure"/>
      </w:pPr>
      <w:r>
        <w:drawing>
          <wp:inline>
            <wp:extent cx="5334000" cy="3408814"/>
            <wp:effectExtent b="0" l="0" r="0" t="0"/>
            <wp:docPr descr="Изменение файла lab5-2.asm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8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lab5-2.asm</w:t>
      </w:r>
    </w:p>
    <w:p>
      <w:pPr>
        <w:pStyle w:val="BodyText"/>
      </w:pPr>
      <w:r>
        <w:t xml:space="preserve">Теперь запустим его (рис. 2.18).</w:t>
      </w:r>
    </w:p>
    <w:p>
      <w:pPr>
        <w:pStyle w:val="CaptionedFigure"/>
      </w:pPr>
      <w:r>
        <w:drawing>
          <wp:inline>
            <wp:extent cx="5334000" cy="530052"/>
            <wp:effectExtent b="0" l="0" r="0" t="0"/>
            <wp:docPr descr="Повторный запуск lab5-2.asm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Повторный запуск lab5-2.asm</w:t>
      </w:r>
    </w:p>
    <w:bookmarkEnd w:id="75"/>
    <w:bookmarkStart w:id="94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Создадим копию файла lab5-1.asm (рис. 3.1).</w:t>
      </w:r>
    </w:p>
    <w:p>
      <w:pPr>
        <w:pStyle w:val="CaptionedFigure"/>
      </w:pPr>
      <w:r>
        <w:drawing>
          <wp:inline>
            <wp:extent cx="5334000" cy="2123314"/>
            <wp:effectExtent b="0" l="0" r="0" t="0"/>
            <wp:docPr descr="Создание копии файла lab5-1.asm" title="" id="77" name="Picture"/>
            <a:graphic>
              <a:graphicData uri="http://schemas.openxmlformats.org/drawingml/2006/picture">
                <pic:pic>
                  <pic:nvPicPr>
                    <pic:cNvPr descr="image/3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3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lab5-1.asm</w:t>
      </w:r>
    </w:p>
    <w:p>
      <w:pPr>
        <w:pStyle w:val="BodyText"/>
      </w:pPr>
      <w:r>
        <w:t xml:space="preserve">Изменим копию так, чтобы она выводила тот текст, который получила на ввод (рис. 3.2).</w:t>
      </w:r>
    </w:p>
    <w:p>
      <w:pPr>
        <w:pStyle w:val="CaptionedFigure"/>
      </w:pPr>
      <w:r>
        <w:drawing>
          <wp:inline>
            <wp:extent cx="5334000" cy="5288083"/>
            <wp:effectExtent b="0" l="0" r="0" t="0"/>
            <wp:docPr descr="Изменение файла lab5-1-1.asm" title="" id="80" name="Picture"/>
            <a:graphic>
              <a:graphicData uri="http://schemas.openxmlformats.org/drawingml/2006/picture">
                <pic:pic>
                  <pic:nvPicPr>
                    <pic:cNvPr descr="image/3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8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lab5-1-1.asm</w:t>
      </w:r>
    </w:p>
    <w:p>
      <w:pPr>
        <w:pStyle w:val="BodyText"/>
      </w:pPr>
      <w:r>
        <w:t xml:space="preserve">Теперь создадим исполняем файл и и запустим его (рис. 3.3).</w:t>
      </w:r>
    </w:p>
    <w:p>
      <w:pPr>
        <w:pStyle w:val="CaptionedFigure"/>
      </w:pPr>
      <w:r>
        <w:drawing>
          <wp:inline>
            <wp:extent cx="5334000" cy="574562"/>
            <wp:effectExtent b="0" l="0" r="0" t="0"/>
            <wp:docPr descr="Создание и запуск lab5-1-1.asm" title="" id="83" name="Picture"/>
            <a:graphic>
              <a:graphicData uri="http://schemas.openxmlformats.org/drawingml/2006/picture">
                <pic:pic>
                  <pic:nvPicPr>
                    <pic:cNvPr descr="image/3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lab5-1-1.asm</w:t>
      </w:r>
    </w:p>
    <w:p>
      <w:pPr>
        <w:pStyle w:val="BodyText"/>
      </w:pPr>
      <w:r>
        <w:t xml:space="preserve">Создадим копию файла lab5-2.asm (рис. 3.4).</w:t>
      </w:r>
    </w:p>
    <w:p>
      <w:pPr>
        <w:pStyle w:val="CaptionedFigure"/>
      </w:pPr>
      <w:r>
        <w:drawing>
          <wp:inline>
            <wp:extent cx="5334000" cy="2080846"/>
            <wp:effectExtent b="0" l="0" r="0" t="0"/>
            <wp:docPr descr="Создание копии файла lab5-2.asm" title="" id="86" name="Picture"/>
            <a:graphic>
              <a:graphicData uri="http://schemas.openxmlformats.org/drawingml/2006/picture">
                <pic:pic>
                  <pic:nvPicPr>
                    <pic:cNvPr descr="image/3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0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lab5-2.asm</w:t>
      </w:r>
    </w:p>
    <w:p>
      <w:pPr>
        <w:pStyle w:val="BodyText"/>
      </w:pPr>
      <w:r>
        <w:t xml:space="preserve">Теперь сделаем так, чтобы этот код также выводил тот текст, что получит на ввод. Для этого перед последней строкой добавим строчку, которая записывает в eax адрес buf1, а также строчку, которая вызывает подпрограмму sprintLF (рис. 3.5).</w:t>
      </w:r>
    </w:p>
    <w:p>
      <w:pPr>
        <w:pStyle w:val="CaptionedFigure"/>
      </w:pPr>
      <w:r>
        <w:drawing>
          <wp:inline>
            <wp:extent cx="5334000" cy="3399117"/>
            <wp:effectExtent b="0" l="0" r="0" t="0"/>
            <wp:docPr descr="Изменение файла lab5-2-1.asm" title="" id="89" name="Picture"/>
            <a:graphic>
              <a:graphicData uri="http://schemas.openxmlformats.org/drawingml/2006/picture">
                <pic:pic>
                  <pic:nvPicPr>
                    <pic:cNvPr descr="image/35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9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lab5-2-1.asm</w:t>
      </w:r>
    </w:p>
    <w:p>
      <w:pPr>
        <w:pStyle w:val="BodyText"/>
      </w:pPr>
      <w:r>
        <w:t xml:space="preserve">Теперь запустим программу и убедимся, что она работает (рис. 3.6).</w:t>
      </w:r>
    </w:p>
    <w:p>
      <w:pPr>
        <w:pStyle w:val="CaptionedFigure"/>
      </w:pPr>
      <w:r>
        <w:drawing>
          <wp:inline>
            <wp:extent cx="5334000" cy="714822"/>
            <wp:effectExtent b="0" l="0" r="0" t="0"/>
            <wp:docPr descr="Запуск lab5-2-1.asm" title="" id="92" name="Picture"/>
            <a:graphic>
              <a:graphicData uri="http://schemas.openxmlformats.org/drawingml/2006/picture">
                <pic:pic>
                  <pic:nvPicPr>
                    <pic:cNvPr descr="image/3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lab5-2-1.asm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получены навыки работы с Midnight commander, а также навыки написания простых программ ввода-вывода на языке ассемблера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30" Target="media/rId30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Приходько Иван Иванович</dc:creator>
  <dc:language>ru-RU</dc:language>
  <cp:keywords/>
  <dcterms:created xsi:type="dcterms:W3CDTF">2024-11-09T17:34:50Z</dcterms:created>
  <dcterms:modified xsi:type="dcterms:W3CDTF">2024-11-09T17:34:50Z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работы с MC (Midnight Commnader), структура программы на языке ассемблера NASM, системные вызовы в OC GNU Linux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