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процессами операционной системы.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Научится работать с процессами операционной системы.</w:t>
      </w:r>
    </w:p>
    <w:bookmarkEnd w:id="21"/>
    <w:bookmarkStart w:id="4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запустим пару процессов и поработаем с их id (рис. [3.1]).</w:t>
      </w:r>
    </w:p>
    <w:p>
      <w:pPr>
        <w:pStyle w:val="CaptionedFigure"/>
      </w:pPr>
      <w:r>
        <w:drawing>
          <wp:inline>
            <wp:extent cx="3733800" cy="3614933"/>
            <wp:effectExtent b="0" l="0" r="0" t="0"/>
            <wp:docPr descr="Работа с процессами" title="" id="23" name="Picture"/>
            <a:graphic>
              <a:graphicData uri="http://schemas.openxmlformats.org/drawingml/2006/picture">
                <pic:pic>
                  <pic:nvPicPr>
                    <pic:cNvPr descr="image/6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14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Работа с процессами</w:t>
      </w:r>
    </w:p>
    <w:p>
      <w:pPr>
        <w:pStyle w:val="BodyText"/>
      </w:pPr>
      <w:r>
        <w:t xml:space="preserve">Выведем список всех процессов (рис. [3.2]).</w:t>
      </w:r>
    </w:p>
    <w:p>
      <w:pPr>
        <w:pStyle w:val="CaptionedFigure"/>
      </w:pPr>
      <w:r>
        <w:drawing>
          <wp:inline>
            <wp:extent cx="3733800" cy="1391023"/>
            <wp:effectExtent b="0" l="0" r="0" t="0"/>
            <wp:docPr descr="Список всех процессов" title="" id="26" name="Picture"/>
            <a:graphic>
              <a:graphicData uri="http://schemas.openxmlformats.org/drawingml/2006/picture">
                <pic:pic>
                  <pic:nvPicPr>
                    <pic:cNvPr descr="image/6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1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Список всех процессов</w:t>
      </w:r>
    </w:p>
    <w:p>
      <w:pPr>
        <w:pStyle w:val="BodyText"/>
      </w:pPr>
      <w:r>
        <w:t xml:space="preserve">Запустим еще несколько процессов и посмотрим их подробную информацию (рис. [3.3]).</w:t>
      </w:r>
    </w:p>
    <w:p>
      <w:pPr>
        <w:pStyle w:val="CaptionedFigure"/>
      </w:pPr>
      <w:r>
        <w:drawing>
          <wp:inline>
            <wp:extent cx="3733800" cy="1936664"/>
            <wp:effectExtent b="0" l="0" r="0" t="0"/>
            <wp:docPr descr="Подробная информация о процессах" title="" id="29" name="Picture"/>
            <a:graphic>
              <a:graphicData uri="http://schemas.openxmlformats.org/drawingml/2006/picture">
                <pic:pic>
                  <pic:nvPicPr>
                    <pic:cNvPr descr="image/6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6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Подробная информация о процессах</w:t>
      </w:r>
    </w:p>
    <w:p>
      <w:pPr>
        <w:pStyle w:val="BodyText"/>
      </w:pPr>
      <w:r>
        <w:t xml:space="preserve">Попробуем поменять приоритеты (рис. [3.4]).</w:t>
      </w:r>
    </w:p>
    <w:p>
      <w:pPr>
        <w:pStyle w:val="CaptionedFigure"/>
      </w:pPr>
      <w:r>
        <w:drawing>
          <wp:inline>
            <wp:extent cx="3733800" cy="1688425"/>
            <wp:effectExtent b="0" l="0" r="0" t="0"/>
            <wp:docPr descr="Изменение приоритетов" title="" id="32" name="Picture"/>
            <a:graphic>
              <a:graphicData uri="http://schemas.openxmlformats.org/drawingml/2006/picture">
                <pic:pic>
                  <pic:nvPicPr>
                    <pic:cNvPr descr="image/6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8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Изменение приоритетов</w:t>
      </w:r>
    </w:p>
    <w:p>
      <w:pPr>
        <w:pStyle w:val="BodyText"/>
      </w:pPr>
      <w:r>
        <w:t xml:space="preserve">Выведем дерево всех процессов (рис. [3.5]).</w:t>
      </w:r>
    </w:p>
    <w:p>
      <w:pPr>
        <w:pStyle w:val="CaptionedFigure"/>
      </w:pPr>
      <w:r>
        <w:drawing>
          <wp:inline>
            <wp:extent cx="3733800" cy="3451364"/>
            <wp:effectExtent b="0" l="0" r="0" t="0"/>
            <wp:docPr descr="Дерево процессов" title="" id="35" name="Picture"/>
            <a:graphic>
              <a:graphicData uri="http://schemas.openxmlformats.org/drawingml/2006/picture">
                <pic:pic>
                  <pic:nvPicPr>
                    <pic:cNvPr descr="image/60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1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Дерево процессов</w:t>
      </w:r>
    </w:p>
    <w:p>
      <w:pPr>
        <w:pStyle w:val="BodyText"/>
      </w:pPr>
      <w:r>
        <w:t xml:space="preserve">Теперь поставим приоритеты -5 и -15 для разных задач (рис. [3.6]).</w:t>
      </w:r>
    </w:p>
    <w:p>
      <w:pPr>
        <w:pStyle w:val="CaptionedFigure"/>
      </w:pPr>
      <w:r>
        <w:drawing>
          <wp:inline>
            <wp:extent cx="3733800" cy="3220332"/>
            <wp:effectExtent b="0" l="0" r="0" t="0"/>
            <wp:docPr descr="Приоритеты" title="" id="38" name="Picture"/>
            <a:graphic>
              <a:graphicData uri="http://schemas.openxmlformats.org/drawingml/2006/picture">
                <pic:pic>
                  <pic:nvPicPr>
                    <pic:cNvPr descr="image/60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0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Приоритеты</w:t>
      </w:r>
    </w:p>
    <w:p>
      <w:pPr>
        <w:pStyle w:val="BodyText"/>
      </w:pPr>
      <w:r>
        <w:t xml:space="preserve">Остановим все процессы что запустили (рис. [3.7]).</w:t>
      </w:r>
    </w:p>
    <w:p>
      <w:pPr>
        <w:pStyle w:val="CaptionedFigure"/>
      </w:pPr>
      <w:r>
        <w:drawing>
          <wp:inline>
            <wp:extent cx="3733800" cy="3788109"/>
            <wp:effectExtent b="0" l="0" r="0" t="0"/>
            <wp:docPr descr="Остановка процессов" title="" id="41" name="Picture"/>
            <a:graphic>
              <a:graphicData uri="http://schemas.openxmlformats.org/drawingml/2006/picture">
                <pic:pic>
                  <pic:nvPicPr>
                    <pic:cNvPr descr="image/610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8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Остановка процессов</w:t>
      </w:r>
    </w:p>
    <w:bookmarkEnd w:id="43"/>
    <w:bookmarkStart w:id="4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были получены знания для работы с процессами</w:t>
      </w:r>
    </w:p>
    <w:bookmarkEnd w:id="44"/>
    <w:bookmarkStart w:id="45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jobs</w:t>
      </w:r>
    </w:p>
    <w:p>
      <w:pPr>
        <w:numPr>
          <w:ilvl w:val="0"/>
          <w:numId w:val="1001"/>
        </w:numPr>
      </w:pPr>
      <w:r>
        <w:t xml:space="preserve">kill %</w:t>
      </w:r>
    </w:p>
    <w:p>
      <w:pPr>
        <w:numPr>
          <w:ilvl w:val="0"/>
          <w:numId w:val="1001"/>
        </w:numPr>
      </w:pPr>
      <w:r>
        <w:t xml:space="preserve">Ctrl + Z</w:t>
      </w:r>
    </w:p>
    <w:p>
      <w:pPr>
        <w:numPr>
          <w:ilvl w:val="0"/>
          <w:numId w:val="1001"/>
        </w:numPr>
      </w:pPr>
      <w:r>
        <w:t xml:space="preserve">Использовать kill по PID, если есть доступ к нему, или через системные средства удалённого управления.</w:t>
      </w:r>
    </w:p>
    <w:p>
      <w:pPr>
        <w:numPr>
          <w:ilvl w:val="0"/>
          <w:numId w:val="1001"/>
        </w:numPr>
      </w:pPr>
      <w:r>
        <w:t xml:space="preserve">pstree</w:t>
      </w:r>
    </w:p>
    <w:p>
      <w:pPr>
        <w:numPr>
          <w:ilvl w:val="0"/>
          <w:numId w:val="1001"/>
        </w:numPr>
      </w:pPr>
      <w:r>
        <w:t xml:space="preserve">renice -n -</w:t>
      </w:r>
      <w:r>
        <w:t xml:space="preserve"> </w:t>
      </w:r>
      <w:r>
        <w:t xml:space="preserve">-p 1234</w:t>
      </w:r>
    </w:p>
    <w:p>
      <w:pPr>
        <w:numPr>
          <w:ilvl w:val="0"/>
          <w:numId w:val="1001"/>
        </w:numPr>
      </w:pPr>
      <w:r>
        <w:t xml:space="preserve">pkill dd или killall dd</w:t>
      </w:r>
    </w:p>
    <w:p>
      <w:pPr>
        <w:numPr>
          <w:ilvl w:val="0"/>
          <w:numId w:val="1001"/>
        </w:numPr>
      </w:pPr>
      <w:r>
        <w:t xml:space="preserve">pkill mycommand или killall mycommand</w:t>
      </w:r>
    </w:p>
    <w:p>
      <w:pPr>
        <w:numPr>
          <w:ilvl w:val="0"/>
          <w:numId w:val="1001"/>
        </w:numPr>
      </w:pPr>
      <w:r>
        <w:t xml:space="preserve">В top — нажать k, ввести PID, затем указать приоритет.</w:t>
      </w:r>
    </w:p>
    <w:p>
      <w:pPr>
        <w:numPr>
          <w:ilvl w:val="0"/>
          <w:numId w:val="1001"/>
        </w:numPr>
      </w:pPr>
      <w:r>
        <w:t xml:space="preserve">nice -n</w:t>
      </w:r>
      <w:r>
        <w:t xml:space="preserve"> </w:t>
      </w:r>
      <w:r>
        <w:t xml:space="preserve"> </w:t>
      </w:r>
      <w:r>
        <w:t xml:space="preserve"> </w:t>
      </w:r>
      <w:r>
        <w:t xml:space="preserve">с высоким приоритетом (например,</w:t>
      </w:r>
      <w:r>
        <w:t xml:space="preserve"> </w:t>
      </w:r>
      <w:r>
        <w:rPr>
          <w:rStyle w:val="VerbatimChar"/>
        </w:rPr>
        <w:t xml:space="preserve">nice -n -10 команда</w:t>
      </w:r>
      <w:r>
        <w:t xml:space="preserve">).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Приходько Иван Иванович</dc:creator>
  <dc:language>ru-RU</dc:language>
  <cp:keywords/>
  <dcterms:created xsi:type="dcterms:W3CDTF">2025-11-27T17:41:29Z</dcterms:created>
  <dcterms:modified xsi:type="dcterms:W3CDTF">2025-11-27T17:41:29Z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№6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