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5.png" ContentType="image/png"/>
  <Override PartName="/word/media/rId28.png" ContentType="image/png"/>
  <Override PartName="/word/media/rId3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</w:p>
    <w:p>
      <w:pPr>
        <w:pStyle w:val="Subtitle"/>
      </w:pPr>
      <w:r>
        <w:t xml:space="preserve">Лабораторная</w:t>
      </w:r>
      <w:r>
        <w:t xml:space="preserve"> </w:t>
      </w:r>
      <w:r>
        <w:t xml:space="preserve">работа</w:t>
      </w:r>
      <w:r>
        <w:t xml:space="preserve"> </w:t>
      </w:r>
      <w:r>
        <w:t xml:space="preserve">№8</w:t>
      </w:r>
    </w:p>
    <w:p>
      <w:pPr>
        <w:pStyle w:val="Author"/>
      </w:pPr>
      <w:r>
        <w:t xml:space="preserve">Приходько</w:t>
      </w:r>
      <w:r>
        <w:t xml:space="preserve"> </w:t>
      </w:r>
      <w:r>
        <w:t xml:space="preserve">Иван</w:t>
      </w:r>
      <w:r>
        <w:t xml:space="preserve"> </w:t>
      </w:r>
      <w:r>
        <w:t xml:space="preserve">Иванович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Получение навыков работы с планировщиками событий cron и at.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pStyle w:val="FirstParagraph"/>
      </w:pPr>
      <w:r>
        <w:t xml:space="preserve">Поработать с планировщиком событий cron и at.</w:t>
      </w:r>
    </w:p>
    <w:bookmarkEnd w:id="21"/>
    <w:bookmarkStart w:id="34" w:name="выполнение-лабораторной-работ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Выполнение лабораторной работы</w:t>
      </w:r>
    </w:p>
    <w:p>
      <w:pPr>
        <w:pStyle w:val="FirstParagraph"/>
      </w:pPr>
      <w:r>
        <w:t xml:space="preserve">Для начала выведем статус cron (рис. [3.1]).</w:t>
      </w:r>
    </w:p>
    <w:p>
      <w:pPr>
        <w:pStyle w:val="CaptionedFigure"/>
      </w:pPr>
      <w:r>
        <w:drawing>
          <wp:inline>
            <wp:extent cx="3733800" cy="1762081"/>
            <wp:effectExtent b="0" l="0" r="0" t="0"/>
            <wp:docPr descr="Вывод статуса cron" title="" id="23" name="Picture"/>
            <a:graphic>
              <a:graphicData uri="http://schemas.openxmlformats.org/drawingml/2006/picture">
                <pic:pic>
                  <pic:nvPicPr>
                    <pic:cNvPr descr="image/80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620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Вывод статуса cron</w:t>
      </w:r>
    </w:p>
    <w:p>
      <w:pPr>
        <w:pStyle w:val="BodyText"/>
      </w:pPr>
      <w:r>
        <w:t xml:space="preserve">Добавим сообщение в корневой файл (рис. [3.2]).</w:t>
      </w:r>
    </w:p>
    <w:p>
      <w:pPr>
        <w:pStyle w:val="CaptionedFigure"/>
      </w:pPr>
      <w:r>
        <w:drawing>
          <wp:inline>
            <wp:extent cx="3733800" cy="804841"/>
            <wp:effectExtent b="0" l="0" r="0" t="0"/>
            <wp:docPr descr="Добавление сообщения в корневой файл" title="" id="26" name="Picture"/>
            <a:graphic>
              <a:graphicData uri="http://schemas.openxmlformats.org/drawingml/2006/picture">
                <pic:pic>
                  <pic:nvPicPr>
                    <pic:cNvPr descr="image/8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8048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Добавление сообщения в корневой файл</w:t>
      </w:r>
    </w:p>
    <w:p>
      <w:pPr>
        <w:pStyle w:val="BodyText"/>
      </w:pPr>
      <w:r>
        <w:t xml:space="preserve">Теперь посмотрим список расписаний и выведем наши сообщения (рис. [3.3]).</w:t>
      </w:r>
    </w:p>
    <w:p>
      <w:pPr>
        <w:pStyle w:val="CaptionedFigure"/>
      </w:pPr>
      <w:r>
        <w:drawing>
          <wp:inline>
            <wp:extent cx="3733800" cy="2879003"/>
            <wp:effectExtent b="0" l="0" r="0" t="0"/>
            <wp:docPr descr="Список расписаний" title="" id="29" name="Picture"/>
            <a:graphic>
              <a:graphicData uri="http://schemas.openxmlformats.org/drawingml/2006/picture">
                <pic:pic>
                  <pic:nvPicPr>
                    <pic:cNvPr descr="image/803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790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Список расписаний</w:t>
      </w:r>
    </w:p>
    <w:p>
      <w:pPr>
        <w:pStyle w:val="BodyText"/>
      </w:pPr>
      <w:r>
        <w:t xml:space="preserve">Создадим расписание на каждый час (рис. [3.4]).</w:t>
      </w:r>
    </w:p>
    <w:p>
      <w:pPr>
        <w:pStyle w:val="CaptionedFigure"/>
      </w:pPr>
      <w:r>
        <w:drawing>
          <wp:inline>
            <wp:extent cx="3733800" cy="2535296"/>
            <wp:effectExtent b="0" l="0" r="0" t="0"/>
            <wp:docPr descr="Создание расписания на каждый час" title="" id="32" name="Picture"/>
            <a:graphic>
              <a:graphicData uri="http://schemas.openxmlformats.org/drawingml/2006/picture">
                <pic:pic>
                  <pic:nvPicPr>
                    <pic:cNvPr descr="image/804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352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Создание расписания на каждый час</w:t>
      </w:r>
    </w:p>
    <w:bookmarkEnd w:id="34"/>
    <w:bookmarkStart w:id="35" w:name="вывод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В ходе данной лабораторной работы были получены навыки для работы с планировщиками событий cron и at.</w:t>
      </w:r>
    </w:p>
    <w:bookmarkEnd w:id="35"/>
    <w:bookmarkStart w:id="36" w:name="ответы-на-контрольные-вопросы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Ответы на контрольные вопросы</w:t>
      </w:r>
    </w:p>
    <w:p>
      <w:pPr>
        <w:numPr>
          <w:ilvl w:val="0"/>
          <w:numId w:val="1001"/>
        </w:numPr>
      </w:pPr>
      <w:r>
        <w:t xml:space="preserve">Ограничениями cron не предусмотрено выполнение раз в 2 недели</w:t>
      </w:r>
    </w:p>
    <w:p>
      <w:pPr>
        <w:numPr>
          <w:ilvl w:val="0"/>
          <w:numId w:val="1001"/>
        </w:numPr>
      </w:pPr>
      <w:r>
        <w:t xml:space="preserve">0 2 1,15 * * /команда</w:t>
      </w:r>
    </w:p>
    <w:p>
      <w:pPr>
        <w:numPr>
          <w:ilvl w:val="0"/>
          <w:numId w:val="1001"/>
        </w:numPr>
      </w:pPr>
      <w:r>
        <w:rPr>
          <w:i/>
          <w:iCs/>
        </w:rPr>
        <w:t xml:space="preserve">/2</w:t>
      </w:r>
      <w:r>
        <w:rPr>
          <w:i/>
          <w:iCs/>
        </w:rPr>
        <w:t xml:space="preserve"> </w:t>
      </w:r>
      <w:r>
        <w:t xml:space="preserve"> </w:t>
      </w:r>
      <w:r>
        <w:t xml:space="preserve">* * * /команда</w:t>
      </w:r>
    </w:p>
    <w:p>
      <w:pPr>
        <w:numPr>
          <w:ilvl w:val="0"/>
          <w:numId w:val="1001"/>
        </w:numPr>
      </w:pPr>
      <w:r>
        <w:t xml:space="preserve">0 0 19 9 * /команда</w:t>
      </w:r>
    </w:p>
    <w:p>
      <w:pPr>
        <w:numPr>
          <w:ilvl w:val="0"/>
          <w:numId w:val="1001"/>
        </w:numPr>
      </w:pPr>
      <w:r>
        <w:t xml:space="preserve">0 0 * 9 4 /команда</w:t>
      </w:r>
    </w:p>
    <w:p>
      <w:pPr>
        <w:numPr>
          <w:ilvl w:val="0"/>
          <w:numId w:val="1001"/>
        </w:numPr>
      </w:pPr>
      <w:r>
        <w:t xml:space="preserve">crontab -u alice -e — откроется редактор для редактирования заданий пользователя alice.</w:t>
      </w:r>
    </w:p>
    <w:p>
      <w:pPr>
        <w:numPr>
          <w:ilvl w:val="0"/>
          <w:numId w:val="1001"/>
        </w:numPr>
      </w:pPr>
      <w:r>
        <w:t xml:space="preserve">Добавить его в /etc/cron.deny или /etc/cron.allow — оставить файл /etc/cron.allow пуст или без этой учетной записи.</w:t>
      </w:r>
    </w:p>
    <w:p>
      <w:pPr>
        <w:numPr>
          <w:ilvl w:val="0"/>
          <w:numId w:val="1001"/>
        </w:numPr>
      </w:pPr>
      <w:r>
        <w:t xml:space="preserve">Использовать</w:t>
      </w:r>
      <w:r>
        <w:t xml:space="preserve"> </w:t>
      </w:r>
      <w:r>
        <w:t xml:space="preserve">[</w:t>
      </w:r>
      <w:r>
        <w:rPr>
          <w:b/>
          <w:bCs/>
        </w:rPr>
        <w:t xml:space="preserve">daily?</w:t>
      </w:r>
      <w:r>
        <w:t xml:space="preserve">]</w:t>
      </w:r>
      <w:r>
        <w:t xml:space="preserve"> </w:t>
      </w:r>
      <w:r>
        <w:t xml:space="preserve">в cron или настроить systemd-timer с опцией Persistent=true, чтобы запускать задачу с автоматической проверкой.</w:t>
      </w:r>
    </w:p>
    <w:p>
      <w:pPr>
        <w:numPr>
          <w:ilvl w:val="0"/>
          <w:numId w:val="1001"/>
        </w:numPr>
      </w:pPr>
      <w:r>
        <w:t xml:space="preserve">systemctl list-timers — показывает запланированные задачи таймеров.</w:t>
      </w:r>
    </w:p>
    <w:bookmarkEnd w:id="3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25" Target="media/rId25.png" /><Relationship Type="http://schemas.openxmlformats.org/officeDocument/2006/relationships/image" Id="rId28" Target="media/rId28.png" /><Relationship Type="http://schemas.openxmlformats.org/officeDocument/2006/relationships/image" Id="rId31" Target="media/rId3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о лабораторной работе</dc:title>
  <dc:creator>Приходько Иван Иванович</dc:creator>
  <dc:language>ru-RU</dc:language>
  <cp:keywords/>
  <dcterms:created xsi:type="dcterms:W3CDTF">2025-11-27T17:45:37Z</dcterms:created>
  <dcterms:modified xsi:type="dcterms:W3CDTF">2025-11-27T17:45:37Z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">
    <vt:lpwstr>True</vt:lpwstr>
  </property>
  <property fmtid="{D5CDD505-2E9C-101B-9397-08002B2CF9AE}" pid="52" name="lotItemTemplate">
    <vt:lpwstr>lotItemTitleilistItemTitleDelimt </vt:lpwstr>
  </property>
  <property fmtid="{D5CDD505-2E9C-101B-9397-08002B2CF9AE}" pid="53" name="lotItemTitle">
    <vt:lpwstr/>
  </property>
  <property fmtid="{D5CDD505-2E9C-101B-9397-08002B2CF9AE}" pid="54" name="lotTitle">
    <vt:lpwstr>Список таблиц</vt:lpwstr>
  </property>
  <property fmtid="{D5CDD505-2E9C-101B-9397-08002B2CF9AE}" pid="55" name="lstLabels">
    <vt:lpwstr>arabic</vt:lpwstr>
  </property>
  <property fmtid="{D5CDD505-2E9C-101B-9397-08002B2CF9AE}" pid="56" name="lstPrefix">
    <vt:lpwstr/>
  </property>
  <property fmtid="{D5CDD505-2E9C-101B-9397-08002B2CF9AE}" pid="57" name="lstPrefixTemplate">
    <vt:lpwstr>p i</vt:lpwstr>
  </property>
  <property fmtid="{D5CDD505-2E9C-101B-9397-08002B2CF9AE}" pid="58" name="mainfont">
    <vt:lpwstr>IBM Plex Serif</vt:lpwstr>
  </property>
  <property fmtid="{D5CDD505-2E9C-101B-9397-08002B2CF9AE}" pid="59" name="mainfontoptions">
    <vt:lpwstr>Ligatures=Common,Ligatures=TeX,Scale=0.94</vt:lpwstr>
  </property>
  <property fmtid="{D5CDD505-2E9C-101B-9397-08002B2CF9AE}" pid="60" name="mathfont">
    <vt:lpwstr>STIX Two Math</vt:lpwstr>
  </property>
  <property fmtid="{D5CDD505-2E9C-101B-9397-08002B2CF9AE}" pid="61" name="mathfontoptions">
    <vt:lpwstr/>
  </property>
  <property fmtid="{D5CDD505-2E9C-101B-9397-08002B2CF9AE}" pid="62" name="monofont">
    <vt:lpwstr>IBM Plex Mono</vt:lpwstr>
  </property>
  <property fmtid="{D5CDD505-2E9C-101B-9397-08002B2CF9AE}" pid="63" name="monofontoptions">
    <vt:lpwstr>Scale=MatchLowercase,Scale=0.94,FakeStretch=0.9</vt:lpwstr>
  </property>
  <property fmtid="{D5CDD505-2E9C-101B-9397-08002B2CF9AE}" pid="64" name="nameInLink">
    <vt:lpwstr>False</vt:lpwstr>
  </property>
  <property fmtid="{D5CDD505-2E9C-101B-9397-08002B2CF9AE}" pid="65" name="numberSections">
    <vt:lpwstr>False</vt:lpwstr>
  </property>
  <property fmtid="{D5CDD505-2E9C-101B-9397-08002B2CF9AE}" pid="66" name="pairDelim">
    <vt:lpwstr>, </vt:lpwstr>
  </property>
  <property fmtid="{D5CDD505-2E9C-101B-9397-08002B2CF9AE}" pid="67" name="papersize">
    <vt:lpwstr>a4</vt:lpwstr>
  </property>
  <property fmtid="{D5CDD505-2E9C-101B-9397-08002B2CF9AE}" pid="68" name="polyglossia-lang">
    <vt:lpwstr/>
  </property>
  <property fmtid="{D5CDD505-2E9C-101B-9397-08002B2CF9AE}" pid="69" name="polyglossia-otherlangs">
    <vt:lpwstr/>
  </property>
  <property fmtid="{D5CDD505-2E9C-101B-9397-08002B2CF9AE}" pid="70" name="rangeDelim">
    <vt:lpwstr>-</vt:lpwstr>
  </property>
  <property fmtid="{D5CDD505-2E9C-101B-9397-08002B2CF9AE}" pid="71" name="refDelim">
    <vt:lpwstr>, </vt:lpwstr>
  </property>
  <property fmtid="{D5CDD505-2E9C-101B-9397-08002B2CF9AE}" pid="72" name="refIndexTemplate">
    <vt:lpwstr>isuf</vt:lpwstr>
  </property>
  <property fmtid="{D5CDD505-2E9C-101B-9397-08002B2CF9AE}" pid="73" name="romanfont">
    <vt:lpwstr>IBM Plex Serif</vt:lpwstr>
  </property>
  <property fmtid="{D5CDD505-2E9C-101B-9397-08002B2CF9AE}" pid="74" name="romanfontoptions">
    <vt:lpwstr>Ligatures=Common,Ligatures=TeX,Scale=0.94</vt:lpwstr>
  </property>
  <property fmtid="{D5CDD505-2E9C-101B-9397-08002B2CF9AE}" pid="75" name="sansfont">
    <vt:lpwstr>IBM Plex Sans</vt:lpwstr>
  </property>
  <property fmtid="{D5CDD505-2E9C-101B-9397-08002B2CF9AE}" pid="76" name="sansfontoptions">
    <vt:lpwstr>Ligatures=Common,Ligatures=TeX,Scale=MatchLowercase,Scale=0.94</vt:lpwstr>
  </property>
  <property fmtid="{D5CDD505-2E9C-101B-9397-08002B2CF9AE}" pid="77" name="secHeaderDelim">
    <vt:lpwstr> </vt:lpwstr>
  </property>
  <property fmtid="{D5CDD505-2E9C-101B-9397-08002B2CF9AE}" pid="78" name="secHeaderTemplate">
    <vt:lpwstr>isecHeaderDelim[n]t</vt:lpwstr>
  </property>
  <property fmtid="{D5CDD505-2E9C-101B-9397-08002B2CF9AE}" pid="79" name="secLabels">
    <vt:lpwstr>arabic</vt:lpwstr>
  </property>
  <property fmtid="{D5CDD505-2E9C-101B-9397-08002B2CF9AE}" pid="80" name="secPrefix">
    <vt:lpwstr/>
  </property>
  <property fmtid="{D5CDD505-2E9C-101B-9397-08002B2CF9AE}" pid="81" name="secPrefixTemplate">
    <vt:lpwstr>p i</vt:lpwstr>
  </property>
  <property fmtid="{D5CDD505-2E9C-101B-9397-08002B2CF9AE}" pid="82" name="sectionsDepth">
    <vt:lpwstr>0</vt:lpwstr>
  </property>
  <property fmtid="{D5CDD505-2E9C-101B-9397-08002B2CF9AE}" pid="83" name="subfigGrid">
    <vt:lpwstr>False</vt:lpwstr>
  </property>
  <property fmtid="{D5CDD505-2E9C-101B-9397-08002B2CF9AE}" pid="84" name="subfigLabels">
    <vt:lpwstr>alpha a</vt:lpwstr>
  </property>
  <property fmtid="{D5CDD505-2E9C-101B-9397-08002B2CF9AE}" pid="85" name="subfigureChildTemplate">
    <vt:lpwstr>i</vt:lpwstr>
  </property>
  <property fmtid="{D5CDD505-2E9C-101B-9397-08002B2CF9AE}" pid="86" name="subfigureRefIndexTemplate">
    <vt:lpwstr>isuf (s)</vt:lpwstr>
  </property>
  <property fmtid="{D5CDD505-2E9C-101B-9397-08002B2CF9AE}" pid="87" name="subfigureTemplate">
    <vt:lpwstr>figureTitle ititleDelim t. ccs</vt:lpwstr>
  </property>
  <property fmtid="{D5CDD505-2E9C-101B-9397-08002B2CF9AE}" pid="88" name="subtitle">
    <vt:lpwstr>Лабораторная работа №8</vt:lpwstr>
  </property>
  <property fmtid="{D5CDD505-2E9C-101B-9397-08002B2CF9AE}" pid="89" name="tableEqns">
    <vt:lpwstr>False</vt:lpwstr>
  </property>
  <property fmtid="{D5CDD505-2E9C-101B-9397-08002B2CF9AE}" pid="90" name="tableTemplate">
    <vt:lpwstr>tableTitle ititleDelim t</vt:lpwstr>
  </property>
  <property fmtid="{D5CDD505-2E9C-101B-9397-08002B2CF9AE}" pid="91" name="tableTitle">
    <vt:lpwstr>Таблица</vt:lpwstr>
  </property>
  <property fmtid="{D5CDD505-2E9C-101B-9397-08002B2CF9AE}" pid="92" name="tblLabels">
    <vt:lpwstr>arabic</vt:lpwstr>
  </property>
  <property fmtid="{D5CDD505-2E9C-101B-9397-08002B2CF9AE}" pid="93" name="tblPrefix">
    <vt:lpwstr/>
  </property>
  <property fmtid="{D5CDD505-2E9C-101B-9397-08002B2CF9AE}" pid="94" name="tblPrefixTemplate">
    <vt:lpwstr>p i</vt:lpwstr>
  </property>
  <property fmtid="{D5CDD505-2E9C-101B-9397-08002B2CF9AE}" pid="95" name="titleDelim">
    <vt:lpwstr>:</vt:lpwstr>
  </property>
  <property fmtid="{D5CDD505-2E9C-101B-9397-08002B2CF9AE}" pid="96" name="toc">
    <vt:lpwstr>True</vt:lpwstr>
  </property>
  <property fmtid="{D5CDD505-2E9C-101B-9397-08002B2CF9AE}" pid="97" name="toc-depth">
    <vt:lpwstr>2</vt:lpwstr>
  </property>
  <property fmtid="{D5CDD505-2E9C-101B-9397-08002B2CF9AE}" pid="98" name="toc-title">
    <vt:lpwstr>Содержание</vt:lpwstr>
  </property>
</Properties>
</file>