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Поработать с загрузчиком системы GRUB2.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увеличим время перед тем как запускается системы, чтобы можно было успеть перейти в GRUB2 (рис. [3.1]).</w:t>
      </w:r>
    </w:p>
    <w:p>
      <w:pPr>
        <w:pStyle w:val="CaptionedFigure"/>
      </w:pPr>
      <w:r>
        <w:drawing>
          <wp:inline>
            <wp:extent cx="3733800" cy="955293"/>
            <wp:effectExtent b="0" l="0" r="0" t="0"/>
            <wp:docPr descr="Увеличение интервала GRUB2" title="" id="23" name="Picture"/>
            <a:graphic>
              <a:graphicData uri="http://schemas.openxmlformats.org/drawingml/2006/picture">
                <pic:pic>
                  <pic:nvPicPr>
                    <pic:cNvPr descr="image/11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5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Увеличение интервала GRUB2</w:t>
      </w:r>
    </w:p>
    <w:p>
      <w:pPr>
        <w:pStyle w:val="BodyText"/>
      </w:pPr>
      <w:r>
        <w:t xml:space="preserve">Запишем изменения в файле и перезапустим систему (рис. [3.2]).</w:t>
      </w:r>
    </w:p>
    <w:p>
      <w:pPr>
        <w:pStyle w:val="CaptionedFigure"/>
      </w:pPr>
      <w:r>
        <w:drawing>
          <wp:inline>
            <wp:extent cx="3733800" cy="1214707"/>
            <wp:effectExtent b="0" l="0" r="0" t="0"/>
            <wp:docPr descr="Запись изменений" title="" id="26" name="Picture"/>
            <a:graphic>
              <a:graphicData uri="http://schemas.openxmlformats.org/drawingml/2006/picture">
                <pic:pic>
                  <pic:nvPicPr>
                    <pic:cNvPr descr="image/11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4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Запись изменений</w:t>
      </w:r>
    </w:p>
    <w:p>
      <w:pPr>
        <w:pStyle w:val="BodyText"/>
      </w:pPr>
      <w:r>
        <w:t xml:space="preserve">После перезапуска быстро жмем Esc и переходим в GRUB2 (рис. [3.3]).</w:t>
      </w:r>
    </w:p>
    <w:p>
      <w:pPr>
        <w:pStyle w:val="CaptionedFigure"/>
      </w:pPr>
      <w:r>
        <w:drawing>
          <wp:inline>
            <wp:extent cx="3733800" cy="2028599"/>
            <wp:effectExtent b="0" l="0" r="0" t="0"/>
            <wp:docPr descr="Переход в GRUB2" title="" id="29" name="Picture"/>
            <a:graphic>
              <a:graphicData uri="http://schemas.openxmlformats.org/drawingml/2006/picture">
                <pic:pic>
                  <pic:nvPicPr>
                    <pic:cNvPr descr="image/11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8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Переход в GRUB2</w:t>
      </w:r>
    </w:p>
    <w:p>
      <w:pPr>
        <w:pStyle w:val="BodyText"/>
      </w:pPr>
      <w:r>
        <w:t xml:space="preserve">Теперь в GRUB2 сбрасываем пароль root (рис. [3.4]).</w:t>
      </w:r>
    </w:p>
    <w:p>
      <w:pPr>
        <w:pStyle w:val="CaptionedFigure"/>
      </w:pPr>
      <w:r>
        <w:drawing>
          <wp:inline>
            <wp:extent cx="3733800" cy="1926166"/>
            <wp:effectExtent b="0" l="0" r="0" t="0"/>
            <wp:docPr descr="Сброс пароля root" title="" id="32" name="Picture"/>
            <a:graphic>
              <a:graphicData uri="http://schemas.openxmlformats.org/drawingml/2006/picture">
                <pic:pic>
                  <pic:nvPicPr>
                    <pic:cNvPr descr="image/11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6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Сброс пароля root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навыки для работы с загрузчиком системы GRUB2.</w:t>
      </w:r>
    </w:p>
    <w:bookmarkEnd w:id="35"/>
    <w:bookmarkStart w:id="36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/etc/default/grub</w:t>
      </w:r>
    </w:p>
    <w:p>
      <w:pPr>
        <w:numPr>
          <w:ilvl w:val="0"/>
          <w:numId w:val="1001"/>
        </w:numPr>
      </w:pPr>
      <w:r>
        <w:t xml:space="preserve">/boot/grub2/grub.cfg</w:t>
      </w:r>
    </w:p>
    <w:p>
      <w:pPr>
        <w:numPr>
          <w:ilvl w:val="0"/>
          <w:numId w:val="1001"/>
        </w:numPr>
      </w:pPr>
      <w:r>
        <w:t xml:space="preserve">update-grub или grub2-mkconfig -o /boot/grub2/grub.cfg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Приходько Иван Иванович</dc:creator>
  <dc:language>ru-RU</dc:language>
  <cp:keywords/>
  <dcterms:created xsi:type="dcterms:W3CDTF">2025-11-27T17:48:16Z</dcterms:created>
  <dcterms:modified xsi:type="dcterms:W3CDTF">2025-11-27T17:48:16Z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№11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