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中 关 村 发 展 集 团</w:t>
      </w:r>
    </w:p>
    <w:p>
      <w:pPr>
        <w:jc w:val="center"/>
        <w:rPr>
          <w:rFonts w:ascii="华文中宋" w:hAnsi="华文中宋" w:eastAsia="华文中宋"/>
          <w:b/>
          <w:color w:val="FF0000"/>
          <w:sz w:val="72"/>
          <w:szCs w:val="72"/>
        </w:rPr>
      </w:pPr>
      <w:r>
        <w:rPr>
          <w:rFonts w:hint="eastAsia" w:ascii="华文中宋" w:hAnsi="华文中宋" w:eastAsia="华文中宋"/>
          <w:b/>
          <w:color w:val="FF0000"/>
          <w:sz w:val="72"/>
          <w:szCs w:val="72"/>
        </w:rPr>
        <w:t>工 作 简 报</w:t>
      </w:r>
    </w:p>
    <w:p>
      <w:pPr>
        <w:jc w:val="center"/>
        <w:rPr>
          <w:rFonts w:ascii="宋体" w:hAnsi="宋体"/>
          <w:b/>
          <w:sz w:val="28"/>
          <w:szCs w:val="28"/>
        </w:rPr>
      </w:pPr>
    </w:p>
    <w:p>
      <w:pPr>
        <w:jc w:val="center"/>
        <w:rPr>
          <w:rFonts w:ascii="宋体" w:hAnsi="宋体"/>
          <w:b/>
          <w:sz w:val="28"/>
          <w:szCs w:val="28"/>
        </w:rPr>
      </w:pPr>
      <w:r>
        <w:rPr>
          <w:rFonts w:hint="eastAsia" w:ascii="宋体" w:hAnsi="宋体"/>
          <w:b/>
          <w:sz w:val="28"/>
          <w:szCs w:val="28"/>
        </w:rPr>
        <w:t>（“两学一做”专报 2018年第5期）</w:t>
      </w:r>
    </w:p>
    <w:p>
      <w:pPr>
        <w:spacing w:line="600" w:lineRule="exact"/>
        <w:ind w:right="-254" w:rightChars="-121"/>
        <w:jc w:val="left"/>
        <w:rPr>
          <w:rFonts w:ascii="宋体" w:hAnsi="宋体"/>
          <w:b/>
          <w:sz w:val="28"/>
          <w:szCs w:val="28"/>
        </w:rPr>
      </w:pPr>
      <w:r>
        <w:rPr>
          <w:rFonts w:hint="eastAsia" w:ascii="宋体" w:hAnsi="宋体"/>
          <w:b/>
          <w:sz w:val="28"/>
          <w:szCs w:val="28"/>
        </w:rPr>
        <w:t>集团“两学一做”协调领导小组办公室编          2018年</w:t>
      </w:r>
      <w:r>
        <w:rPr>
          <w:rFonts w:ascii="宋体" w:hAnsi="宋体"/>
          <w:b/>
          <w:sz w:val="28"/>
          <w:szCs w:val="28"/>
        </w:rPr>
        <w:t>9</w:t>
      </w:r>
      <w:r>
        <w:rPr>
          <w:rFonts w:hint="eastAsia" w:ascii="宋体" w:hAnsi="宋体"/>
          <w:b/>
          <w:sz w:val="28"/>
          <w:szCs w:val="28"/>
        </w:rPr>
        <w:t>月</w:t>
      </w:r>
      <w:r>
        <w:rPr>
          <w:rFonts w:ascii="宋体" w:hAnsi="宋体"/>
          <w:b/>
          <w:sz w:val="28"/>
          <w:szCs w:val="28"/>
        </w:rPr>
        <w:t>5</w:t>
      </w:r>
      <w:r>
        <w:rPr>
          <w:rFonts w:hint="eastAsia" w:ascii="宋体" w:hAnsi="宋体"/>
          <w:b/>
          <w:sz w:val="28"/>
          <w:szCs w:val="28"/>
        </w:rPr>
        <w:t>日</w:t>
      </w:r>
    </w:p>
    <w:p>
      <w:pPr>
        <w:spacing w:line="600" w:lineRule="exact"/>
        <w:rPr>
          <w:rFonts w:ascii="华文中宋" w:hAnsi="华文中宋" w:eastAsia="华文中宋"/>
          <w:b/>
          <w:color w:val="FF0000"/>
          <w:sz w:val="84"/>
          <w:szCs w:val="84"/>
        </w:rPr>
      </w:pPr>
      <w:r>
        <w:rPr>
          <w:sz w:val="32"/>
        </w:rPr>
        <mc:AlternateContent>
          <mc:Choice Requires="wps">
            <w:drawing>
              <wp:anchor distT="0" distB="0" distL="114300" distR="114300" simplePos="0" relativeHeight="251663360" behindDoc="0" locked="0" layoutInCell="1" allowOverlap="1">
                <wp:simplePos x="0" y="0"/>
                <wp:positionH relativeFrom="column">
                  <wp:posOffset>3766185</wp:posOffset>
                </wp:positionH>
                <wp:positionV relativeFrom="paragraph">
                  <wp:posOffset>354330</wp:posOffset>
                </wp:positionV>
                <wp:extent cx="1234440" cy="627380"/>
                <wp:effectExtent l="0" t="0" r="3810" b="1270"/>
                <wp:wrapNone/>
                <wp:docPr id="4" name="文本框 4"/>
                <wp:cNvGraphicFramePr/>
                <a:graphic xmlns:a="http://schemas.openxmlformats.org/drawingml/2006/main">
                  <a:graphicData uri="http://schemas.microsoft.com/office/word/2010/wordprocessingShape">
                    <wps:wsp>
                      <wps:cNvSpPr txBox="1"/>
                      <wps:spPr>
                        <a:xfrm>
                          <a:off x="5363845" y="4197985"/>
                          <a:ext cx="1234440" cy="627380"/>
                        </a:xfrm>
                        <a:prstGeom prst="rect">
                          <a:avLst/>
                        </a:prstGeom>
                        <a:solidFill>
                          <a:srgbClr val="FFFFFF"/>
                        </a:solidFill>
                        <a:ln w="6350">
                          <a:noFill/>
                        </a:ln>
                        <a:effectLst/>
                      </wps:spPr>
                      <wps:txbx>
                        <w:txbxContent>
                          <w:p>
                            <w:r>
                              <w:rPr>
                                <w:rFonts w:hint="eastAsia" w:ascii="黑体" w:hAnsi="宋体" w:eastAsia="黑体"/>
                                <w:color w:val="FF0000"/>
                                <w:spacing w:val="-1"/>
                                <w:sz w:val="32"/>
                                <w:szCs w:val="32"/>
                              </w:rPr>
                              <w:t>领导批示：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6.55pt;margin-top:27.9pt;height:49.4pt;width:97.2pt;z-index:251663360;mso-width-relative:page;mso-height-relative:page;" fillcolor="#FFFFFF" filled="t" stroked="f" coordsize="21600,21600" o:gfxdata="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7GX8r1gAAAAoBAAAPAAAAAAAAAAEAIAAA&#10;ACIAAABkcnMvZG93bnJldi54bWxQSwECFAAUAAAACACHTuJAjD9mB0cCAABbBAAADgAAAAAAAAAB&#10;ACAAAAAlAQAAZHJzL2Uyb0RvYy54bWxQSwUGAAAAAAYABgBZAQAA3gUAAAAA&#10;">
                <v:fill on="t" focussize="0,0"/>
                <v:stroke on="f" weight="0.5pt"/>
                <v:imagedata o:title=""/>
                <o:lock v:ext="edit" aspectratio="f"/>
                <v:textbox>
                  <w:txbxContent>
                    <w:p>
                      <w:r>
                        <w:rPr>
                          <w:rFonts w:hint="eastAsia" w:ascii="黑体" w:hAnsi="宋体" w:eastAsia="黑体"/>
                          <w:color w:val="FF0000"/>
                          <w:spacing w:val="-1"/>
                          <w:sz w:val="32"/>
                          <w:szCs w:val="32"/>
                        </w:rPr>
                        <w:t>领导批示：</w:t>
                      </w:r>
                    </w:p>
                  </w:txbxContent>
                </v:textbox>
              </v:shape>
            </w:pict>
          </mc:Fallback>
        </mc:AlternateContent>
      </w:r>
      <w:r>
        <w:rPr>
          <w:rFonts w:ascii="仿宋_GB2312" w:hAnsi="宋体" w:eastAsia="仿宋_GB2312" w:cs="宋体"/>
          <w:color w:val="000000"/>
          <w:kern w:val="0"/>
          <w:sz w:val="32"/>
          <w:szCs w:val="32"/>
        </w:rPr>
        <mc:AlternateContent>
          <mc:Choice Requires="wps">
            <w:drawing>
              <wp:anchor distT="0" distB="0" distL="114300" distR="114300" simplePos="0" relativeHeight="251661312" behindDoc="0" locked="0" layoutInCell="1" allowOverlap="1">
                <wp:simplePos x="0" y="0"/>
                <wp:positionH relativeFrom="column">
                  <wp:posOffset>3701415</wp:posOffset>
                </wp:positionH>
                <wp:positionV relativeFrom="paragraph">
                  <wp:posOffset>177800</wp:posOffset>
                </wp:positionV>
                <wp:extent cx="6350" cy="6543040"/>
                <wp:effectExtent l="12700" t="0" r="19050" b="10160"/>
                <wp:wrapNone/>
                <wp:docPr id="2" name="AutoShape 12"/>
                <wp:cNvGraphicFramePr/>
                <a:graphic xmlns:a="http://schemas.openxmlformats.org/drawingml/2006/main">
                  <a:graphicData uri="http://schemas.microsoft.com/office/word/2010/wordprocessingShape">
                    <wps:wsp>
                      <wps:cNvCnPr/>
                      <wps:spPr>
                        <a:xfrm flipH="1" flipV="1">
                          <a:off x="0" y="0"/>
                          <a:ext cx="6350" cy="6543040"/>
                        </a:xfrm>
                        <a:prstGeom prst="straightConnector1">
                          <a:avLst/>
                        </a:prstGeom>
                        <a:ln w="25400" cap="flat" cmpd="sng">
                          <a:solidFill>
                            <a:srgbClr val="FF0000"/>
                          </a:solidFill>
                          <a:prstDash val="solid"/>
                          <a:headEnd type="none" w="med" len="med"/>
                          <a:tailEnd type="none" w="med" len="med"/>
                        </a:ln>
                        <a:effectLst/>
                      </wps:spPr>
                      <wps:bodyPr/>
                    </wps:wsp>
                  </a:graphicData>
                </a:graphic>
              </wp:anchor>
            </w:drawing>
          </mc:Choice>
          <mc:Fallback>
            <w:pict>
              <v:shape id="AutoShape 12" o:spid="_x0000_s1026" o:spt="32" type="#_x0000_t32" style="position:absolute;left:0pt;flip:x y;margin-left:291.45pt;margin-top:14pt;height:515.2pt;width:0.5pt;z-index:251661312;mso-width-relative:page;mso-height-relative:page;" filled="f" stroked="t" coordsize="21600,21600" o:gfxdata="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IZDJ2AAAAAsBAAAPAAAA&#10;AAAAAAEAIAAAACIAAABkcnMvZG93bnJldi54bWxQSwECFAAUAAAACACHTuJAwrXEGtwBAAC5AwAA&#10;DgAAAAAAAAABACAAAAAnAQAAZHJzL2Uyb0RvYy54bWxQSwUGAAAAAAYABgBZAQAAdQUAAAAA&#10;">
                <v:fill on="f" focussize="0,0"/>
                <v:stroke weight="2pt" color="#FF0000" joinstyle="round"/>
                <v:imagedata o:title=""/>
                <o:lock v:ext="edit" aspectratio="f"/>
              </v:shape>
            </w:pict>
          </mc:Fallback>
        </mc:AlternateContent>
      </w:r>
      <w:r>
        <w:rPr>
          <w:rFonts w:ascii="华文中宋" w:hAnsi="华文中宋" w:eastAsia="华文中宋"/>
          <w:b/>
          <w:color w:val="FF0000"/>
          <w:sz w:val="84"/>
          <w:szCs w:val="84"/>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177800</wp:posOffset>
                </wp:positionV>
                <wp:extent cx="5798820" cy="0"/>
                <wp:effectExtent l="0" t="0" r="0" b="0"/>
                <wp:wrapNone/>
                <wp:docPr id="1" name="AutoShape 11"/>
                <wp:cNvGraphicFramePr/>
                <a:graphic xmlns:a="http://schemas.openxmlformats.org/drawingml/2006/main">
                  <a:graphicData uri="http://schemas.microsoft.com/office/word/2010/wordprocessingShape">
                    <wps:wsp>
                      <wps:cNvCnPr/>
                      <wps:spPr>
                        <a:xfrm>
                          <a:off x="0" y="0"/>
                          <a:ext cx="5798820" cy="0"/>
                        </a:xfrm>
                        <a:prstGeom prst="straightConnector1">
                          <a:avLst/>
                        </a:prstGeom>
                        <a:ln w="25400" cap="flat" cmpd="sng">
                          <a:solidFill>
                            <a:srgbClr val="FF0000"/>
                          </a:solidFill>
                          <a:prstDash val="solid"/>
                          <a:headEnd type="none" w="med" len="med"/>
                          <a:tailEnd type="none" w="med" len="med"/>
                        </a:ln>
                        <a:effectLst/>
                      </wps:spPr>
                      <wps:bodyPr/>
                    </wps:wsp>
                  </a:graphicData>
                </a:graphic>
              </wp:anchor>
            </w:drawing>
          </mc:Choice>
          <mc:Fallback>
            <w:pict>
              <v:shape id="AutoShape 11" o:spid="_x0000_s1026" o:spt="32" type="#_x0000_t32" style="position:absolute;left:0pt;margin-left:0.05pt;margin-top:14pt;height:0pt;width:456.6pt;z-index:251660288;mso-width-relative:page;mso-height-relative:page;" filled="f" stroked="t" coordsize="21600,21600" o:gfxdata="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jtrVTVAAAABgEAAA8AAAAAAAAAAQAgAAAAIgAAAGRycy9k&#10;b3ducmV2LnhtbFBLAQIUABQAAAAIAIdO4kAMTNq7zAEAAKIDAAAOAAAAAAAAAAEAIAAAACQBAABk&#10;cnMvZTJvRG9jLnhtbFBLBQYAAAAABgAGAFkBAABiBQAAAAA=&#10;">
                <v:fill on="f" focussize="0,0"/>
                <v:stroke weight="2pt" color="#FF0000" joinstyle="round"/>
                <v:imagedata o:title=""/>
                <o:lock v:ext="edit" aspectratio="f"/>
              </v:shape>
            </w:pict>
          </mc:Fallback>
        </mc:AlternateContent>
      </w:r>
    </w:p>
    <w:p>
      <w:pPr>
        <w:spacing w:line="600" w:lineRule="exact"/>
        <w:ind w:right="2776" w:rightChars="1322" w:firstLine="640" w:firstLineChars="200"/>
        <w:rPr>
          <w:rFonts w:ascii="仿宋_GB2312" w:hAnsi="仿宋_GB2312" w:eastAsia="仿宋_GB2312" w:cs="仿宋_GB2312"/>
          <w:sz w:val="32"/>
          <w:szCs w:val="32"/>
        </w:rPr>
      </w:pPr>
      <w:r>
        <w:rPr>
          <w:rFonts w:hint="eastAsia" w:ascii="黑体" w:hAnsi="黑体" w:eastAsia="黑体" w:cs="仿宋_GB2312"/>
          <w:sz w:val="32"/>
          <w:szCs w:val="32"/>
        </w:rPr>
        <w:t>集团各基层党组织开展“七一”主题党日活动。</w:t>
      </w:r>
      <w:r>
        <w:rPr>
          <w:rFonts w:hint="eastAsia" w:ascii="仿宋_GB2312" w:hAnsi="仿宋_GB2312" w:eastAsia="仿宋_GB2312" w:cs="仿宋_GB2312"/>
          <w:sz w:val="32"/>
          <w:szCs w:val="32"/>
        </w:rPr>
        <w:t>为庆祝中国共产党成立97周年，改革开放40周年，深入贯彻落实习近平新时代中国特色社会主义思想和党的十九大精神，推进“两学一做”学习教育常态化制度化，引导全体党员牢固树立“四个意识”，坚定理想信念、牢记根本宗旨、发扬优良传统，集团党委印发了《关于做好纪念中国共产党成立97周年有关工作的通知》文件，对开展好纪念活动提出了具体要求，集团各基层党组织积极响应并开展了形式丰富的主题党日活动。</w:t>
      </w:r>
    </w:p>
    <w:p>
      <w:pPr>
        <w:spacing w:line="600" w:lineRule="exact"/>
        <w:ind w:right="-57" w:rightChars="-27"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集团总部党总支、协同投资党支部、</w:t>
      </w:r>
    </w:p>
    <w:p>
      <w:pPr>
        <w:spacing w:line="600" w:lineRule="exact"/>
        <w:ind w:right="-57" w:rightChars="-27"/>
        <w:rPr>
          <w:rFonts w:ascii="仿宋_GB2312" w:hAnsi="仿宋_GB2312" w:eastAsia="仿宋_GB2312" w:cs="仿宋_GB2312"/>
          <w:sz w:val="32"/>
          <w:szCs w:val="32"/>
        </w:rPr>
      </w:pPr>
      <w:r>
        <w:rPr>
          <w:rFonts w:hint="eastAsia" w:ascii="仿宋_GB2312" w:hAnsi="仿宋_GB2312" w:eastAsia="仿宋_GB2312" w:cs="仿宋_GB2312"/>
          <w:sz w:val="32"/>
          <w:szCs w:val="32"/>
        </w:rPr>
        <w:t>中科金机关党支部分别组织党员、入党</w:t>
      </w:r>
    </w:p>
    <w:p>
      <w:pPr>
        <w:spacing w:line="600" w:lineRule="exact"/>
        <w:ind w:right="-57" w:rightChars="-27"/>
        <w:rPr>
          <w:rFonts w:ascii="仿宋" w:hAnsi="仿宋" w:eastAsia="仿宋" w:cs="仿宋"/>
          <w:sz w:val="32"/>
          <w:szCs w:val="32"/>
        </w:rPr>
      </w:pPr>
      <w:r>
        <w:rPr>
          <w:rFonts w:hint="eastAsia" w:ascii="仿宋_GB2312" w:hAnsi="仿宋_GB2312" w:eastAsia="仿宋_GB2312" w:cs="仿宋_GB2312"/>
          <w:sz w:val="32"/>
          <w:szCs w:val="32"/>
        </w:rPr>
        <w:t>积极</w:t>
      </w:r>
      <w:r>
        <w:rPr>
          <w:rFonts w:hint="eastAsia" w:ascii="仿宋" w:hAnsi="仿宋" w:eastAsia="仿宋" w:cs="仿宋"/>
          <w:sz w:val="32"/>
          <w:szCs w:val="32"/>
        </w:rPr>
        <w:t>分子开展了参观国家博物馆“真理的力量——纪念马克思诞辰200周年主题展览”主题党日活动。软件园党总支组织党员、入党积极分子一行80余人赴雄安，开展“走进雄安新区，感受时代精神”主题党日活动。科技担保党总支所属支部分别组织党员观看“唱支山歌给党听”国家大剧院驻院歌剧演员庆祝建党97周年音乐会和北京音乐厅《我和我的祖国》迎“七一”经典传世名曲音乐会。生命园党总支联合延庆园公司党支部开展“不忘初心，继续前进”主题党日活动，在白洋淀雁翎队纪念馆接受革命传统教育，重温入党誓词。科技租赁党支部与海外科技园党支部联合组织开展“不忘初心 牢记使命 坚定理想信念 建功‘二次创业’”主题党日活动。 国际孵化器组织全体党员、员工赴软件园党建工作平台，学习软件园先进党建工作和园区非公党建工作经验，参观党建展厅。集成电路设计园党支部开展七一主题党日活动，进行重温入党誓词仪式教育，组织主题党课学习。中关村芯园支部组织全体党员通过观看“不忘初心，继续前行”系列专题片、党支部书记讲党课等形式开展“学习党章，爱岗敬业”主题党日活动。 前沿技术党支部组织公司全体党员赴“没有共产党就没有新中国”纪念馆、平西抗日战争纪念馆参观。北京IP党支部开展了以“国企改革和国企党建有关精神和知识学习”为主题的公司领导讲党课活动。京西发展党支部组织公司全体党员赴京西山区中共第一党支部和崔显芳烈士故居参观学习，开展了“不忘初心、牢记使命”的主题党日活动。 领创金融党支部通过“组织党员政治生日活动”、“不忘初心，牢记使命”重温入党誓词活动等形式，开展以“强党性、正党风、严党纪”为中心内容的系列活动。协同发展党支部开展仪式教育和主题党日活动，组织党员领导干部赴西柏坡红色教育基地开展“不忘初心</w:t>
      </w:r>
      <w:r>
        <w:rPr>
          <w:rFonts w:ascii="仿宋" w:hAnsi="仿宋" w:eastAsia="仿宋" w:cs="仿宋"/>
          <w:sz w:val="32"/>
          <w:szCs w:val="32"/>
        </w:rPr>
        <w:t xml:space="preserve"> </w:t>
      </w:r>
      <w:r>
        <w:rPr>
          <w:rFonts w:hint="eastAsia" w:ascii="仿宋" w:hAnsi="仿宋" w:eastAsia="仿宋" w:cs="仿宋"/>
          <w:sz w:val="32"/>
          <w:szCs w:val="32"/>
        </w:rPr>
        <w:t>牢记使命</w:t>
      </w:r>
      <w:r>
        <w:rPr>
          <w:rFonts w:ascii="仿宋" w:hAnsi="仿宋" w:eastAsia="仿宋" w:cs="仿宋"/>
          <w:sz w:val="32"/>
          <w:szCs w:val="32"/>
        </w:rPr>
        <w:t xml:space="preserve"> </w:t>
      </w:r>
      <w:r>
        <w:rPr>
          <w:rFonts w:hint="eastAsia" w:ascii="仿宋" w:hAnsi="仿宋" w:eastAsia="仿宋" w:cs="仿宋"/>
          <w:sz w:val="32"/>
          <w:szCs w:val="32"/>
        </w:rPr>
        <w:t>弘扬赶考精神</w:t>
      </w:r>
      <w:r>
        <w:rPr>
          <w:rFonts w:ascii="仿宋" w:hAnsi="仿宋" w:eastAsia="仿宋" w:cs="仿宋"/>
          <w:sz w:val="32"/>
          <w:szCs w:val="32"/>
        </w:rPr>
        <w:t xml:space="preserve"> </w:t>
      </w:r>
      <w:r>
        <w:rPr>
          <w:rFonts w:hint="eastAsia" w:ascii="仿宋" w:hAnsi="仿宋" w:eastAsia="仿宋" w:cs="仿宋"/>
          <w:sz w:val="32"/>
          <w:szCs w:val="32"/>
        </w:rPr>
        <w:t>永葆政治本色”主题党日活动；开展“献爱心”和“送温暖”活动，以及党员志愿服务活动。</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集团工会第二次会员代表大会胜利召开。</w:t>
      </w:r>
      <w:r>
        <w:rPr>
          <w:rFonts w:hint="eastAsia" w:ascii="仿宋" w:hAnsi="仿宋" w:eastAsia="仿宋" w:cs="仿宋"/>
          <w:sz w:val="32"/>
          <w:szCs w:val="32"/>
        </w:rPr>
        <w:t>7月27日，中关村发展集团股份有限公司工会第二次会员代表大会召开，全面总结集团工会过去六年的主要工作，认真谋划未来五年工会工作的目标任务，集团130余名正式代表和特邀代表参加会议。大会以无记名投票方式，民主选举产生了中关村发展集团股份有限公司工会第二届委员会和第二届经费审查委员会。</w:t>
      </w:r>
    </w:p>
    <w:p>
      <w:pPr>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大会闭幕式后，召开了集团第二届工会委员会第一次全体会议、经费审查委员会第一次全体会议和女职工委员会第一次全体会议。</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集团召开党建工作领导小组专题会</w:t>
      </w:r>
      <w:r>
        <w:rPr>
          <w:rFonts w:hint="eastAsia" w:ascii="仿宋" w:hAnsi="仿宋" w:eastAsia="仿宋" w:cs="仿宋"/>
          <w:sz w:val="32"/>
          <w:szCs w:val="32"/>
        </w:rPr>
        <w:t>。8月8日，集团党委召开党建工作领导小组专题会暨党支部规范化建设推进会。会议传达了近期中央、市委相关重要会议和文件精神，对集团2018年上半年党建工作进行了总结，并就党支部规范化建设工作进行了交流发言。</w:t>
      </w:r>
    </w:p>
    <w:p>
      <w:pPr>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会议还对下半年集团党建工作进行了系统的部署。会议要求，集团党建工作要紧紧围绕贯彻落实全国组织工作会议及党建工作领导小组会议精神，深入贯彻落实新时代的组织路线，以“不忘初心，牢记使命”主题教育为主线，以激励干部新担当、新作为，发现培养选拔优秀年轻干部为重点，以支部规范化建设为抓手，以提升党组织的组织力为目标，全面提升集团党建工作水平。</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集团举办学习十九大精神知识竞赛。</w:t>
      </w:r>
      <w:r>
        <w:rPr>
          <w:rFonts w:hint="eastAsia" w:ascii="仿宋" w:hAnsi="仿宋" w:eastAsia="仿宋" w:cs="仿宋"/>
          <w:sz w:val="32"/>
          <w:szCs w:val="32"/>
        </w:rPr>
        <w:t>8月14日，集团“不忘初心，牢记使命”学习十九大精神知识竞赛现场决赛举行。集团系统共6支代表队入围现场决赛，通过积分热身赛、快速抢答、风采展示和风险自担等环节，最终决出各名次。据统计，自5月开展知识竞赛以来，集团党员干部群众累计3000多人次参加微信初赛答题活动。</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中关村软件园新社会阶层人士联谊会成立。</w:t>
      </w:r>
      <w:r>
        <w:rPr>
          <w:rFonts w:hint="eastAsia" w:ascii="仿宋" w:hAnsi="仿宋" w:eastAsia="仿宋" w:cs="仿宋"/>
          <w:sz w:val="32"/>
          <w:szCs w:val="32"/>
        </w:rPr>
        <w:t>8月16日，北京中关村软件园新社会阶层人士联谊会（以下简称“新联会”）成立。新联会是</w:t>
      </w:r>
      <w:r>
        <w:rPr>
          <w:rFonts w:hint="eastAsia" w:ascii="仿宋" w:hAnsi="仿宋" w:eastAsia="仿宋" w:cs="仿宋"/>
          <w:sz w:val="32"/>
          <w:szCs w:val="32"/>
          <w:lang w:val="en-US" w:eastAsia="zh-CN"/>
        </w:rPr>
        <w:t>经上级组织批准成立，</w:t>
      </w:r>
      <w:r>
        <w:rPr>
          <w:rFonts w:hint="eastAsia" w:ascii="仿宋" w:hAnsi="仿宋" w:eastAsia="仿宋" w:cs="仿宋"/>
          <w:sz w:val="32"/>
          <w:szCs w:val="32"/>
        </w:rPr>
        <w:t>由政治坚定、业绩突出、群众认同的中关村软件园</w:t>
      </w:r>
      <w:bookmarkStart w:id="0" w:name="_GoBack"/>
      <w:bookmarkEnd w:id="0"/>
      <w:r>
        <w:rPr>
          <w:rFonts w:hint="eastAsia" w:ascii="仿宋" w:hAnsi="仿宋" w:eastAsia="仿宋" w:cs="仿宋"/>
          <w:sz w:val="32"/>
          <w:szCs w:val="32"/>
        </w:rPr>
        <w:t>新社会阶层人士自愿组成的，具有统战性、联谊性、区域性和非营利性的社会团体，旨在加强中关村软件园新社会阶层人士的联谊交流，展现新社会阶层人士与新时代共奋斗、同成长的精神和风采，团结和凝聚园区企业从业人员，成为中关村软件园人才聚集的新平台，区域发展创新升级的新智囊，人才企业政府沟通的新纽带，为推动国家创新驱动发展战略，巩固和发展最广泛的爱国统一战线做出贡献。</w:t>
      </w:r>
    </w:p>
    <w:p>
      <w:pPr>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 xml:space="preserve">首届理事会由联想、汉王科技、华胜天成、软通动力、广联达、千方科技、博彦科技、启明星辰等75名理事组成，均来自中关村软件园有代表性和影响力的入驻企业，涵盖了云计算、移动互联、大数据、互联网金融、人工智能、新型IT服务产业、新媒体等多个领域。  </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集团传达学习《正确认识妥善应对中美经贸摩擦》文件精神。</w:t>
      </w:r>
      <w:r>
        <w:rPr>
          <w:rFonts w:hint="eastAsia" w:ascii="仿宋" w:hAnsi="仿宋" w:eastAsia="仿宋" w:cs="仿宋"/>
          <w:sz w:val="32"/>
          <w:szCs w:val="32"/>
        </w:rPr>
        <w:t>8月17日，根据市委宣传部关于组织全市处级以上党委中心组学习《正确认识妥善应对中美经贸摩擦》的通知要求，集团党委召开理论学习中心组会议，专题学习研讨中美经贸摩擦问题。会议强调，一是要统一思想认识，保持战略定力，看清中美贸易摩擦的实质；二是做好自身工作，积极主动作为，紧扣首都城市战略定位，发挥集团在整合创新资源方面的市场化平台作用；三是着力防范化解风险，积极应对贸易摩擦带来的不利影响，加快改革转型发展；四是做好舆论引导，引导干部职工正确看待中美贸易摩擦问题，营造良好的舆论氛围。</w:t>
      </w:r>
    </w:p>
    <w:p>
      <w:pPr>
        <w:spacing w:line="600" w:lineRule="exact"/>
        <w:ind w:firstLine="640" w:firstLineChars="200"/>
        <w:rPr>
          <w:rFonts w:ascii="仿宋" w:hAnsi="仿宋" w:eastAsia="仿宋" w:cs="仿宋"/>
          <w:sz w:val="32"/>
          <w:szCs w:val="32"/>
        </w:rPr>
      </w:pPr>
      <w:r>
        <w:rPr>
          <w:rFonts w:hint="eastAsia" w:ascii="黑体" w:hAnsi="黑体" w:eastAsia="黑体" w:cs="仿宋"/>
          <w:sz w:val="32"/>
          <w:szCs w:val="32"/>
        </w:rPr>
        <w:t>集团“不忘初心，牢记使命”主题教育培训圆满举行。</w:t>
      </w:r>
      <w:r>
        <w:rPr>
          <w:rFonts w:hint="eastAsia" w:ascii="仿宋" w:hAnsi="仿宋" w:eastAsia="仿宋" w:cs="仿宋"/>
          <w:sz w:val="32"/>
          <w:szCs w:val="32"/>
        </w:rPr>
        <w:t>8月，集团“不忘初心，牢记使命”主题教育培训在井冈山江西干部学院圆满举行。培训班是落实集团年度党建工作要点的重要举措，是即将开展的“不忘初心，牢记使命”主题教育的前奏和重要组成部分，旨在深入学习贯彻习近平新时代中国特色社会主义思想和党的十九大精神，重温井冈山精神，把学习成果转化为推动集团深化改革转型发展的强大精神动力，为开创集团深化改革、转型发展新局面，为建设全国科技创新中心做出更大贡献。</w:t>
      </w:r>
    </w:p>
    <w:p>
      <w:pPr>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本次培训既有专题教学、现场教学，也有体验式教学和与革命先辈后人互动教学，让学员走进历史的深处，身临其境地感悟历史，体验革命先辈艰苦奋斗的精神，培养战胜困难的坚强意志，坚定革命理想信念。</w:t>
      </w:r>
    </w:p>
    <w:p>
      <w:pPr>
        <w:spacing w:line="600" w:lineRule="exact"/>
        <w:ind w:firstLine="640" w:firstLineChars="200"/>
        <w:rPr>
          <w:rFonts w:ascii="仿宋" w:hAnsi="仿宋" w:eastAsia="仿宋" w:cs="仿宋"/>
          <w:sz w:val="32"/>
          <w:szCs w:val="32"/>
        </w:rPr>
      </w:pPr>
      <w:r>
        <w:rPr>
          <w:rFonts w:hint="eastAsia" w:ascii="仿宋" w:hAnsi="仿宋" w:eastAsia="仿宋" w:cs="仿宋"/>
          <w:sz w:val="32"/>
          <w:szCs w:val="32"/>
        </w:rPr>
        <w:t>集团领导班子、集团总部部门负责人、子公司负责人、党员代表和新发展党员共计100余人参加培训。</w:t>
      </w:r>
    </w:p>
    <w:p>
      <w:pPr>
        <w:spacing w:line="480" w:lineRule="exact"/>
        <w:rPr>
          <w:rFonts w:ascii="仿宋_GB2312" w:hAnsi="仿宋_GB2312" w:eastAsia="仿宋_GB2312" w:cs="仿宋_GB2312"/>
          <w:sz w:val="32"/>
          <w:szCs w:val="32"/>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hint="eastAsia"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p>
    <w:p>
      <w:pPr>
        <w:spacing w:line="480" w:lineRule="exact"/>
        <w:rPr>
          <w:rFonts w:ascii="宋体" w:hAnsi="宋体"/>
          <w:sz w:val="24"/>
          <w:szCs w:val="24"/>
        </w:rPr>
      </w:pPr>
      <w:r>
        <w:rPr>
          <w:rFonts w:hint="eastAsia" w:ascii="宋体" w:hAnsi="宋体"/>
          <w:sz w:val="24"/>
          <w:szCs w:val="24"/>
        </w:rPr>
        <w:t>报：和俊，印春</w:t>
      </w:r>
    </w:p>
    <w:p>
      <w:pPr>
        <w:spacing w:line="480" w:lineRule="exact"/>
        <w:ind w:firstLine="480" w:firstLineChars="200"/>
        <w:rPr>
          <w:rFonts w:ascii="宋体" w:hAnsi="宋体"/>
          <w:sz w:val="24"/>
          <w:szCs w:val="24"/>
        </w:rPr>
      </w:pPr>
      <w:r>
        <w:rPr>
          <w:rFonts w:hint="eastAsia" w:ascii="宋体" w:hAnsi="宋体"/>
          <w:sz w:val="24"/>
          <w:szCs w:val="24"/>
        </w:rPr>
        <w:t>市纪委、市委组织部、市直机关工委</w:t>
      </w:r>
    </w:p>
    <w:p>
      <w:pPr>
        <w:spacing w:line="480" w:lineRule="exact"/>
        <w:ind w:firstLine="480" w:firstLineChars="200"/>
        <w:rPr>
          <w:rFonts w:ascii="宋体" w:hAnsi="宋体"/>
          <w:sz w:val="24"/>
          <w:szCs w:val="24"/>
        </w:rPr>
      </w:pPr>
      <w:r>
        <w:rPr>
          <w:rFonts w:hint="eastAsia" w:ascii="宋体" w:hAnsi="宋体"/>
          <w:sz w:val="24"/>
          <w:szCs w:val="24"/>
        </w:rPr>
        <w:t>市委办公厅信息综合室、市政府办公厅信息处</w:t>
      </w:r>
    </w:p>
    <w:p>
      <w:pPr>
        <w:spacing w:line="480" w:lineRule="exact"/>
        <w:ind w:firstLine="480" w:firstLineChars="200"/>
        <w:rPr>
          <w:rFonts w:ascii="宋体" w:hAnsi="宋体"/>
          <w:sz w:val="24"/>
          <w:szCs w:val="24"/>
        </w:rPr>
      </w:pPr>
      <w:r>
        <w:rPr>
          <w:rFonts w:hint="eastAsia" w:ascii="宋体" w:hAnsi="宋体"/>
          <w:sz w:val="24"/>
          <w:szCs w:val="24"/>
        </w:rPr>
        <w:t>中关村管委会</w:t>
      </w:r>
    </w:p>
    <w:p>
      <w:pPr>
        <w:spacing w:line="480" w:lineRule="exact"/>
        <w:ind w:firstLine="480" w:firstLineChars="200"/>
        <w:rPr>
          <w:rFonts w:ascii="宋体" w:hAnsi="宋体"/>
          <w:sz w:val="24"/>
          <w:szCs w:val="24"/>
        </w:rPr>
      </w:pPr>
      <w:r>
        <w:rPr>
          <w:rFonts w:hint="eastAsia" w:ascii="宋体" w:hAnsi="宋体"/>
          <w:sz w:val="24"/>
          <w:szCs w:val="24"/>
        </w:rPr>
        <w:t>集团领导</w:t>
      </w:r>
    </w:p>
    <w:p>
      <w:pPr>
        <w:spacing w:line="480" w:lineRule="exact"/>
        <w:rPr>
          <w:rFonts w:ascii="宋体" w:hAnsi="宋体"/>
          <w:sz w:val="24"/>
          <w:szCs w:val="24"/>
        </w:rPr>
      </w:pPr>
      <w:r>
        <w:rPr>
          <w:rFonts w:hint="eastAsia" w:ascii="宋体" w:hAnsi="宋体"/>
          <w:sz w:val="24"/>
          <w:szCs w:val="24"/>
        </w:rPr>
        <w:t>抄送：海淀街道工委</w:t>
      </w:r>
    </w:p>
    <w:p>
      <w:pPr>
        <w:spacing w:line="480" w:lineRule="exact"/>
        <w:rPr>
          <w:rFonts w:ascii="宋体" w:hAnsi="宋体"/>
          <w:sz w:val="24"/>
          <w:szCs w:val="24"/>
        </w:rPr>
      </w:pPr>
      <w:r>
        <w:rPr>
          <w:rFonts w:hint="eastAsia" w:ascii="宋体" w:hAnsi="宋体"/>
          <w:sz w:val="24"/>
          <w:szCs w:val="24"/>
        </w:rPr>
        <w:t>发：集团各级基层党组织</w:t>
      </w:r>
    </w:p>
    <w:p>
      <w:pPr>
        <w:spacing w:line="480" w:lineRule="exact"/>
        <w:rPr>
          <w:rFonts w:ascii="宋体" w:hAnsi="宋体"/>
          <w:color w:val="000000"/>
          <w:sz w:val="24"/>
          <w:szCs w:val="24"/>
        </w:rPr>
      </w:pPr>
      <w:r>
        <w:rPr>
          <w:rFonts w:ascii="宋体" w:hAnsi="宋体"/>
          <w:color w:val="000000"/>
          <w:sz w:val="24"/>
          <w:szCs w:val="24"/>
        </w:rPr>
        <mc:AlternateContent>
          <mc:Choice Requires="wps">
            <w:drawing>
              <wp:anchor distT="0" distB="0" distL="114300" distR="114300" simplePos="0" relativeHeight="251665408" behindDoc="0" locked="0" layoutInCell="1" allowOverlap="1">
                <wp:simplePos x="0" y="0"/>
                <wp:positionH relativeFrom="column">
                  <wp:posOffset>635</wp:posOffset>
                </wp:positionH>
                <wp:positionV relativeFrom="paragraph">
                  <wp:posOffset>257810</wp:posOffset>
                </wp:positionV>
                <wp:extent cx="5520055" cy="0"/>
                <wp:effectExtent l="0" t="0" r="0" b="0"/>
                <wp:wrapNone/>
                <wp:docPr id="3" name="AutoShape 13"/>
                <wp:cNvGraphicFramePr/>
                <a:graphic xmlns:a="http://schemas.openxmlformats.org/drawingml/2006/main">
                  <a:graphicData uri="http://schemas.microsoft.com/office/word/2010/wordprocessingShape">
                    <wps:wsp>
                      <wps:cNvCnPr/>
                      <wps:spPr>
                        <a:xfrm>
                          <a:off x="0" y="0"/>
                          <a:ext cx="5520055" cy="0"/>
                        </a:xfrm>
                        <a:prstGeom prst="straightConnector1">
                          <a:avLst/>
                        </a:prstGeom>
                        <a:ln w="9525" cap="flat" cmpd="sng">
                          <a:solidFill>
                            <a:srgbClr val="000000"/>
                          </a:solidFill>
                          <a:prstDash val="solid"/>
                          <a:headEnd type="none" w="med" len="med"/>
                          <a:tailEnd type="none" w="med" len="med"/>
                        </a:ln>
                        <a:effectLst/>
                      </wps:spPr>
                      <wps:bodyPr/>
                    </wps:wsp>
                  </a:graphicData>
                </a:graphic>
              </wp:anchor>
            </w:drawing>
          </mc:Choice>
          <mc:Fallback>
            <w:pict>
              <v:shape id="AutoShape 13" o:spid="_x0000_s1026" o:spt="32" type="#_x0000_t32" style="position:absolute;left:0pt;margin-left:0.05pt;margin-top:20.3pt;height:0pt;width:434.65pt;z-index:251665408;mso-width-relative:page;mso-height-relative:page;" filled="f" stroked="t" coordsize="21600,21600" o:gfxdata="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93pT0wAAAAYBAAAPAAAAAAAAAAEAIAAAACIAAABkcnMvZG93bnJl&#10;di54bWxQSwECFAAUAAAACACHTuJAoIxbackBAAChAwAADgAAAAAAAAABACAAAAAiAQAAZHJzL2Uy&#10;b0RvYy54bWxQSwUGAAAAAAYABgBZAQAAXQUAAAAA&#10;">
                <v:fill on="f" focussize="0,0"/>
                <v:stroke color="#000000" joinstyle="round"/>
                <v:imagedata o:title=""/>
                <o:lock v:ext="edit" aspectratio="f"/>
              </v:shape>
            </w:pict>
          </mc:Fallback>
        </mc:AlternateContent>
      </w:r>
    </w:p>
    <w:p>
      <w:pPr>
        <w:spacing w:line="480" w:lineRule="exact"/>
        <w:rPr>
          <w:rFonts w:ascii="宋体" w:hAnsi="宋体"/>
          <w:sz w:val="24"/>
          <w:szCs w:val="24"/>
        </w:rPr>
      </w:pPr>
      <w:r>
        <w:rPr>
          <w:rFonts w:hint="eastAsia" w:ascii="宋体" w:hAnsi="宋体"/>
          <w:color w:val="000000"/>
          <w:sz w:val="24"/>
          <w:szCs w:val="24"/>
        </w:rPr>
        <w:t>编校：项鹏  梁晓雪</w:t>
      </w:r>
      <w:r>
        <w:rPr>
          <w:rFonts w:hint="eastAsia" w:ascii="宋体" w:hAnsi="宋体"/>
          <w:sz w:val="24"/>
          <w:szCs w:val="24"/>
        </w:rPr>
        <w:t xml:space="preserve">                                       核签：王明兰</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05127"/>
    </w:sdtPr>
    <w:sdtContent>
      <w:p>
        <w:pPr>
          <w:pStyle w:val="4"/>
          <w:jc w:val="center"/>
        </w:pPr>
        <w:r>
          <w:fldChar w:fldCharType="begin"/>
        </w:r>
        <w:r>
          <w:instrText xml:space="preserve"> PAGE   \* MERGEFORMAT </w:instrText>
        </w:r>
        <w:r>
          <w:fldChar w:fldCharType="separate"/>
        </w:r>
        <w:r>
          <w:rPr>
            <w:lang w:val="zh-CN"/>
          </w:rPr>
          <w:t>2</w:t>
        </w:r>
        <w:r>
          <w:rPr>
            <w:lang w:val="zh-CN"/>
          </w:rPr>
          <w:fldChar w:fldCharType="end"/>
        </w:r>
      </w:p>
    </w:sdtContent>
  </w:sdt>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5A9"/>
    <w:rsid w:val="00006D80"/>
    <w:rsid w:val="000C2FF8"/>
    <w:rsid w:val="000F173A"/>
    <w:rsid w:val="001A06D8"/>
    <w:rsid w:val="001A1481"/>
    <w:rsid w:val="001E10B2"/>
    <w:rsid w:val="00241511"/>
    <w:rsid w:val="00245C87"/>
    <w:rsid w:val="00277F39"/>
    <w:rsid w:val="002955A9"/>
    <w:rsid w:val="002F3739"/>
    <w:rsid w:val="003161FE"/>
    <w:rsid w:val="00324FEB"/>
    <w:rsid w:val="00372E34"/>
    <w:rsid w:val="00375D7D"/>
    <w:rsid w:val="00395203"/>
    <w:rsid w:val="003C19B9"/>
    <w:rsid w:val="00413420"/>
    <w:rsid w:val="00425A68"/>
    <w:rsid w:val="00430CE1"/>
    <w:rsid w:val="0045203E"/>
    <w:rsid w:val="00455808"/>
    <w:rsid w:val="0046528F"/>
    <w:rsid w:val="004817BB"/>
    <w:rsid w:val="00484985"/>
    <w:rsid w:val="004E7AC5"/>
    <w:rsid w:val="005309A6"/>
    <w:rsid w:val="00561764"/>
    <w:rsid w:val="005A61FE"/>
    <w:rsid w:val="00651A23"/>
    <w:rsid w:val="00677D57"/>
    <w:rsid w:val="006B028D"/>
    <w:rsid w:val="00712B3C"/>
    <w:rsid w:val="007132B3"/>
    <w:rsid w:val="00737574"/>
    <w:rsid w:val="00755A48"/>
    <w:rsid w:val="00755C3E"/>
    <w:rsid w:val="00756623"/>
    <w:rsid w:val="007C16AC"/>
    <w:rsid w:val="007F033A"/>
    <w:rsid w:val="008132D2"/>
    <w:rsid w:val="00824312"/>
    <w:rsid w:val="00885575"/>
    <w:rsid w:val="00894271"/>
    <w:rsid w:val="008C5228"/>
    <w:rsid w:val="009422C3"/>
    <w:rsid w:val="00A25C3F"/>
    <w:rsid w:val="00A42007"/>
    <w:rsid w:val="00A50A2D"/>
    <w:rsid w:val="00B00850"/>
    <w:rsid w:val="00B0579E"/>
    <w:rsid w:val="00B6137E"/>
    <w:rsid w:val="00B87FF3"/>
    <w:rsid w:val="00BA0003"/>
    <w:rsid w:val="00BC0ECC"/>
    <w:rsid w:val="00BC147E"/>
    <w:rsid w:val="00C14C1D"/>
    <w:rsid w:val="00CA2AC5"/>
    <w:rsid w:val="00CF0AA4"/>
    <w:rsid w:val="00DD587C"/>
    <w:rsid w:val="00DF3FD2"/>
    <w:rsid w:val="00E608AD"/>
    <w:rsid w:val="00E9372E"/>
    <w:rsid w:val="00EB294E"/>
    <w:rsid w:val="00F90FDB"/>
    <w:rsid w:val="00FD4750"/>
    <w:rsid w:val="10DE08B3"/>
    <w:rsid w:val="17996FD4"/>
    <w:rsid w:val="1804741F"/>
    <w:rsid w:val="19872FEE"/>
    <w:rsid w:val="1ACE7923"/>
    <w:rsid w:val="2B760C96"/>
    <w:rsid w:val="3C3D6B3C"/>
    <w:rsid w:val="49C402CE"/>
    <w:rsid w:val="4A1D2A24"/>
    <w:rsid w:val="56133044"/>
    <w:rsid w:val="58461652"/>
    <w:rsid w:val="5FB50C12"/>
    <w:rsid w:val="6C576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1"/>
    <w:unhideWhenUsed/>
    <w:qFormat/>
    <w:uiPriority w:val="99"/>
    <w:rPr>
      <w:sz w:val="18"/>
      <w:szCs w:val="18"/>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6"/>
    <w:link w:val="5"/>
    <w:semiHidden/>
    <w:qFormat/>
    <w:uiPriority w:val="99"/>
    <w:rPr>
      <w:sz w:val="18"/>
      <w:szCs w:val="18"/>
    </w:rPr>
  </w:style>
  <w:style w:type="character" w:customStyle="1" w:styleId="9">
    <w:name w:val="页脚 Char"/>
    <w:basedOn w:val="6"/>
    <w:link w:val="4"/>
    <w:qFormat/>
    <w:uiPriority w:val="99"/>
    <w:rPr>
      <w:sz w:val="18"/>
      <w:szCs w:val="18"/>
    </w:rPr>
  </w:style>
  <w:style w:type="character" w:customStyle="1" w:styleId="10">
    <w:name w:val="标题 2 Char"/>
    <w:basedOn w:val="6"/>
    <w:link w:val="2"/>
    <w:qFormat/>
    <w:uiPriority w:val="9"/>
    <w:rPr>
      <w:rFonts w:asciiTheme="majorHAnsi" w:hAnsiTheme="majorHAnsi" w:eastAsiaTheme="majorEastAsia" w:cstheme="majorBidi"/>
      <w:b/>
      <w:bCs/>
      <w:sz w:val="32"/>
      <w:szCs w:val="32"/>
    </w:rPr>
  </w:style>
  <w:style w:type="character" w:customStyle="1" w:styleId="11">
    <w:name w:val="批注框文本 Char"/>
    <w:basedOn w:val="6"/>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437</Words>
  <Characters>2495</Characters>
  <Lines>20</Lines>
  <Paragraphs>5</Paragraphs>
  <TotalTime>13</TotalTime>
  <ScaleCrop>false</ScaleCrop>
  <LinksUpToDate>false</LinksUpToDate>
  <CharactersWithSpaces>2927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2017-09-15T01:16:00Z</dcterms:created>
  <dc:creator>伍孟然</dc:creator>
  <cp:lastModifiedBy>梁晓雪</cp:lastModifiedBy>
  <cp:lastPrinted>2018-04-04T09:39:00Z</cp:lastPrinted>
  <dcterms:modified xsi:type="dcterms:W3CDTF">2018-09-13T03:19:05Z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