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中发展党委〔2018〕11号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560" w:lineRule="exact"/>
        <w:jc w:val="center"/>
        <w:rPr>
          <w:rFonts w:ascii="方正小标宋简体" w:eastAsia="方正小标宋简体"/>
          <w:sz w:val="44"/>
        </w:rPr>
      </w:pPr>
      <w:r>
        <w:rPr>
          <w:rFonts w:hint="eastAsia" w:ascii="方正小标宋简体" w:eastAsia="方正小标宋简体"/>
          <w:sz w:val="44"/>
        </w:rPr>
        <w:t>中共中关村发展集团党委</w:t>
      </w:r>
    </w:p>
    <w:p>
      <w:pPr>
        <w:spacing w:line="600" w:lineRule="exact"/>
        <w:jc w:val="center"/>
        <w:outlineLvl w:val="0"/>
        <w:rPr>
          <w:rFonts w:ascii="方正小标宋简体" w:hAnsi="黑体" w:eastAsia="方正小标宋简体"/>
          <w:sz w:val="44"/>
          <w:szCs w:val="44"/>
        </w:rPr>
      </w:pPr>
      <w:bookmarkStart w:id="0" w:name="_GoBack"/>
      <w:bookmarkEnd w:id="0"/>
      <w:r>
        <w:rPr>
          <w:rFonts w:hint="eastAsia" w:ascii="方正小标宋简体" w:eastAsia="方正小标宋简体"/>
          <w:sz w:val="44"/>
          <w:szCs w:val="44"/>
        </w:rPr>
        <w:t>关于印发《</w:t>
      </w:r>
      <w:r>
        <w:rPr>
          <w:rFonts w:hint="eastAsia" w:ascii="方正小标宋简体" w:hAnsi="黑体" w:eastAsia="方正小标宋简体"/>
          <w:sz w:val="44"/>
          <w:szCs w:val="44"/>
        </w:rPr>
        <w:t>关于明确区企共管子公司党建工作主体责任理顺管控关系的实施方案</w:t>
      </w:r>
      <w:r>
        <w:rPr>
          <w:rFonts w:hint="eastAsia" w:ascii="方正小标宋简体" w:eastAsia="方正小标宋简体"/>
          <w:sz w:val="44"/>
          <w:szCs w:val="44"/>
        </w:rPr>
        <w:t>》的通知</w:t>
      </w:r>
    </w:p>
    <w:p>
      <w:pPr>
        <w:spacing w:line="600" w:lineRule="exact"/>
        <w:rPr>
          <w:rFonts w:ascii="仿宋_GB2312" w:eastAsia="仿宋_GB2312"/>
          <w:sz w:val="32"/>
          <w:szCs w:val="32"/>
        </w:rPr>
      </w:pPr>
    </w:p>
    <w:p>
      <w:pPr>
        <w:spacing w:line="600" w:lineRule="exact"/>
        <w:rPr>
          <w:rFonts w:ascii="楷体" w:hAnsi="楷体" w:eastAsia="楷体"/>
          <w:sz w:val="32"/>
          <w:szCs w:val="32"/>
        </w:rPr>
      </w:pPr>
      <w:r>
        <w:rPr>
          <w:rFonts w:hint="eastAsia" w:ascii="楷体" w:hAnsi="楷体" w:eastAsia="楷体"/>
          <w:sz w:val="32"/>
          <w:szCs w:val="32"/>
        </w:rPr>
        <w:t>集团各部（室）、子公司:</w:t>
      </w:r>
    </w:p>
    <w:p>
      <w:pPr>
        <w:spacing w:line="600" w:lineRule="exact"/>
        <w:ind w:firstLine="480" w:firstLineChars="150"/>
        <w:rPr>
          <w:rFonts w:ascii="楷体" w:hAnsi="楷体" w:eastAsia="楷体"/>
          <w:sz w:val="32"/>
          <w:szCs w:val="32"/>
        </w:rPr>
      </w:pPr>
      <w:r>
        <w:rPr>
          <w:rFonts w:hint="eastAsia" w:ascii="楷体" w:hAnsi="楷体" w:eastAsia="楷体"/>
          <w:sz w:val="32"/>
          <w:szCs w:val="32"/>
        </w:rPr>
        <w:t>《关于明确区企共管子公司党建工作主体责任理顺管控关系的实施方案》已经集团党委会研究通过，现予印发，请遵照执行。</w:t>
      </w:r>
    </w:p>
    <w:p>
      <w:pPr>
        <w:spacing w:line="600" w:lineRule="exact"/>
        <w:ind w:firstLine="640" w:firstLineChars="200"/>
        <w:jc w:val="left"/>
        <w:rPr>
          <w:rFonts w:hint="eastAsia" w:ascii="仿宋" w:hAnsi="仿宋" w:eastAsia="仿宋" w:cs="仿宋_GB2312"/>
          <w:bCs/>
          <w:sz w:val="32"/>
          <w:szCs w:val="32"/>
        </w:rPr>
      </w:pPr>
    </w:p>
    <w:p>
      <w:pPr>
        <w:spacing w:line="600" w:lineRule="exact"/>
        <w:ind w:firstLine="640" w:firstLineChars="200"/>
        <w:jc w:val="left"/>
        <w:rPr>
          <w:rFonts w:hint="eastAsia" w:ascii="仿宋" w:hAnsi="仿宋" w:eastAsia="仿宋" w:cs="仿宋_GB2312"/>
          <w:bCs/>
          <w:sz w:val="32"/>
          <w:szCs w:val="32"/>
        </w:rPr>
      </w:pPr>
    </w:p>
    <w:p>
      <w:pPr>
        <w:spacing w:line="600" w:lineRule="exact"/>
        <w:ind w:firstLine="640" w:firstLineChars="200"/>
        <w:jc w:val="left"/>
        <w:rPr>
          <w:rFonts w:hint="eastAsia" w:ascii="仿宋" w:hAnsi="仿宋" w:eastAsia="仿宋" w:cs="仿宋_GB2312"/>
          <w:bCs/>
          <w:sz w:val="32"/>
          <w:szCs w:val="32"/>
        </w:rPr>
      </w:pPr>
    </w:p>
    <w:p>
      <w:pPr>
        <w:spacing w:line="600" w:lineRule="exact"/>
        <w:ind w:firstLine="4480" w:firstLineChars="1400"/>
        <w:rPr>
          <w:rFonts w:ascii="楷体" w:hAnsi="楷体" w:eastAsia="楷体"/>
          <w:sz w:val="32"/>
          <w:szCs w:val="32"/>
        </w:rPr>
      </w:pPr>
      <w:r>
        <w:rPr>
          <w:rFonts w:hint="eastAsia" w:ascii="楷体" w:hAnsi="楷体" w:eastAsia="楷体"/>
          <w:sz w:val="32"/>
          <w:szCs w:val="32"/>
        </w:rPr>
        <w:t>中关村发展集团党委</w:t>
      </w:r>
    </w:p>
    <w:p>
      <w:pPr>
        <w:spacing w:line="600" w:lineRule="exact"/>
        <w:ind w:firstLine="4640" w:firstLineChars="1450"/>
        <w:rPr>
          <w:rFonts w:ascii="楷体" w:hAnsi="楷体" w:eastAsia="楷体"/>
          <w:sz w:val="32"/>
          <w:szCs w:val="32"/>
        </w:rPr>
      </w:pPr>
      <w:r>
        <w:rPr>
          <w:rFonts w:hint="eastAsia" w:ascii="楷体" w:hAnsi="楷体" w:eastAsia="楷体"/>
          <w:sz w:val="32"/>
          <w:szCs w:val="32"/>
        </w:rPr>
        <w:t>2018年3月5日</w:t>
      </w:r>
    </w:p>
    <w:p>
      <w:pPr>
        <w:spacing w:line="600" w:lineRule="exact"/>
        <w:jc w:val="left"/>
        <w:rPr>
          <w:rFonts w:ascii="仿宋" w:hAnsi="仿宋" w:eastAsia="仿宋" w:cs="仿宋_GB2312"/>
          <w:bCs/>
          <w:sz w:val="32"/>
          <w:szCs w:val="32"/>
        </w:rPr>
      </w:pPr>
    </w:p>
    <w:p>
      <w:pPr>
        <w:spacing w:line="580" w:lineRule="exact"/>
        <w:jc w:val="center"/>
        <w:outlineLvl w:val="0"/>
        <w:rPr>
          <w:rFonts w:ascii="方正小标宋简体" w:hAnsi="黑体" w:eastAsia="方正小标宋简体"/>
          <w:sz w:val="44"/>
          <w:szCs w:val="44"/>
        </w:rPr>
      </w:pPr>
      <w:r>
        <w:rPr>
          <w:rFonts w:hint="eastAsia" w:ascii="方正小标宋简体" w:hAnsi="黑体" w:eastAsia="方正小标宋简体"/>
          <w:sz w:val="44"/>
          <w:szCs w:val="44"/>
        </w:rPr>
        <w:t>关于明确区企共管子公司党建工作主体责任理顺管控关系的实施方案</w:t>
      </w:r>
    </w:p>
    <w:p>
      <w:pPr>
        <w:spacing w:line="580" w:lineRule="exact"/>
        <w:ind w:left="10" w:leftChars="5" w:firstLine="640" w:firstLineChars="200"/>
        <w:outlineLvl w:val="0"/>
        <w:rPr>
          <w:rFonts w:ascii="仿宋_GB2312" w:hAnsi="黑体" w:eastAsia="仿宋_GB2312"/>
          <w:sz w:val="32"/>
          <w:szCs w:val="32"/>
        </w:rPr>
      </w:pP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为深入贯彻落实党的十九大精神，明确集团党委从严治党和党风廉政建设的主体责任，落实市委巡视组对集团工作整改意见，根据市委关于“国有控股企业党组织，由控股方党组织管理”有关规定，现就明确区企共管子公司党建主体责任，理顺管控关系等相关工作制定如下实施方案。</w:t>
      </w:r>
    </w:p>
    <w:p>
      <w:pPr>
        <w:spacing w:line="580" w:lineRule="exact"/>
        <w:ind w:left="10" w:leftChars="5" w:firstLine="640" w:firstLineChars="200"/>
        <w:outlineLvl w:val="0"/>
        <w:rPr>
          <w:rFonts w:ascii="黑体" w:hAnsi="黑体" w:eastAsia="黑体"/>
          <w:sz w:val="32"/>
          <w:szCs w:val="32"/>
        </w:rPr>
      </w:pPr>
      <w:r>
        <w:rPr>
          <w:rFonts w:hint="eastAsia" w:ascii="黑体" w:hAnsi="黑体" w:eastAsia="黑体"/>
          <w:sz w:val="32"/>
          <w:szCs w:val="32"/>
        </w:rPr>
        <w:t>一、总体目标</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明确区企共管子公司党建工作主体责任，加强区企共管子公司党组织规范化建设，理顺管控关系。</w:t>
      </w:r>
    </w:p>
    <w:p>
      <w:pPr>
        <w:spacing w:line="580" w:lineRule="exact"/>
        <w:ind w:left="10" w:leftChars="5" w:firstLine="640" w:firstLineChars="200"/>
        <w:outlineLvl w:val="0"/>
        <w:rPr>
          <w:rFonts w:ascii="黑体" w:hAnsi="黑体" w:eastAsia="黑体"/>
          <w:sz w:val="32"/>
          <w:szCs w:val="32"/>
        </w:rPr>
      </w:pPr>
      <w:r>
        <w:rPr>
          <w:rFonts w:hint="eastAsia" w:ascii="黑体" w:hAnsi="黑体" w:eastAsia="黑体"/>
          <w:sz w:val="32"/>
          <w:szCs w:val="32"/>
        </w:rPr>
        <w:t>二、工作原则</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按照尊重历史、循序渐进，个别突破、以点带面，统筹兼顾加快企业改革和管理重组的原则，进一步加强区企共管子公司党建工作，以党的政治建设为统领，全面推进党的政治建设、思想建设、组织建设、作风建设、纪律建设，把制度建设贯穿其中，深入推进反腐败斗争，全面提高党的建设科学化水平。</w:t>
      </w:r>
    </w:p>
    <w:p>
      <w:pPr>
        <w:spacing w:line="580" w:lineRule="exact"/>
        <w:ind w:left="10" w:leftChars="5" w:firstLine="640" w:firstLineChars="200"/>
        <w:outlineLvl w:val="0"/>
        <w:rPr>
          <w:rFonts w:ascii="仿宋_GB2312" w:hAnsi="Calibri" w:eastAsia="仿宋_GB2312"/>
          <w:sz w:val="32"/>
          <w:szCs w:val="32"/>
        </w:rPr>
      </w:pPr>
      <w:r>
        <w:rPr>
          <w:rFonts w:hint="eastAsia" w:ascii="仿宋" w:hAnsi="仿宋" w:eastAsia="仿宋"/>
          <w:sz w:val="32"/>
          <w:szCs w:val="32"/>
        </w:rPr>
        <w:t>按照“一区一策”原则，有针对性地制定区企共管子公司党建主体责任方案；按照“一区一企”原则，集团在各区保留一个与区里共建的合作平台公司，集团保持控股地位，合作公司董事长由集团选派，总经理人选可由区里推荐与市场化选聘相结合方式产生，由董事会聘任和考核。</w:t>
      </w:r>
    </w:p>
    <w:p>
      <w:pPr>
        <w:spacing w:line="580" w:lineRule="exact"/>
        <w:ind w:left="10" w:leftChars="5" w:firstLine="640" w:firstLineChars="200"/>
        <w:outlineLvl w:val="0"/>
        <w:rPr>
          <w:rFonts w:ascii="黑体" w:hAnsi="黑体" w:eastAsia="黑体"/>
          <w:sz w:val="32"/>
          <w:szCs w:val="32"/>
        </w:rPr>
      </w:pPr>
      <w:r>
        <w:rPr>
          <w:rFonts w:hint="eastAsia" w:ascii="黑体" w:hAnsi="黑体" w:eastAsia="黑体"/>
          <w:sz w:val="32"/>
          <w:szCs w:val="32"/>
        </w:rPr>
        <w:t>三、主要任务</w:t>
      </w:r>
    </w:p>
    <w:p>
      <w:pPr>
        <w:spacing w:line="580" w:lineRule="exact"/>
        <w:ind w:left="10" w:leftChars="5" w:firstLine="640" w:firstLineChars="200"/>
        <w:outlineLvl w:val="0"/>
        <w:rPr>
          <w:rFonts w:ascii="楷体" w:hAnsi="楷体" w:eastAsia="楷体"/>
          <w:sz w:val="32"/>
          <w:szCs w:val="32"/>
        </w:rPr>
      </w:pPr>
      <w:r>
        <w:rPr>
          <w:rFonts w:hint="eastAsia" w:ascii="楷体" w:hAnsi="楷体" w:eastAsia="楷体"/>
          <w:sz w:val="32"/>
          <w:szCs w:val="32"/>
        </w:rPr>
        <w:t>（一）明确集团党委主体责任</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将明确集团党委从严治党的主体责任，加强区企共管子公司党组织规范化建设工作纳入到集团党建工作领导小组和集团党风廉政建设领导小组的2018年度重点工作任务中，明确任务分工、实施主体和工作时限，确保在集团党委的统一领导下，责任到位，按时推进，保障落实。共管子公司党组织规范化建设工作纳入集团年度党建、党风廉政建设责任制检查考核范围，与集团其他子公司一样同部署、同检查、同考核。</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共管子公司党组织负责人按要求参加集团党委理论中心组学习（扩大）会、年度工作会议等集团重要工作会议。加强对党组织负责人思想政治和教育培训管理工作。集团党委要定期听取共管子公司党组织负责人关于党建工作汇报。</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要加强纪检监察工作的业务指导。建立工作联系，传达纪检监察工作的新要求、新部署，督促共管子公司配齐纪检监察员，加强业务培训。指导企业纪检监察工作步入规范化轨道。</w:t>
      </w:r>
    </w:p>
    <w:p>
      <w:pPr>
        <w:spacing w:line="580" w:lineRule="exact"/>
        <w:ind w:left="10" w:leftChars="5" w:firstLine="640" w:firstLineChars="200"/>
        <w:outlineLvl w:val="0"/>
        <w:rPr>
          <w:rFonts w:ascii="楷体" w:hAnsi="楷体" w:eastAsia="楷体"/>
          <w:sz w:val="32"/>
          <w:szCs w:val="32"/>
        </w:rPr>
      </w:pPr>
      <w:r>
        <w:rPr>
          <w:rFonts w:hint="eastAsia" w:ascii="楷体" w:hAnsi="楷体" w:eastAsia="楷体"/>
          <w:sz w:val="32"/>
          <w:szCs w:val="32"/>
        </w:rPr>
        <w:t>（二）落实集团党委领导班子党建基层联系点制度</w:t>
      </w:r>
    </w:p>
    <w:p>
      <w:pPr>
        <w:spacing w:line="580" w:lineRule="exact"/>
        <w:ind w:left="10" w:leftChars="5" w:firstLine="640" w:firstLineChars="200"/>
        <w:outlineLvl w:val="0"/>
        <w:rPr>
          <w:rFonts w:ascii="仿宋_GB2312" w:hAnsi="仿宋" w:eastAsia="仿宋_GB2312"/>
          <w:sz w:val="32"/>
          <w:szCs w:val="32"/>
        </w:rPr>
      </w:pPr>
      <w:r>
        <w:rPr>
          <w:rFonts w:hint="eastAsia" w:ascii="仿宋" w:hAnsi="仿宋" w:eastAsia="仿宋"/>
          <w:sz w:val="32"/>
          <w:szCs w:val="32"/>
        </w:rPr>
        <w:t>2018年，将加强对区企共管子公司党组织规范化建设工作的调研，全面了解企业干部队伍和党风廉政建设工作情况。通过深入调研、充分沟通，加强规范化建设，统一思想，形成共识、凝聚力量，为实现共管子公司党组织关系整建制转入集团打下扎</w:t>
      </w:r>
      <w:r>
        <w:rPr>
          <w:rFonts w:hint="eastAsia" w:ascii="仿宋_GB2312" w:hAnsi="仿宋" w:eastAsia="仿宋_GB2312"/>
          <w:sz w:val="32"/>
          <w:szCs w:val="32"/>
        </w:rPr>
        <w:t>实基础。</w:t>
      </w:r>
    </w:p>
    <w:p>
      <w:pPr>
        <w:spacing w:line="580" w:lineRule="exact"/>
        <w:ind w:left="10" w:leftChars="5" w:firstLine="640" w:firstLineChars="200"/>
        <w:outlineLvl w:val="0"/>
        <w:rPr>
          <w:rFonts w:ascii="楷体" w:hAnsi="楷体" w:eastAsia="楷体"/>
          <w:sz w:val="32"/>
          <w:szCs w:val="32"/>
        </w:rPr>
      </w:pPr>
      <w:r>
        <w:rPr>
          <w:rFonts w:hint="eastAsia" w:ascii="楷体" w:hAnsi="楷体" w:eastAsia="楷体"/>
          <w:sz w:val="32"/>
          <w:szCs w:val="32"/>
        </w:rPr>
        <w:t>（三）加强集团经营管理体系规范化建设</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从2018年起，集团将进一步加强经营管理体系规范化建设，把区企共管子公司全面纳入集团的战略管理、业务管理、财税国资管理、内审内控风险管理、组织和人力资源管理、品牌宣传管理、纪检监察管理、工会党群管理等经营管理体系建设工作中。</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一是将各区企共管子公司纳入集团“十三五”规划、集团年度经营计划工作；修订集团子公司负责人绩效考核办理办法，试行将区企共管子公司纳入集团绩效考核工作范围。</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二是规范共管子公司业务管理，实施修订后《集团园区建设管理办法》，努力提升区企共管子公司业务、提高工作效率。加强工作主动对接，加大对区企共管子公司的在园区发展和业务全方面的管理和服务。</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三是严格落实北京市及集团关于财政、税务、国资等工作有关规定，继续加强共管子公司的预算、决算以及后期转入职责范围的资产评估及核准（备案）、产权登记及国资交易等财务和国资日常管理工作。</w:t>
      </w:r>
    </w:p>
    <w:p>
      <w:pPr>
        <w:spacing w:line="580" w:lineRule="exact"/>
        <w:ind w:left="10" w:leftChars="5" w:firstLine="640" w:firstLineChars="200"/>
        <w:outlineLvl w:val="0"/>
        <w:rPr>
          <w:rFonts w:ascii="仿宋_GB2312" w:hAnsi="仿宋" w:eastAsia="仿宋_GB2312"/>
          <w:sz w:val="32"/>
          <w:szCs w:val="32"/>
        </w:rPr>
      </w:pPr>
      <w:r>
        <w:rPr>
          <w:rFonts w:hint="eastAsia" w:ascii="仿宋" w:hAnsi="仿宋" w:eastAsia="仿宋"/>
          <w:sz w:val="32"/>
          <w:szCs w:val="32"/>
        </w:rPr>
        <w:t>四是落实集团“十三五”风险管理体系建设子规划，推动各共管子公司开展制度流程的梳理与优化等内控建设基础工作、组织开展内控自评价与内部控制体系完善工作，并适时对各单位的内控建设与执行情况进行检查。按照集团审计管理制度要求，开展对共管子公司主要负责人的经济责任审计和对共管子公司的内部审计，实现一定周期内对共管子公司的审计全覆盖。</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四、重点工作安排</w:t>
      </w:r>
    </w:p>
    <w:p>
      <w:pPr>
        <w:spacing w:line="580" w:lineRule="exact"/>
        <w:ind w:left="10" w:leftChars="5" w:firstLine="640" w:firstLineChars="200"/>
        <w:outlineLvl w:val="0"/>
        <w:rPr>
          <w:rFonts w:ascii="楷体" w:hAnsi="楷体" w:eastAsia="楷体"/>
          <w:sz w:val="32"/>
          <w:szCs w:val="32"/>
        </w:rPr>
      </w:pPr>
      <w:r>
        <w:rPr>
          <w:rFonts w:hint="eastAsia" w:ascii="楷体" w:hAnsi="楷体" w:eastAsia="楷体"/>
          <w:sz w:val="32"/>
          <w:szCs w:val="32"/>
        </w:rPr>
        <w:t>（一）2018年重点工作</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1.审计工作</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2018年上半年，风险管理部将根据《公司法》、国家和北京市相关规定及《公司章程》规定开展区企共管子公司经营与财务专项审计工作，对各单位的经营情况和内部管理情况等进行摸底。</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2.纪检监察工作</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一是摸清底数。加强调研，了解企业干部队伍情况和党风廉政建设工作情况。</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二是加强指导。建立工作联系，传达纪检监察工作的新要求、新部署，配齐纪检监察员，加强业务培训。指导企业纪检监察工作步入规范化轨道。</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三是跟进检查集团党委做出的重大决策部署落实情况，对自行其是、各自为政、有令不行、有禁不止、工作拖沓、落实不力的要进行监督执纪问责。</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四是纳入集团党风廉政建设责任制检查考核范围，与集团控股子公司同部署、同检查、同考核。</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3.明确党建主体责任工作</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一是党建工作调研阶段，深入调研分析9家区企共管子公司党建工作现状、存在的问题及下一步工作安排，在调研中与相关子公司进一步交换意见、统一思想，凝聚加强区企共管子公司党建工作的共识。</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二是以点促面试点阶段，与9家区企共管子公司上级党组织就党组织关系整建制转入相关工作开展协商与沟通，共同制定下一步工作任务安排与时间表，进一步理顺子公司党组织管理体系，逐步将具备条件的企业党组织关系转入集团，也可根据实际情况，先行将部分区企共管子公司领导干部、党员的思想政治和教育培训等工作纳入管理（如组织相关子公司主要负责人参加集团学习贯彻党的十九大精神集中培训活动）。</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三是全面加强党建工作阶段，逐步将相关企业党组织关系整建制转入集团，进一步加强区企共管子公司党建工作的全面管理，全面落实党建工作主体责任。</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4.在对区企共管子公司进行深入调研、摸清底数的基础上，进一步明确思路，选择一个区或一个企业作为推进试点，从资产整合、业务整合、党建及人事管理等统筹考虑制定方案，并与区里进行研究对接，推动落地实施，形成示范引领，实现突破。</w:t>
      </w:r>
    </w:p>
    <w:p>
      <w:pPr>
        <w:spacing w:line="580" w:lineRule="exact"/>
        <w:ind w:firstLine="640" w:firstLineChars="200"/>
        <w:rPr>
          <w:rFonts w:ascii="楷体" w:hAnsi="楷体" w:eastAsia="楷体"/>
          <w:sz w:val="32"/>
          <w:szCs w:val="32"/>
        </w:rPr>
      </w:pPr>
      <w:r>
        <w:rPr>
          <w:rFonts w:hint="eastAsia" w:ascii="楷体" w:hAnsi="楷体" w:eastAsia="楷体"/>
          <w:sz w:val="32"/>
          <w:szCs w:val="32"/>
        </w:rPr>
        <w:t>（二）“十三五”中后期工作</w:t>
      </w:r>
    </w:p>
    <w:p>
      <w:pPr>
        <w:spacing w:line="580" w:lineRule="exact"/>
        <w:ind w:left="10" w:leftChars="5" w:firstLine="640" w:firstLineChars="200"/>
        <w:outlineLvl w:val="0"/>
        <w:rPr>
          <w:rFonts w:ascii="仿宋" w:hAnsi="仿宋" w:eastAsia="仿宋"/>
          <w:sz w:val="32"/>
          <w:szCs w:val="32"/>
        </w:rPr>
      </w:pPr>
      <w:r>
        <w:rPr>
          <w:rFonts w:hint="eastAsia" w:ascii="仿宋" w:hAnsi="仿宋" w:eastAsia="仿宋"/>
          <w:sz w:val="32"/>
          <w:szCs w:val="32"/>
        </w:rPr>
        <w:t>在集团“十三五”规划中期调整工作中，继续加强区企共管子公司党建工作的相关任务规划，突出重点任务和实施落实关键节点，确保各项工作落实到位。</w:t>
      </w:r>
    </w:p>
    <w:p>
      <w:pPr>
        <w:spacing w:line="560" w:lineRule="exact"/>
        <w:rPr>
          <w:rFonts w:hint="eastAsia"/>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2018年3月13日印发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6 -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mB4lvsXtE/wlVzQlcT6mm30j2fE=" w:salt="cPj24atWaJnvZZY+BxiKJ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A03F2"/>
    <w:rsid w:val="000C22F9"/>
    <w:rsid w:val="000F6B88"/>
    <w:rsid w:val="00115E4D"/>
    <w:rsid w:val="0012608E"/>
    <w:rsid w:val="00153F1D"/>
    <w:rsid w:val="001548E3"/>
    <w:rsid w:val="00182614"/>
    <w:rsid w:val="001E1756"/>
    <w:rsid w:val="001E736F"/>
    <w:rsid w:val="001F353F"/>
    <w:rsid w:val="002001FB"/>
    <w:rsid w:val="0021553C"/>
    <w:rsid w:val="00223B85"/>
    <w:rsid w:val="00251461"/>
    <w:rsid w:val="002729F2"/>
    <w:rsid w:val="00274FAD"/>
    <w:rsid w:val="00295E51"/>
    <w:rsid w:val="00296CD9"/>
    <w:rsid w:val="002B54E0"/>
    <w:rsid w:val="00365D98"/>
    <w:rsid w:val="00373224"/>
    <w:rsid w:val="00381B9D"/>
    <w:rsid w:val="003A3404"/>
    <w:rsid w:val="003A488D"/>
    <w:rsid w:val="003A6689"/>
    <w:rsid w:val="003B716B"/>
    <w:rsid w:val="003F25C5"/>
    <w:rsid w:val="0045027A"/>
    <w:rsid w:val="00492E83"/>
    <w:rsid w:val="004975B0"/>
    <w:rsid w:val="004A3A15"/>
    <w:rsid w:val="004A7B0D"/>
    <w:rsid w:val="004D1DA3"/>
    <w:rsid w:val="00515EA2"/>
    <w:rsid w:val="00526670"/>
    <w:rsid w:val="00532371"/>
    <w:rsid w:val="00537654"/>
    <w:rsid w:val="0055282D"/>
    <w:rsid w:val="005615A2"/>
    <w:rsid w:val="00561894"/>
    <w:rsid w:val="005A1D60"/>
    <w:rsid w:val="005D0D5F"/>
    <w:rsid w:val="00601477"/>
    <w:rsid w:val="00605BAE"/>
    <w:rsid w:val="00640838"/>
    <w:rsid w:val="0064716B"/>
    <w:rsid w:val="006613F6"/>
    <w:rsid w:val="00663AAD"/>
    <w:rsid w:val="006723B9"/>
    <w:rsid w:val="00682D49"/>
    <w:rsid w:val="00692804"/>
    <w:rsid w:val="006A3698"/>
    <w:rsid w:val="00701A6B"/>
    <w:rsid w:val="00726B18"/>
    <w:rsid w:val="00735751"/>
    <w:rsid w:val="00735FF9"/>
    <w:rsid w:val="007571DB"/>
    <w:rsid w:val="00760C9E"/>
    <w:rsid w:val="00763467"/>
    <w:rsid w:val="00782CF2"/>
    <w:rsid w:val="00793723"/>
    <w:rsid w:val="007C03B0"/>
    <w:rsid w:val="007D069C"/>
    <w:rsid w:val="007D17A4"/>
    <w:rsid w:val="007D46CD"/>
    <w:rsid w:val="008242CE"/>
    <w:rsid w:val="00841555"/>
    <w:rsid w:val="0084710A"/>
    <w:rsid w:val="008531B8"/>
    <w:rsid w:val="0086671B"/>
    <w:rsid w:val="008D4FAF"/>
    <w:rsid w:val="00903F1F"/>
    <w:rsid w:val="00935F1F"/>
    <w:rsid w:val="0094554E"/>
    <w:rsid w:val="00992204"/>
    <w:rsid w:val="009C0CEE"/>
    <w:rsid w:val="009F09B3"/>
    <w:rsid w:val="009F43AD"/>
    <w:rsid w:val="00A37782"/>
    <w:rsid w:val="00A47382"/>
    <w:rsid w:val="00A51DFC"/>
    <w:rsid w:val="00A539F5"/>
    <w:rsid w:val="00A627A0"/>
    <w:rsid w:val="00A72D77"/>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C5C8C"/>
    <w:rsid w:val="00BE2152"/>
    <w:rsid w:val="00BE22EA"/>
    <w:rsid w:val="00BE7F63"/>
    <w:rsid w:val="00C07196"/>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C3BC9"/>
    <w:rsid w:val="00EC3C3E"/>
    <w:rsid w:val="00EE6590"/>
    <w:rsid w:val="00EF47C4"/>
    <w:rsid w:val="00F02924"/>
    <w:rsid w:val="00F1500F"/>
    <w:rsid w:val="00F568D1"/>
    <w:rsid w:val="00F61FD3"/>
    <w:rsid w:val="00F6290C"/>
    <w:rsid w:val="00F6559A"/>
    <w:rsid w:val="00FA23DD"/>
    <w:rsid w:val="00FB33F2"/>
    <w:rsid w:val="00FE04BC"/>
    <w:rsid w:val="60C831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tbRl"/>
    </w:tc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398</Words>
  <Characters>2272</Characters>
  <Lines>18</Lines>
  <Paragraphs>5</Paragraphs>
  <TotalTime>0</TotalTime>
  <ScaleCrop>false</ScaleCrop>
  <LinksUpToDate>false</LinksUpToDate>
  <CharactersWithSpaces>2665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2018-03-13T06:29:00Z</cp:lastPrinted>
  <dcterms:modified xsi:type="dcterms:W3CDTF">2018-11-15T10:56:33Z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